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ays One" w:hAnsi="Days One" w:cs="Days One"/>
          <w:sz w:val="36"/>
          <w:szCs w:val="36"/>
        </w:rPr>
      </w:pPr>
      <w:r>
        <w:rPr>
          <w:rFonts w:hint="default" w:ascii="Days One" w:hAnsi="Days One" w:cs="Days One"/>
          <w:sz w:val="36"/>
          <w:szCs w:val="36"/>
        </w:rPr>
        <w:t>Advanced Online Proctoring Solution for Academic Integrity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center"/>
        <w:textAlignment w:val="auto"/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</w:pPr>
      <w:r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  <w:t>Apendices Chart</w:t>
      </w:r>
    </w:p>
    <w:tbl>
      <w:tblPr>
        <w:tblStyle w:val="4"/>
        <w:tblpPr w:leftFromText="180" w:rightFromText="180" w:vertAnchor="text" w:horzAnchor="page" w:tblpX="1950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1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32"/>
                <w:szCs w:val="32"/>
                <w:shd w:val="clear" w:fill="FFFFFF"/>
                <w:lang w:val="en-US"/>
              </w:rPr>
              <w:t xml:space="preserve">Apendices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Letter of Interview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Interview or survey Questionaire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Work Breakdown Structure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Gantt Chart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Feasibility Analysis (Swot, and Gap Analysis)</w:t>
            </w:r>
            <w:bookmarkStart w:id="0" w:name="_GoBack"/>
            <w:bookmarkEnd w:id="0"/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>Data Flow Diagram or Flow Chart of Existing System</w:t>
            </w:r>
          </w:p>
        </w:tc>
        <w:tc>
          <w:tcPr>
            <w:tcW w:w="18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 xml:space="preserve">Optional Apendix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U</w:t>
            </w: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 xml:space="preserve">se Case Diagram 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 xml:space="preserve">Entity Relational Diagram 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6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ahoma" w:hAnsi="Tahoma" w:eastAsia="Arial" w:cs="Tahoma"/>
                <w:b w:val="0"/>
                <w:bCs w:val="0"/>
                <w:i w:val="0"/>
                <w:iC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Database Schema</w:t>
            </w:r>
          </w:p>
        </w:tc>
        <w:tc>
          <w:tcPr>
            <w:tcW w:w="188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ys One">
    <w:panose1 w:val="02000505000000020004"/>
    <w:charset w:val="00"/>
    <w:family w:val="auto"/>
    <w:pitch w:val="default"/>
    <w:sig w:usb0="8000022F" w:usb1="1000000A" w:usb2="00000000" w:usb3="00000000" w:csb0="00000005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E73A6"/>
    <w:rsid w:val="144611D2"/>
    <w:rsid w:val="3B3E73A6"/>
    <w:rsid w:val="6504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2024-05-10T08:46:00Z</dcterms:created>
  <dc:creator>WPS_1710500345</dc:creator>
  <cp:lastModifiedBy>WPS_1710500345</cp:lastModifiedBy>
  <dcterms:modified xsi:type="dcterms:W3CDTF">2024-05-10T08:58:23Z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51FC395BC92C40328CF1977B65BBA01A_11</vt:lpwstr>
  </property>
</Properties>
</file>