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Subtitle"/>
      </w:pPr>
      <w:r>
        <w:t xml:space="preserve">Deconstruct,</w:t>
      </w:r>
      <w:r>
        <w:t xml:space="preserve"> </w:t>
      </w:r>
      <w:r>
        <w:t xml:space="preserve">Reconstruct</w:t>
      </w:r>
      <w:r>
        <w:t xml:space="preserve"> </w:t>
      </w:r>
      <w:r>
        <w:t xml:space="preserve">Web</w:t>
      </w:r>
      <w:r>
        <w:t xml:space="preserve"> </w:t>
      </w:r>
      <w:r>
        <w:t xml:space="preserve">Report</w:t>
      </w:r>
    </w:p>
    <w:p>
      <w:pPr>
        <w:pStyle w:val="Author"/>
      </w:pPr>
      <w:r>
        <w:t xml:space="preserve">Your</w:t>
      </w:r>
      <w:r>
        <w:t xml:space="preserve"> </w:t>
      </w:r>
      <w:r>
        <w:t xml:space="preserve">Name</w:t>
      </w:r>
      <w:r>
        <w:t xml:space="preserve"> </w:t>
      </w:r>
      <w:r>
        <w:t xml:space="preserve">(Student</w:t>
      </w:r>
      <w:r>
        <w:t xml:space="preserve"> </w:t>
      </w:r>
      <w:r>
        <w:t xml:space="preserve">Number)</w:t>
      </w:r>
    </w:p>
    <w:bookmarkStart w:id="21" w:name="assessment-declaration-checklist"/>
    <w:p>
      <w:pPr>
        <w:pStyle w:val="Heading3"/>
      </w:pPr>
      <w:r>
        <w:t xml:space="preserve">Assessment declaration checklist</w:t>
      </w:r>
    </w:p>
    <w:p>
      <w:pPr>
        <w:pStyle w:val="FirstParagraph"/>
      </w:pPr>
      <w:r>
        <w:t xml:space="preserve">Please carefully read the statements below and check each box if you agree with the declaration. If you do not check all boxes, your assignment will not be marked. If you make a false declaration on any of these points, you may be investigated for academic misconduct. Students found to have breached academic integrity may receive official warnings and/or serious academic penalties. Please read more about academic integrity</w:t>
      </w:r>
      <w:r>
        <w:t xml:space="preserve"> </w:t>
      </w:r>
      <w:hyperlink r:id="rId20">
        <w:r>
          <w:rPr>
            <w:rStyle w:val="Hyperlink"/>
          </w:rPr>
          <w:t xml:space="preserve">here</w:t>
        </w:r>
      </w:hyperlink>
      <w:r>
        <w:t xml:space="preserve">. If you are unsure about any of these points or feel your assessment might breach academic integrity, please contact your course coordinator for support. It is important that you DO NOT submit any assessment until you can complete the declaration truthfully.</w:t>
      </w:r>
    </w:p>
    <w:p>
      <w:pPr>
        <w:pStyle w:val="BodyText"/>
      </w:pPr>
      <w:r>
        <w:rPr>
          <w:bCs/>
          <w:b/>
        </w:rPr>
        <w:t xml:space="preserve">By checking the boxes below, I declare the following:</w:t>
      </w:r>
    </w:p>
    <w:p>
      <w:pPr>
        <w:numPr>
          <w:ilvl w:val="0"/>
          <w:numId w:val="1001"/>
        </w:numPr>
      </w:pPr>
      <w:r>
        <w:t xml:space="preserve"> </w:t>
      </w:r>
      <w:r>
        <w:t xml:space="preserve">I have not impersonated, or allowed myself to be impersonated by, any person for the purposes of this assessment</w:t>
      </w:r>
    </w:p>
    <w:p>
      <w:pPr>
        <w:numPr>
          <w:ilvl w:val="0"/>
          <w:numId w:val="1001"/>
        </w:numPr>
      </w:pPr>
      <w:r>
        <w:t xml:space="preserve"> </w:t>
      </w:r>
      <w:r>
        <w:t xml:space="preserve">This assessment is my original work and no part of it has been copied from any other source except where due acknowledgement is made. Due acknowledgement means the following:</w:t>
      </w:r>
    </w:p>
    <w:p>
      <w:pPr>
        <w:numPr>
          <w:ilvl w:val="1"/>
          <w:numId w:val="1002"/>
        </w:numPr>
        <w:pStyle w:val="Compact"/>
      </w:pPr>
      <w:r>
        <w:t xml:space="preserve">The source is correctly referenced in a reference list</w:t>
      </w:r>
    </w:p>
    <w:p>
      <w:pPr>
        <w:numPr>
          <w:ilvl w:val="1"/>
          <w:numId w:val="1002"/>
        </w:numPr>
        <w:pStyle w:val="Compact"/>
      </w:pPr>
      <w:r>
        <w:t xml:space="preserve">The work has been paraphrased or directly quoted</w:t>
      </w:r>
    </w:p>
    <w:p>
      <w:pPr>
        <w:numPr>
          <w:ilvl w:val="1"/>
          <w:numId w:val="1002"/>
        </w:numPr>
        <w:pStyle w:val="Compact"/>
      </w:pPr>
      <w:r>
        <w:t xml:space="preserve">A citation to the original work’s reference has been included where the copied work appears in the assessment.</w:t>
      </w:r>
    </w:p>
    <w:p>
      <w:pPr>
        <w:numPr>
          <w:ilvl w:val="0"/>
          <w:numId w:val="1001"/>
        </w:numPr>
      </w:pPr>
      <w:r>
        <w:t xml:space="preserve"> </w:t>
      </w:r>
      <w:r>
        <w:t xml:space="preserve">No part of this assessment has been written for me by any other person except where such collaboration has been authorised by the lecturer/teacher concerned.</w:t>
      </w:r>
    </w:p>
    <w:p>
      <w:pPr>
        <w:numPr>
          <w:ilvl w:val="0"/>
          <w:numId w:val="1001"/>
        </w:numPr>
      </w:pPr>
      <w:r>
        <w:t xml:space="preserve"> </w:t>
      </w:r>
      <w:r>
        <w:t xml:space="preserve">I have not used generative</w:t>
      </w:r>
      <w:r>
        <w:t xml:space="preserve"> </w:t>
      </w:r>
      <w:r>
        <w:t xml:space="preserve">“</w:t>
      </w:r>
      <w:r>
        <w:t xml:space="preserve">AI</w:t>
      </w:r>
      <w:r>
        <w:t xml:space="preserve">”</w:t>
      </w:r>
      <w:r>
        <w:t xml:space="preserve"> </w:t>
      </w:r>
      <w:r>
        <w:t xml:space="preserve">tools for the purposes of this assessment.</w:t>
      </w:r>
    </w:p>
    <w:p>
      <w:pPr>
        <w:numPr>
          <w:ilvl w:val="0"/>
          <w:numId w:val="1001"/>
        </w:numPr>
      </w:pPr>
      <w:r>
        <w:t xml:space="preserve"> </w:t>
      </w:r>
      <w:r>
        <w:t xml:space="preserve">Where this work is being submitted for individual assessment, I declare that it is my original work and that no part has been contributed by, produced by or in conjunction with another student.</w:t>
      </w:r>
    </w:p>
    <w:p>
      <w:pPr>
        <w:numPr>
          <w:ilvl w:val="0"/>
          <w:numId w:val="1001"/>
        </w:numPr>
      </w:pPr>
      <w:r>
        <w:t xml:space="preserve"> </w:t>
      </w:r>
      <w:r>
        <w:t xml:space="preserve">I give permission for my assessment response to be reproduced, communicated, compared and archived for the purposes of detecting plagiarism.</w:t>
      </w:r>
    </w:p>
    <w:p>
      <w:pPr>
        <w:numPr>
          <w:ilvl w:val="0"/>
          <w:numId w:val="1001"/>
        </w:numPr>
      </w:pPr>
      <w:r>
        <w:t xml:space="preserve"> </w:t>
      </w:r>
      <w:r>
        <w:t xml:space="preserve">I give permission for a copy of my assessment to be retained by the university for review and comparison, including review by external examiners.</w:t>
      </w:r>
    </w:p>
    <w:p>
      <w:pPr>
        <w:pStyle w:val="FirstParagraph"/>
      </w:pPr>
      <w:r>
        <w:rPr>
          <w:bCs/>
          <w:b/>
        </w:rPr>
        <w:t xml:space="preserve">I understand that:</w:t>
      </w:r>
    </w:p>
    <w:p>
      <w:pPr>
        <w:numPr>
          <w:ilvl w:val="0"/>
          <w:numId w:val="1003"/>
        </w:numPr>
      </w:pPr>
      <w:r>
        <w:t xml:space="preserve"> </w:t>
      </w:r>
      <w:r>
        <w:t xml:space="preserve">Plagiarism is the presentation of the work, idea or creation of another person or machine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p>
      <w:pPr>
        <w:numPr>
          <w:ilvl w:val="0"/>
          <w:numId w:val="1003"/>
        </w:numPr>
      </w:pPr>
      <w:r>
        <w:t xml:space="preserve"> </w:t>
      </w:r>
      <w:r>
        <w:t xml:space="preserve">Plagiarism includes the act of assisting or allowing another person to plagiarise or to copy my work.</w:t>
      </w:r>
    </w:p>
    <w:p>
      <w:pPr>
        <w:pStyle w:val="FirstParagraph"/>
      </w:pPr>
      <w:r>
        <w:rPr>
          <w:bCs/>
          <w:b/>
        </w:rPr>
        <w:t xml:space="preserve">I agree and acknowledge that:</w:t>
      </w:r>
    </w:p>
    <w:p>
      <w:pPr>
        <w:numPr>
          <w:ilvl w:val="0"/>
          <w:numId w:val="1004"/>
        </w:numPr>
      </w:pPr>
      <w:r>
        <w:t xml:space="preserve"> </w:t>
      </w:r>
      <w:r>
        <w:t xml:space="preserve">I have read and understood the Declaration and Statement of Authorship above.</w:t>
      </w:r>
    </w:p>
    <w:p>
      <w:pPr>
        <w:numPr>
          <w:ilvl w:val="0"/>
          <w:numId w:val="1004"/>
        </w:numPr>
      </w:pPr>
      <w:r>
        <w:t xml:space="preserve"> </w:t>
      </w:r>
      <w:r>
        <w:t xml:space="preserve">If I do not agree to the Declaration and Statement of Authorship in this context and all boxes are not checked, the assessment outcome is not valid for assessment purposes and will not be included in my final result for this course.</w:t>
      </w:r>
    </w:p>
    <w:p>
      <w:pPr>
        <w:pStyle w:val="FirstParagraph"/>
      </w:pPr>
      <w:r>
        <w:rPr>
          <w:bCs/>
          <w:b/>
        </w:rPr>
        <w:t xml:space="preserve">This is a template file. The following example included is not considered a good example to follow for Assignment 2. Remove this warning prior to submitting.</w:t>
      </w:r>
    </w:p>
    <w:bookmarkEnd w:id="21"/>
    <w:bookmarkStart w:id="25" w:name="deconstruct"/>
    <w:p>
      <w:pPr>
        <w:pStyle w:val="Heading2"/>
      </w:pPr>
      <w:r>
        <w:t xml:space="preserve">Deconstruct</w:t>
      </w:r>
    </w:p>
    <w:bookmarkStart w:id="22" w:name="original"/>
    <w:p>
      <w:pPr>
        <w:pStyle w:val="Heading3"/>
      </w:pPr>
      <w:r>
        <w:t xml:space="preserve">Original</w:t>
      </w:r>
    </w:p>
    <w:p>
      <w:pPr>
        <w:pStyle w:val="FirstParagraph"/>
      </w:pPr>
      <w:r>
        <w:t xml:space="preserve">The original data visualisation selected for the assignment was as follows:</w:t>
      </w:r>
    </w:p>
    <w:p>
      <w:pPr>
        <w:pStyle w:val="BodyText"/>
      </w:pPr>
    </w:p>
    <w:p>
      <w:pPr>
        <w:pStyle w:val="BodyText"/>
      </w:pPr>
    </w:p>
    <w:p>
      <w:pPr>
        <w:pStyle w:val="BodyText"/>
      </w:pPr>
      <w:r>
        <w:rPr>
          <w:iCs/>
          <w:i/>
        </w:rPr>
        <w:t xml:space="preserve">Source: ACMA Research and Analysis Section (2015).</w:t>
      </w:r>
    </w:p>
    <w:p>
      <w:pPr>
        <w:pStyle w:val="BodyText"/>
      </w:pPr>
    </w:p>
    <w:bookmarkEnd w:id="22"/>
    <w:bookmarkStart w:id="23" w:name="objective-and-audience"/>
    <w:p>
      <w:pPr>
        <w:pStyle w:val="Heading3"/>
      </w:pPr>
      <w:r>
        <w:t xml:space="preserve">Objective and Audience</w:t>
      </w:r>
    </w:p>
    <w:p>
      <w:pPr>
        <w:pStyle w:val="FirstParagraph"/>
      </w:pPr>
      <w:r>
        <w:t xml:space="preserve">The objective and audience of the original data visualisation chosen can be summarised as follows:</w:t>
      </w:r>
    </w:p>
    <w:p>
      <w:pPr>
        <w:pStyle w:val="BodyText"/>
      </w:pPr>
      <w:r>
        <w:rPr>
          <w:bCs/>
          <w:b/>
        </w:rPr>
        <w:t xml:space="preserve">Objective</w:t>
      </w:r>
    </w:p>
    <w:p>
      <w:pPr>
        <w:pStyle w:val="BodyText"/>
      </w:pPr>
      <w:r>
        <w:rPr>
          <w:bCs/>
          <w:b/>
        </w:rPr>
        <w:t xml:space="preserve">Audience</w:t>
      </w:r>
    </w:p>
    <w:bookmarkEnd w:id="23"/>
    <w:bookmarkStart w:id="24" w:name="improvements"/>
    <w:p>
      <w:pPr>
        <w:pStyle w:val="Heading3"/>
      </w:pPr>
      <w:r>
        <w:t xml:space="preserve">Improvements</w:t>
      </w:r>
    </w:p>
    <w:p>
      <w:pPr>
        <w:pStyle w:val="FirstParagraph"/>
      </w:pPr>
      <w:r>
        <w:t xml:space="preserve">The original data visualisation chosen could be improved in the three following ways:</w:t>
      </w:r>
    </w:p>
    <w:p>
      <w:pPr>
        <w:numPr>
          <w:ilvl w:val="0"/>
          <w:numId w:val="1005"/>
        </w:numPr>
        <w:pStyle w:val="Compact"/>
      </w:pPr>
      <w:r>
        <w:t xml:space="preserve">Briefly explain the first improvement</w:t>
      </w:r>
    </w:p>
    <w:p>
      <w:pPr>
        <w:numPr>
          <w:ilvl w:val="0"/>
          <w:numId w:val="1005"/>
        </w:numPr>
        <w:pStyle w:val="Compact"/>
      </w:pPr>
      <w:r>
        <w:t xml:space="preserve">Briefly explain the second improvement</w:t>
      </w:r>
    </w:p>
    <w:p>
      <w:pPr>
        <w:numPr>
          <w:ilvl w:val="0"/>
          <w:numId w:val="1005"/>
        </w:numPr>
        <w:pStyle w:val="Compact"/>
      </w:pPr>
      <w:r>
        <w:t xml:space="preserve">Briefly explain the third improvement</w:t>
      </w:r>
    </w:p>
    <w:bookmarkEnd w:id="24"/>
    <w:bookmarkEnd w:id="25"/>
    <w:bookmarkStart w:id="31" w:name="reconstruct"/>
    <w:p>
      <w:pPr>
        <w:pStyle w:val="Heading2"/>
      </w:pPr>
      <w:r>
        <w:t xml:space="preserve">Reconstruct</w:t>
      </w:r>
    </w:p>
    <w:bookmarkStart w:id="26" w:name="code"/>
    <w:p>
      <w:pPr>
        <w:pStyle w:val="Heading3"/>
      </w:pPr>
      <w:r>
        <w:t xml:space="preserve">Code</w:t>
      </w:r>
    </w:p>
    <w:p>
      <w:pPr>
        <w:pStyle w:val="FirstParagraph"/>
      </w:pPr>
      <w:r>
        <w:t xml:space="preserve">The following code was used to improve the original.</w:t>
      </w:r>
    </w:p>
    <w:p>
      <w:pPr>
        <w:pStyle w:val="SourceCode"/>
      </w:pPr>
      <w:r>
        <w:rPr>
          <w:rStyle w:val="FunctionTok"/>
        </w:rPr>
        <w:t xml:space="preserve">library</w:t>
      </w:r>
      <w:r>
        <w:rPr>
          <w:rStyle w:val="NormalTok"/>
        </w:rPr>
        <w:t xml:space="preserve">(ggplot2)</w:t>
      </w:r>
      <w:r>
        <w:br/>
      </w:r>
      <w:r>
        <w:rPr>
          <w:rStyle w:val="NormalTok"/>
        </w:rPr>
        <w:t xml:space="preserve">smartphone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c</w:t>
      </w:r>
      <w:r>
        <w:rPr>
          <w:rStyle w:val="NormalTok"/>
        </w:rPr>
        <w:t xml:space="preserve">(</w:t>
      </w:r>
      <w:r>
        <w:rPr>
          <w:rStyle w:val="StringTok"/>
        </w:rPr>
        <w:t xml:space="preserve">"Dec-10"</w:t>
      </w:r>
      <w:r>
        <w:rPr>
          <w:rStyle w:val="NormalTok"/>
        </w:rPr>
        <w:t xml:space="preserve">, </w:t>
      </w:r>
      <w:r>
        <w:rPr>
          <w:rStyle w:val="StringTok"/>
        </w:rPr>
        <w:t xml:space="preserve">"Dec-11"</w:t>
      </w:r>
      <w:r>
        <w:rPr>
          <w:rStyle w:val="NormalTok"/>
        </w:rPr>
        <w:t xml:space="preserve">, </w:t>
      </w:r>
      <w:r>
        <w:br/>
      </w:r>
      <w:r>
        <w:rPr>
          <w:rStyle w:val="NormalTok"/>
        </w:rPr>
        <w:t xml:space="preserve">                                  </w:t>
      </w:r>
      <w:r>
        <w:rPr>
          <w:rStyle w:val="StringTok"/>
        </w:rPr>
        <w:t xml:space="preserve">"Dec-12"</w:t>
      </w:r>
      <w:r>
        <w:rPr>
          <w:rStyle w:val="NormalTok"/>
        </w:rPr>
        <w:t xml:space="preserve">, </w:t>
      </w:r>
      <w:r>
        <w:rPr>
          <w:rStyle w:val="StringTok"/>
        </w:rPr>
        <w:t xml:space="preserve">"Dec-13"</w:t>
      </w:r>
      <w:r>
        <w:rPr>
          <w:rStyle w:val="NormalTok"/>
        </w:rPr>
        <w:t xml:space="preserve">, </w:t>
      </w:r>
      <w:r>
        <w:rPr>
          <w:rStyle w:val="StringTok"/>
        </w:rPr>
        <w:t xml:space="preserve">"Dec-14"</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c</w:t>
      </w:r>
      <w:r>
        <w:rPr>
          <w:rStyle w:val="NormalTok"/>
        </w:rPr>
        <w:t xml:space="preserve">(</w:t>
      </w:r>
      <w:r>
        <w:rPr>
          <w:rStyle w:val="DecValTok"/>
        </w:rPr>
        <w:t xml:space="preserve">2247</w:t>
      </w:r>
      <w:r>
        <w:rPr>
          <w:rStyle w:val="NormalTok"/>
        </w:rPr>
        <w:t xml:space="preserve">, </w:t>
      </w:r>
      <w:r>
        <w:rPr>
          <w:rStyle w:val="DecValTok"/>
        </w:rPr>
        <w:t xml:space="preserve">2818</w:t>
      </w:r>
      <w:r>
        <w:rPr>
          <w:rStyle w:val="NormalTok"/>
        </w:rPr>
        <w:t xml:space="preserve">, </w:t>
      </w:r>
      <w:r>
        <w:rPr>
          <w:rStyle w:val="DecValTok"/>
        </w:rPr>
        <w:t xml:space="preserve">3379</w:t>
      </w:r>
      <w:r>
        <w:rPr>
          <w:rStyle w:val="NormalTok"/>
        </w:rPr>
        <w:t xml:space="preserve">, </w:t>
      </w:r>
      <w:r>
        <w:rPr>
          <w:rStyle w:val="DecValTok"/>
        </w:rPr>
        <w:t xml:space="preserve">4476</w:t>
      </w:r>
      <w:r>
        <w:rPr>
          <w:rStyle w:val="NormalTok"/>
        </w:rPr>
        <w:t xml:space="preserve">,</w:t>
      </w:r>
      <w:r>
        <w:rPr>
          <w:rStyle w:val="DecValTok"/>
        </w:rPr>
        <w:t xml:space="preserve">5218</w:t>
      </w:r>
      <w:r>
        <w:rPr>
          <w:rStyle w:val="NormalTok"/>
        </w:rPr>
        <w:t xml:space="preserve">),</w:t>
      </w:r>
      <w:r>
        <w:br/>
      </w:r>
      <w:r>
        <w:rPr>
          <w:rStyle w:val="NormalTok"/>
        </w:rPr>
        <w:t xml:space="preserve">                      </w:t>
      </w:r>
      <w:r>
        <w:rPr>
          <w:rStyle w:val="AttributeTok"/>
        </w:rPr>
        <w:t xml:space="preserve">Perc =</w:t>
      </w:r>
      <w:r>
        <w:rPr>
          <w:rStyle w:val="NormalTok"/>
        </w:rPr>
        <w:t xml:space="preserve"> </w:t>
      </w:r>
      <w:r>
        <w:rPr>
          <w:rStyle w:val="FunctionTok"/>
        </w:rPr>
        <w:t xml:space="preserve">c</w:t>
      </w:r>
      <w:r>
        <w:rPr>
          <w:rStyle w:val="NormalTok"/>
        </w:rPr>
        <w:t xml:space="preserve">(</w:t>
      </w:r>
      <w:r>
        <w:rPr>
          <w:rStyle w:val="DecValTok"/>
        </w:rPr>
        <w:t xml:space="preserve">13</w:t>
      </w:r>
      <w:r>
        <w:rPr>
          <w:rStyle w:val="NormalTok"/>
        </w:rPr>
        <w:t xml:space="preserve">, </w:t>
      </w:r>
      <w:r>
        <w:rPr>
          <w:rStyle w:val="DecValTok"/>
        </w:rPr>
        <w:t xml:space="preserve">16</w:t>
      </w:r>
      <w:r>
        <w:rPr>
          <w:rStyle w:val="NormalTok"/>
        </w:rPr>
        <w:t xml:space="preserve">, </w:t>
      </w:r>
      <w:r>
        <w:rPr>
          <w:rStyle w:val="DecValTok"/>
        </w:rPr>
        <w:t xml:space="preserve">19</w:t>
      </w:r>
      <w:r>
        <w:rPr>
          <w:rStyle w:val="NormalTok"/>
        </w:rPr>
        <w:t xml:space="preserve">, </w:t>
      </w:r>
      <w:r>
        <w:rPr>
          <w:rStyle w:val="DecValTok"/>
        </w:rPr>
        <w:t xml:space="preserve">25</w:t>
      </w:r>
      <w:r>
        <w:rPr>
          <w:rStyle w:val="NormalTok"/>
        </w:rPr>
        <w:t xml:space="preserve">,</w:t>
      </w:r>
      <w:r>
        <w:rPr>
          <w:rStyle w:val="DecValTok"/>
        </w:rPr>
        <w:t xml:space="preserve">29</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smartphone, </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x =</w:t>
      </w:r>
      <w:r>
        <w:rPr>
          <w:rStyle w:val="NormalTok"/>
        </w:rPr>
        <w:t xml:space="preserve"> Year,</w:t>
      </w:r>
      <w:r>
        <w:rPr>
          <w:rStyle w:val="AttributeTok"/>
        </w:rPr>
        <w:t xml:space="preserve">y =</w:t>
      </w:r>
      <w:r>
        <w:rPr>
          <w:rStyle w:val="NormalTok"/>
        </w:rPr>
        <w:t xml:space="preserve"> Perc))</w:t>
      </w:r>
      <w:r>
        <w:br/>
      </w:r>
      <w:r>
        <w:rPr>
          <w:rStyle w:val="NormalTok"/>
        </w:rPr>
        <w:t xml:space="preserve">p1 </w:t>
      </w:r>
      <w:r>
        <w:rPr>
          <w:rStyle w:val="OtherTok"/>
        </w:rPr>
        <w:t xml:space="preserve">&lt;-</w:t>
      </w:r>
      <w:r>
        <w:rPr>
          <w:rStyle w:val="NormalTok"/>
        </w:rPr>
        <w:t xml:space="preserve"> p1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colour =</w:t>
      </w:r>
      <w:r>
        <w:rPr>
          <w:rStyle w:val="NormalTok"/>
        </w:rPr>
        <w:t xml:space="preserve"> </w:t>
      </w:r>
      <w:r>
        <w:rPr>
          <w:rStyle w:val="StringTok"/>
        </w:rPr>
        <w:t xml:space="preserve">"turquoise3"</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"turquoise3"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(Perc,</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nudge_y =</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nudge_x =</w:t>
      </w:r>
      <w:r>
        <w:rPr>
          <w:rStyle w:val="NormalTok"/>
        </w:rPr>
        <w:t xml:space="preserve"> .</w:t>
      </w:r>
      <w:r>
        <w:rPr>
          <w:rStyle w:val="DecVal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"Australian Mobile-only Phone Users % of 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p>
    <w:bookmarkEnd w:id="26"/>
    <w:bookmarkStart w:id="30" w:name="reconstruction"/>
    <w:p>
      <w:pPr>
        <w:pStyle w:val="Heading3"/>
      </w:pPr>
      <w:r>
        <w:t xml:space="preserve">Reconstruction</w:t>
      </w:r>
    </w:p>
    <w:p>
      <w:pPr>
        <w:pStyle w:val="FirstParagraph"/>
      </w:pPr>
      <w:r>
        <w:t xml:space="preserve">The following plot improves the original data visualisation in the three ways previously explained.</w:t>
      </w:r>
    </w:p>
    <w:p>
      <w:pPr>
        <w:pStyle w:val="BodyText"/>
      </w:pPr>
      <w:r>
        <w:drawing>
          <wp:inline>
            <wp:extent cx="4620126" cy="3696101"/>
            <wp:effectExtent b="0" l="0" r="0" t="0"/>
            <wp:docPr descr="" title="" id="28" name="Picture"/>
            <a:graphic>
              <a:graphicData uri="http://schemas.openxmlformats.org/drawingml/2006/picture">
                <pic:pic>
                  <pic:nvPicPr>
                    <pic:cNvPr descr="Assignment_2_RMarkdown_Template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bookmarkStart w:id="33" w:name="references"/>
    <w:p>
      <w:pPr>
        <w:pStyle w:val="Heading2"/>
      </w:pPr>
      <w:r>
        <w:t xml:space="preserve">References</w:t>
      </w:r>
    </w:p>
    <w:p>
      <w:pPr>
        <w:pStyle w:val="FirstParagraph"/>
      </w:pPr>
      <w:r>
        <w:t xml:space="preserve">The reference to the original data visualisation choose, the data source(s) used for the reconstruction and any other sources used for this assignment are as follows:</w:t>
      </w:r>
    </w:p>
    <w:p>
      <w:pPr>
        <w:numPr>
          <w:ilvl w:val="0"/>
          <w:numId w:val="1006"/>
        </w:numPr>
        <w:pStyle w:val="Compact"/>
      </w:pPr>
      <w:r>
        <w:t xml:space="preserve">ACMA Research and Analysis Section. (2015).</w:t>
      </w:r>
      <w:r>
        <w:t xml:space="preserve"> </w:t>
      </w:r>
      <w:r>
        <w:rPr>
          <w:iCs/>
          <w:i/>
        </w:rPr>
        <w:t xml:space="preserve">Australians get mobile</w:t>
      </w:r>
      <w:r>
        <w:t xml:space="preserve">. Retrieved August 13, 2019, from Australian Communications and Media Authority website:</w:t>
      </w:r>
      <w:r>
        <w:t xml:space="preserve"> </w:t>
      </w:r>
      <w:hyperlink r:id="rId32">
        <w:r>
          <w:rPr>
            <w:rStyle w:val="Hyperlink"/>
          </w:rPr>
          <w:t xml:space="preserve">https://www.acma.gov.au/theACMA/engage-blogs/engage-blogs/Research-snapshots/Australians-get-mobile</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2" Target="https://www.acma.gov.au/theACMA/engage-blogs/engage-blogs/Research-snapshots/Australians-get-mobile" TargetMode="External" /><Relationship Type="http://schemas.openxmlformats.org/officeDocument/2006/relationships/hyperlink" Id="rId20" Target="https://www.rmit.edu.au/students/student-essentials/assessment-and-exams/academic-integrity" TargetMode="External" /></Relationships>
</file>

<file path=word/_rels/footnotes.xml.rels><?xml version="1.0" encoding="UTF-8"?><Relationships xmlns="http://schemas.openxmlformats.org/package/2006/relationships"><Relationship Type="http://schemas.openxmlformats.org/officeDocument/2006/relationships/hyperlink" Id="rId32" Target="https://www.acma.gov.au/theACMA/engage-blogs/engage-blogs/Research-snapshots/Australians-get-mobile" TargetMode="External" /><Relationship Type="http://schemas.openxmlformats.org/officeDocument/2006/relationships/hyperlink" Id="rId20" Target="https://www.rmit.edu.au/students/student-essentials/assessment-and-exams/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Your Name (Student Number)</dc:creator>
  <cp:keywords/>
  <dcterms:created xsi:type="dcterms:W3CDTF">2025-04-29T05:36:35Z</dcterms:created>
  <dcterms:modified xsi:type="dcterms:W3CDTF">2025-04-29T05:36:35Z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Deconstruct, Reconstruct Web Report</vt:lpwstr>
  </property>
  <property fmtid="{D5CDD505-2E9C-101B-9397-08002B2CF9AE}" pid="4" name="urlcolor">
    <vt:lpwstr>blue</vt:lpwstr>
  </property>
</Properties>
</file>