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9713" w14:textId="77777777" w:rsidR="00475AA7" w:rsidRPr="00475AA7" w:rsidRDefault="00475AA7" w:rsidP="00475AA7">
      <w:r w:rsidRPr="00475AA7">
        <w:t xml:space="preserve">I sent my inline comments to Jonathan (it looks like </w:t>
      </w:r>
      <w:proofErr w:type="gramStart"/>
      <w:r w:rsidRPr="00475AA7">
        <w:t>in</w:t>
      </w:r>
      <w:proofErr w:type="gramEnd"/>
      <w:r w:rsidRPr="00475AA7">
        <w:t xml:space="preserve"> a separate thread).  But I have two </w:t>
      </w:r>
      <w:proofErr w:type="gramStart"/>
      <w:r w:rsidRPr="00475AA7">
        <w:t>really big</w:t>
      </w:r>
      <w:proofErr w:type="gramEnd"/>
      <w:r w:rsidRPr="00475AA7">
        <w:t xml:space="preserve"> conceptual points I would like to make here.  </w:t>
      </w:r>
    </w:p>
    <w:p w14:paraId="764A7948" w14:textId="77777777" w:rsidR="00475AA7" w:rsidRPr="00475AA7" w:rsidRDefault="00475AA7" w:rsidP="00475AA7"/>
    <w:p w14:paraId="221BC701" w14:textId="77777777" w:rsidR="00475AA7" w:rsidRPr="00475AA7" w:rsidRDefault="00475AA7" w:rsidP="00475AA7">
      <w:r w:rsidRPr="00475AA7">
        <w:t xml:space="preserve">1. On page 2 the document </w:t>
      </w:r>
      <w:proofErr w:type="gramStart"/>
      <w:r w:rsidRPr="00475AA7">
        <w:t>says</w:t>
      </w:r>
      <w:proofErr w:type="gramEnd"/>
      <w:r w:rsidRPr="00475AA7">
        <w:t xml:space="preserve"> "A loyalty shift is any movement from any point along this spectrum to any other."  I don't think that is accurate.  The Spectrum of Allies maps TWO distinct things - loyalty AND mobilization. I think this could help us with the issue of differentiating loyalty shifts from defections. </w:t>
      </w:r>
    </w:p>
    <w:p w14:paraId="1EAE30FB" w14:textId="77777777" w:rsidR="00475AA7" w:rsidRPr="00475AA7" w:rsidRDefault="00475AA7" w:rsidP="00475AA7"/>
    <w:p w14:paraId="1B99C8D4" w14:textId="77777777" w:rsidR="00475AA7" w:rsidRPr="00475AA7" w:rsidRDefault="00475AA7" w:rsidP="00475AA7">
      <w:r w:rsidRPr="00475AA7">
        <w:t>I have made a super simple visual representation of this attached. This is aided from Jonathan's claim that "defection is behavioral", which I see as a legitimate cut-off, but which needs to be squared with the rest of our theory. </w:t>
      </w:r>
    </w:p>
    <w:p w14:paraId="75BA36F8" w14:textId="77777777" w:rsidR="00475AA7" w:rsidRPr="00475AA7" w:rsidRDefault="00475AA7" w:rsidP="00475AA7"/>
    <w:p w14:paraId="03DBACA7" w14:textId="77777777" w:rsidR="00475AA7" w:rsidRPr="00475AA7" w:rsidRDefault="00475AA7" w:rsidP="00475AA7">
      <w:r w:rsidRPr="00475AA7">
        <w:t>2</w:t>
      </w:r>
      <w:proofErr w:type="gramStart"/>
      <w:r w:rsidRPr="00475AA7">
        <w:t>.  The</w:t>
      </w:r>
      <w:proofErr w:type="gramEnd"/>
      <w:r w:rsidRPr="00475AA7">
        <w:t xml:space="preserve"> second is "speaking, acting, or standing in the way".  I know this language arose before my time here, and I'd love to understand more why it's being used.  But I'm afraid it could create serious confusion for people trying to learn about civil resistance. </w:t>
      </w:r>
    </w:p>
    <w:p w14:paraId="1D7B2D28" w14:textId="77777777" w:rsidR="00475AA7" w:rsidRPr="00475AA7" w:rsidRDefault="00475AA7" w:rsidP="00475AA7"/>
    <w:p w14:paraId="19800AA3" w14:textId="77777777" w:rsidR="00475AA7" w:rsidRPr="00475AA7" w:rsidRDefault="00475AA7" w:rsidP="00475AA7">
      <w:r w:rsidRPr="00475AA7">
        <w:t>From footnote 7</w:t>
      </w:r>
      <w:proofErr w:type="gramStart"/>
      <w:r w:rsidRPr="00475AA7">
        <w:t>:  "</w:t>
      </w:r>
      <w:proofErr w:type="gramEnd"/>
      <w:r w:rsidRPr="00475AA7">
        <w:t>This dimension closely parallels Gene division of the methods of nonviolent action into protest and persuasion (speaking), non-cooperation (standing in the way), and nonviolent intervention (acting)" </w:t>
      </w:r>
    </w:p>
    <w:p w14:paraId="6024BE0B" w14:textId="77777777" w:rsidR="00475AA7" w:rsidRPr="00475AA7" w:rsidRDefault="00475AA7" w:rsidP="00475AA7"/>
    <w:p w14:paraId="7C9B99FD" w14:textId="77777777" w:rsidR="00475AA7" w:rsidRPr="00475AA7" w:rsidRDefault="00475AA7" w:rsidP="00475AA7">
      <w:r w:rsidRPr="00475AA7">
        <w:t>Non-cooperation involves not doing things you are expected to do OR doing things you are not expected to do. </w:t>
      </w:r>
    </w:p>
    <w:p w14:paraId="786F719F" w14:textId="77777777" w:rsidR="00475AA7" w:rsidRPr="00475AA7" w:rsidRDefault="00475AA7" w:rsidP="00475AA7">
      <w:r w:rsidRPr="00475AA7">
        <w:t>Intervention involves blocking or interrupting the functioning of the opponent. </w:t>
      </w:r>
    </w:p>
    <w:p w14:paraId="6666E48F" w14:textId="77777777" w:rsidR="00475AA7" w:rsidRPr="00475AA7" w:rsidRDefault="00475AA7" w:rsidP="00475AA7"/>
    <w:p w14:paraId="145B2F46" w14:textId="77777777" w:rsidR="00475AA7" w:rsidRPr="00475AA7" w:rsidRDefault="00475AA7" w:rsidP="00475AA7">
      <w:r w:rsidRPr="00475AA7">
        <w:t xml:space="preserve">So, if anything, nonviolent intervention should be matched with "standing in the way".  Then non-cooperation could be paired with "acting".  My biggest problem with this is that so </w:t>
      </w:r>
      <w:proofErr w:type="gramStart"/>
      <w:r w:rsidRPr="00475AA7">
        <w:t>much of</w:t>
      </w:r>
      <w:proofErr w:type="gramEnd"/>
      <w:r w:rsidRPr="00475AA7">
        <w:t xml:space="preserve"> non-cooperation involves REFUSAL of acting.  </w:t>
      </w:r>
      <w:proofErr w:type="gramStart"/>
      <w:r w:rsidRPr="00475AA7">
        <w:t>So</w:t>
      </w:r>
      <w:proofErr w:type="gramEnd"/>
      <w:r w:rsidRPr="00475AA7">
        <w:t xml:space="preserve"> I don't know what this new language is doing to help people understand the options available to them. </w:t>
      </w:r>
    </w:p>
    <w:p w14:paraId="75A5042C" w14:textId="1239F8F0" w:rsidR="00475AA7" w:rsidRDefault="00475AA7">
      <w:r>
        <w:br w:type="page"/>
      </w:r>
    </w:p>
    <w:p w14:paraId="550FC8A8" w14:textId="5C2F7123" w:rsidR="00F47FBC" w:rsidRDefault="00475AA7">
      <w:pPr>
        <w:rPr>
          <w:b/>
          <w:bCs/>
          <w:u w:val="single"/>
        </w:rPr>
      </w:pPr>
      <w:r>
        <w:rPr>
          <w:b/>
          <w:bCs/>
          <w:u w:val="single"/>
        </w:rPr>
        <w:lastRenderedPageBreak/>
        <w:t>Maria</w:t>
      </w:r>
    </w:p>
    <w:p w14:paraId="7B98BB9C" w14:textId="77777777" w:rsidR="00475AA7" w:rsidRPr="00475AA7" w:rsidRDefault="00475AA7" w:rsidP="00475AA7">
      <w:r w:rsidRPr="00475AA7">
        <w:t>One concrete thing: On p.4 you say that research built on Kuran’s insights has found that defection is not linear but has reliable predictors. Could you summarize what those are? The hypothesis related to the interplay between social and material drivers of defection (and when they might be in tension) I find especially interesting. </w:t>
      </w:r>
    </w:p>
    <w:p w14:paraId="59A08B59" w14:textId="296DD59C" w:rsidR="00475AA7" w:rsidRDefault="00475AA7">
      <w:pPr>
        <w:rPr>
          <w:b/>
          <w:bCs/>
          <w:u w:val="single"/>
        </w:rPr>
      </w:pPr>
      <w:r>
        <w:rPr>
          <w:b/>
          <w:bCs/>
          <w:u w:val="single"/>
        </w:rPr>
        <w:t>Adam</w:t>
      </w:r>
    </w:p>
    <w:p w14:paraId="3C484D89" w14:textId="77777777" w:rsidR="00475AA7" w:rsidRPr="00475AA7" w:rsidRDefault="00475AA7" w:rsidP="00475AA7">
      <w:proofErr w:type="gramStart"/>
      <w:r w:rsidRPr="00475AA7">
        <w:t>-“</w:t>
      </w:r>
      <w:proofErr w:type="gramEnd"/>
      <w:r w:rsidRPr="00475AA7">
        <w:t xml:space="preserve">A loyalty shift is any movement from any point along this spectrum to any other. Defection is any left-ward movement that begins in active or passive </w:t>
      </w:r>
      <w:proofErr w:type="gramStart"/>
      <w:r w:rsidRPr="00475AA7">
        <w:t>support.”</w:t>
      </w:r>
      <w:proofErr w:type="gramEnd"/>
      <w:r w:rsidRPr="00475AA7">
        <w:t xml:space="preserve"> Does this mean active support → passive support = defection? What about passive support → neutrality? The arrows in the figure denote 2-space movements as opposed to 1-spacers, so I wasn’t sure…Also, I think it’s right that neutrality → active opposition ≠ defection, but this specific kind of loyalty shift seems too significant to be grouped with e.g., passive opposition → active opposition. Think of otherwise apolitical preachers actively denouncing autocrats from the pulpit. We should think about how to conceptualize/subdivide the different movements.</w:t>
      </w:r>
    </w:p>
    <w:p w14:paraId="3CD34661" w14:textId="77777777" w:rsidR="00475AA7" w:rsidRPr="00475AA7" w:rsidRDefault="00475AA7" w:rsidP="00475AA7">
      <w:r w:rsidRPr="00475AA7">
        <w:t xml:space="preserve">-Is it true in the aggregate that democratic backsliders repress more than democrats? The citation I see is Davenport 2007 but </w:t>
      </w:r>
      <w:proofErr w:type="gramStart"/>
      <w:r w:rsidRPr="00475AA7">
        <w:t>am guessing</w:t>
      </w:r>
      <w:proofErr w:type="gramEnd"/>
      <w:r w:rsidRPr="00475AA7">
        <w:t xml:space="preserve"> that book draws on pre-2007 data + backsliding didn’t really pick up until around after 2005 anyway. Put another way, the risks of defection under Trump 1.0 or Bolsonaro or early Fidesz/AKP rule don’t strike me as qualitatively different than under their predecessors. (The situation is different under, </w:t>
      </w:r>
      <w:proofErr w:type="spellStart"/>
      <w:r w:rsidRPr="00475AA7">
        <w:t>eg</w:t>
      </w:r>
      <w:proofErr w:type="spellEnd"/>
      <w:r w:rsidRPr="00475AA7">
        <w:t>, Trump 2.0 or present-day AKP.)</w:t>
      </w:r>
    </w:p>
    <w:p w14:paraId="103FC744" w14:textId="77777777" w:rsidR="00475AA7" w:rsidRPr="00475AA7" w:rsidRDefault="00475AA7" w:rsidP="00475AA7">
      <w:r w:rsidRPr="00475AA7">
        <w:t>-I like how the “propositions” are getting us closer to research questions and want to talk more about this. E.g., re. “Defection requires a way out,” should we start thinking about how to operationalize “promoting inclusive images of the future”? (Or case studies thereof?) </w:t>
      </w:r>
    </w:p>
    <w:p w14:paraId="79CC2EE0" w14:textId="77777777" w:rsidR="00475AA7" w:rsidRPr="00475AA7" w:rsidRDefault="00475AA7" w:rsidP="00475AA7">
      <w:r w:rsidRPr="00475AA7">
        <w:t xml:space="preserve">-Relatedly, I’ve been thinking that prioritizing these kinds of projects might be better than trying to write a </w:t>
      </w:r>
      <w:proofErr w:type="spellStart"/>
      <w:r w:rsidRPr="00475AA7">
        <w:t>JoD</w:t>
      </w:r>
      <w:proofErr w:type="spellEnd"/>
      <w:r w:rsidRPr="00475AA7">
        <w:t xml:space="preserve"> piece from scratch. Some of the best </w:t>
      </w:r>
      <w:proofErr w:type="spellStart"/>
      <w:r w:rsidRPr="00475AA7">
        <w:t>JoD</w:t>
      </w:r>
      <w:proofErr w:type="spellEnd"/>
      <w:r w:rsidRPr="00475AA7">
        <w:t xml:space="preserve"> pieces are distillations of someone’s earlier/ongoing research projects. Perhaps if we do the latter first, we’ll bring more confidence to the former.</w:t>
      </w:r>
    </w:p>
    <w:p w14:paraId="292F49E7" w14:textId="77777777" w:rsidR="00475AA7" w:rsidRPr="00475AA7" w:rsidRDefault="00475AA7" w:rsidP="00475AA7">
      <w:r w:rsidRPr="00475AA7">
        <w:t>-The two paragraphs under “It’s not what you know” could be elaborated upon to be clearer to non-specialists. I found those a bit dense.</w:t>
      </w:r>
    </w:p>
    <w:p w14:paraId="1632E695" w14:textId="77777777" w:rsidR="00475AA7" w:rsidRPr="00475AA7" w:rsidRDefault="00475AA7" w:rsidP="00475AA7">
      <w:r w:rsidRPr="00475AA7">
        <w:t>-Section/subsection numbering could help readers orient themselves a bit better.</w:t>
      </w:r>
    </w:p>
    <w:p w14:paraId="5EA2566F" w14:textId="77777777" w:rsidR="00475AA7" w:rsidRPr="00475AA7" w:rsidRDefault="00475AA7"/>
    <w:sectPr w:rsidR="00475AA7" w:rsidRPr="0047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A7"/>
    <w:rsid w:val="001D0F00"/>
    <w:rsid w:val="002E2CF9"/>
    <w:rsid w:val="003B70C3"/>
    <w:rsid w:val="00475AA7"/>
    <w:rsid w:val="004E6152"/>
    <w:rsid w:val="0069174D"/>
    <w:rsid w:val="008A3B5B"/>
    <w:rsid w:val="008E2C25"/>
    <w:rsid w:val="00997D15"/>
    <w:rsid w:val="00B53B92"/>
    <w:rsid w:val="00BA16C1"/>
    <w:rsid w:val="00F4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B838"/>
  <w15:chartTrackingRefBased/>
  <w15:docId w15:val="{134D52A1-8CD1-4DA9-AA19-901C7D91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A7"/>
    <w:rPr>
      <w:rFonts w:eastAsiaTheme="majorEastAsia" w:cstheme="majorBidi"/>
      <w:color w:val="272727" w:themeColor="text1" w:themeTint="D8"/>
    </w:rPr>
  </w:style>
  <w:style w:type="paragraph" w:styleId="Title">
    <w:name w:val="Title"/>
    <w:basedOn w:val="Normal"/>
    <w:next w:val="Normal"/>
    <w:link w:val="TitleChar"/>
    <w:uiPriority w:val="10"/>
    <w:qFormat/>
    <w:rsid w:val="00475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A7"/>
    <w:pPr>
      <w:spacing w:before="160"/>
      <w:jc w:val="center"/>
    </w:pPr>
    <w:rPr>
      <w:i/>
      <w:iCs/>
      <w:color w:val="404040" w:themeColor="text1" w:themeTint="BF"/>
    </w:rPr>
  </w:style>
  <w:style w:type="character" w:customStyle="1" w:styleId="QuoteChar">
    <w:name w:val="Quote Char"/>
    <w:basedOn w:val="DefaultParagraphFont"/>
    <w:link w:val="Quote"/>
    <w:uiPriority w:val="29"/>
    <w:rsid w:val="00475AA7"/>
    <w:rPr>
      <w:i/>
      <w:iCs/>
      <w:color w:val="404040" w:themeColor="text1" w:themeTint="BF"/>
    </w:rPr>
  </w:style>
  <w:style w:type="paragraph" w:styleId="ListParagraph">
    <w:name w:val="List Paragraph"/>
    <w:basedOn w:val="Normal"/>
    <w:uiPriority w:val="34"/>
    <w:qFormat/>
    <w:rsid w:val="00475AA7"/>
    <w:pPr>
      <w:ind w:left="720"/>
      <w:contextualSpacing/>
    </w:pPr>
  </w:style>
  <w:style w:type="character" w:styleId="IntenseEmphasis">
    <w:name w:val="Intense Emphasis"/>
    <w:basedOn w:val="DefaultParagraphFont"/>
    <w:uiPriority w:val="21"/>
    <w:qFormat/>
    <w:rsid w:val="00475AA7"/>
    <w:rPr>
      <w:i/>
      <w:iCs/>
      <w:color w:val="0F4761" w:themeColor="accent1" w:themeShade="BF"/>
    </w:rPr>
  </w:style>
  <w:style w:type="paragraph" w:styleId="IntenseQuote">
    <w:name w:val="Intense Quote"/>
    <w:basedOn w:val="Normal"/>
    <w:next w:val="Normal"/>
    <w:link w:val="IntenseQuoteChar"/>
    <w:uiPriority w:val="30"/>
    <w:qFormat/>
    <w:rsid w:val="00475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AA7"/>
    <w:rPr>
      <w:i/>
      <w:iCs/>
      <w:color w:val="0F4761" w:themeColor="accent1" w:themeShade="BF"/>
    </w:rPr>
  </w:style>
  <w:style w:type="character" w:styleId="IntenseReference">
    <w:name w:val="Intense Reference"/>
    <w:basedOn w:val="DefaultParagraphFont"/>
    <w:uiPriority w:val="32"/>
    <w:qFormat/>
    <w:rsid w:val="00475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Pages>
  <Words>582</Words>
  <Characters>3493</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
    </vt:vector>
  </TitlesOfParts>
  <Company>The Universtiy of Texas at Dallas</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Pinckney, Jonathan</dc:creator>
  <cp:keywords/>
  <dc:description/>
  <cp:lastModifiedBy>Pinckney, Jonathan</cp:lastModifiedBy>
  <cp:revision>1</cp:revision>
  <dcterms:created xsi:type="dcterms:W3CDTF">2026-02-04T15:54:00Z</dcterms:created>
  <dcterms:modified xsi:type="dcterms:W3CDTF">2026-02-04T23:07:00Z</dcterms:modified>
</cp:coreProperties>
</file>