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Defection: Definition and Explanation </w:t>
      </w:r>
    </w:p>
    <w:p w:rsidR="00000000" w:rsidDel="00000000" w:rsidP="00000000" w:rsidRDefault="00000000" w:rsidRPr="00000000" w14:paraId="00000002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Adam Fefer, November 2025</w:t>
      </w:r>
    </w:p>
    <w:p w:rsidR="00000000" w:rsidDel="00000000" w:rsidP="00000000" w:rsidRDefault="00000000" w:rsidRPr="00000000" w14:paraId="00000003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Conceptualizing Defection</w:t>
      </w:r>
      <w:r w:rsidDel="00000000" w:rsidR="00000000" w:rsidRPr="00000000">
        <w:rPr>
          <w:color w:val="222222"/>
          <w:highlight w:val="white"/>
          <w:rtl w:val="0"/>
        </w:rPr>
        <w:t xml:space="preserve">: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Military defection as (1)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shirking </w:t>
      </w:r>
      <w:r w:rsidDel="00000000" w:rsidR="00000000" w:rsidRPr="00000000">
        <w:rPr>
          <w:color w:val="222222"/>
          <w:highlight w:val="white"/>
          <w:rtl w:val="0"/>
        </w:rPr>
        <w:t xml:space="preserve">(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cf</w:t>
      </w:r>
      <w:r w:rsidDel="00000000" w:rsidR="00000000" w:rsidRPr="00000000">
        <w:rPr>
          <w:color w:val="222222"/>
          <w:highlight w:val="white"/>
          <w:rtl w:val="0"/>
        </w:rPr>
        <w:t xml:space="preserve">. 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Pion-Berlin &amp; Trinkunas 2010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</w:t>
      </w:r>
      <w:r w:rsidDel="00000000" w:rsidR="00000000" w:rsidRPr="00000000">
        <w:rPr>
          <w:color w:val="222222"/>
          <w:highlight w:val="white"/>
          <w:rtl w:val="0"/>
        </w:rPr>
        <w:t xml:space="preserve">, (2)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deserting </w:t>
      </w:r>
      <w:r w:rsidDel="00000000" w:rsidR="00000000" w:rsidRPr="00000000">
        <w:rPr>
          <w:color w:val="222222"/>
          <w:highlight w:val="white"/>
          <w:rtl w:val="0"/>
        </w:rPr>
        <w:t xml:space="preserve">(i.e., resigning), (3)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side-switching </w:t>
      </w:r>
      <w:r w:rsidDel="00000000" w:rsidR="00000000" w:rsidRPr="00000000">
        <w:rPr>
          <w:color w:val="222222"/>
          <w:highlight w:val="white"/>
          <w:rtl w:val="0"/>
        </w:rPr>
        <w:t xml:space="preserve">(which is not all-or-nothing e.g., working with regime during the day and opposition at night), (4)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barracking </w:t>
      </w:r>
      <w:r w:rsidDel="00000000" w:rsidR="00000000" w:rsidRPr="00000000">
        <w:rPr>
          <w:color w:val="222222"/>
          <w:highlight w:val="white"/>
          <w:rtl w:val="0"/>
        </w:rPr>
        <w:t xml:space="preserve">(sub-type of shirking?), (5)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speaking</w:t>
      </w:r>
      <w:r w:rsidDel="00000000" w:rsidR="00000000" w:rsidRPr="00000000">
        <w:rPr>
          <w:color w:val="222222"/>
          <w:highlight w:val="white"/>
          <w:rtl w:val="0"/>
        </w:rPr>
        <w:t xml:space="preserve">, and (6)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quitting </w:t>
      </w:r>
      <w:r w:rsidDel="00000000" w:rsidR="00000000" w:rsidRPr="00000000">
        <w:rPr>
          <w:color w:val="222222"/>
          <w:highlight w:val="white"/>
          <w:rtl w:val="0"/>
        </w:rPr>
        <w:t xml:space="preserve">(withdrawing support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and</w:t>
      </w:r>
      <w:r w:rsidDel="00000000" w:rsidR="00000000" w:rsidRPr="00000000">
        <w:rPr>
          <w:color w:val="222222"/>
          <w:highlight w:val="white"/>
          <w:rtl w:val="0"/>
        </w:rPr>
        <w:t xml:space="preserve"> [tacitly] endorsing regime change). 1-3 are usually individual-level choices, 4-6 require more collective planning (</w:t>
      </w: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Dahl et al. 2025)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Exiting politics altogether, wanting but being unable to defect, defecting to join other elite </w:t>
      </w:r>
      <w:r w:rsidDel="00000000" w:rsidR="00000000" w:rsidRPr="00000000">
        <w:rPr>
          <w:color w:val="222222"/>
          <w:highlight w:val="white"/>
          <w:rtl w:val="0"/>
        </w:rPr>
        <w:t xml:space="preserve">faction</w:t>
      </w:r>
      <w:r w:rsidDel="00000000" w:rsidR="00000000" w:rsidRPr="00000000">
        <w:rPr>
          <w:color w:val="222222"/>
          <w:highlight w:val="white"/>
          <w:rtl w:val="0"/>
        </w:rPr>
        <w:t xml:space="preserve">s and/or masses, mobilizing other defectors (</w:t>
      </w: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Kyed &amp; Lynn 2021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Insubordination without seeking to change executive leadership (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mutiny</w:t>
      </w:r>
      <w:r w:rsidDel="00000000" w:rsidR="00000000" w:rsidRPr="00000000">
        <w:rPr>
          <w:color w:val="222222"/>
          <w:highlight w:val="white"/>
          <w:rtl w:val="0"/>
        </w:rPr>
        <w:t xml:space="preserve">) vs. quitting regime and joining something that threatens it (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defections</w:t>
      </w:r>
      <w:r w:rsidDel="00000000" w:rsidR="00000000" w:rsidRPr="00000000">
        <w:rPr>
          <w:color w:val="222222"/>
          <w:highlight w:val="white"/>
          <w:rtl w:val="0"/>
        </w:rPr>
        <w:t xml:space="preserve">, e.g., joining mass protesters, rebel groups) (</w:t>
      </w:r>
      <w:hyperlink r:id="rId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Johnson 2021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Electoral</w:t>
      </w:r>
      <w:r w:rsidDel="00000000" w:rsidR="00000000" w:rsidRPr="00000000">
        <w:rPr>
          <w:color w:val="222222"/>
          <w:highlight w:val="white"/>
          <w:rtl w:val="0"/>
        </w:rPr>
        <w:t xml:space="preserve"> defection mostly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df </w:t>
      </w:r>
      <w:r w:rsidDel="00000000" w:rsidR="00000000" w:rsidRPr="00000000">
        <w:rPr>
          <w:color w:val="222222"/>
          <w:highlight w:val="white"/>
          <w:rtl w:val="0"/>
        </w:rPr>
        <w:t xml:space="preserve">quitting pro-regime party and running as opposition or independent (</w:t>
      </w:r>
      <w:hyperlink r:id="rId1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del Rio 2022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</w:t>
      </w:r>
      <w:r w:rsidDel="00000000" w:rsidR="00000000" w:rsidRPr="00000000">
        <w:rPr>
          <w:color w:val="222222"/>
          <w:highlight w:val="white"/>
          <w:rtl w:val="0"/>
        </w:rPr>
        <w:t xml:space="preserve">.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Business/religious</w:t>
      </w:r>
      <w:r w:rsidDel="00000000" w:rsidR="00000000" w:rsidRPr="00000000">
        <w:rPr>
          <w:color w:val="222222"/>
          <w:highlight w:val="white"/>
          <w:rtl w:val="0"/>
        </w:rPr>
        <w:t xml:space="preserve"> defection mostly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df </w:t>
      </w:r>
      <w:r w:rsidDel="00000000" w:rsidR="00000000" w:rsidRPr="00000000">
        <w:rPr>
          <w:color w:val="222222"/>
          <w:highlight w:val="white"/>
          <w:rtl w:val="0"/>
        </w:rPr>
        <w:t xml:space="preserve">becoming key constituent of opposition (V-Dem ‘v2regimpgrout’ variable), speaking out against regime (</w:t>
      </w:r>
      <w:hyperlink r:id="rId1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Sinanoglu 2025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Nepstad 2019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Structural factors enabling/disabling defection: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Party</w:t>
      </w:r>
      <w:r w:rsidDel="00000000" w:rsidR="00000000" w:rsidRPr="00000000">
        <w:rPr>
          <w:rFonts w:ascii="Cardo" w:cs="Cardo" w:eastAsia="Cardo" w:hAnsi="Cardo"/>
          <w:color w:val="222222"/>
          <w:highlight w:val="white"/>
          <w:rtl w:val="0"/>
        </w:rPr>
        <w:t xml:space="preserve"> factors: Incumbent party weakening → struggles to keep existing members together or recruit new ones. Coalition too big/fragmented → conflict becomes more zero-sum, less to distribute to loyalists. Defector ability to run &amp; succeed as independent candidate. Opposition capacity to absorb/protect defectors from retribution (</w:t>
      </w:r>
      <w:hyperlink r:id="rId1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Lee 2019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). Incumbent party can’t help members win elections or achieve objectives (</w:t>
      </w:r>
      <w:hyperlink r:id="rId1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Reuter &amp; Szakonyi 2019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, </w:t>
      </w:r>
      <w:hyperlink r:id="rId1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Khisa 2016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Economic</w:t>
      </w:r>
      <w:r w:rsidDel="00000000" w:rsidR="00000000" w:rsidRPr="00000000">
        <w:rPr>
          <w:rFonts w:ascii="Cardo" w:cs="Cardo" w:eastAsia="Cardo" w:hAnsi="Cardo"/>
          <w:color w:val="222222"/>
          <w:highlight w:val="white"/>
          <w:rtl w:val="0"/>
        </w:rPr>
        <w:t xml:space="preserve"> crises, worsening performance → elites lose confidence in regime ability to deliver, defectors can appeal to disgruntled voters (</w:t>
      </w:r>
      <w:hyperlink r:id="rId1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Reuter &amp; Gandhi 2010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, </w:t>
      </w:r>
      <w:hyperlink r:id="rId1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Wood 2000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). Elites’ international economic ties can force sanctions </w:t>
      </w:r>
      <w:r w:rsidDel="00000000" w:rsidR="00000000" w:rsidRPr="00000000">
        <w:rPr>
          <w:color w:val="222222"/>
          <w:highlight w:val="white"/>
          <w:rtl w:val="0"/>
        </w:rPr>
        <w:t xml:space="preserve">on regime</w:t>
      </w:r>
      <w:r w:rsidDel="00000000" w:rsidR="00000000" w:rsidRPr="00000000">
        <w:rPr>
          <w:color w:val="222222"/>
          <w:highlight w:val="white"/>
          <w:rtl w:val="0"/>
        </w:rPr>
        <w:t xml:space="preserve"> (</w:t>
      </w:r>
      <w:hyperlink r:id="rId1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Nepstad 2011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Strategic</w:t>
      </w:r>
      <w:r w:rsidDel="00000000" w:rsidR="00000000" w:rsidRPr="00000000">
        <w:rPr>
          <w:color w:val="222222"/>
          <w:highlight w:val="white"/>
          <w:rtl w:val="0"/>
        </w:rPr>
        <w:t xml:space="preserve"> problems: Incentives to falsify grievances b/c fear punishment + opposition may distrust defectors (e.g., doubt their sincerity, hold them responsible for crimes). </w:t>
      </w:r>
      <w:r w:rsidDel="00000000" w:rsidR="00000000" w:rsidRPr="00000000">
        <w:rPr>
          <w:color w:val="222222"/>
          <w:highlight w:val="white"/>
          <w:rtl w:val="0"/>
        </w:rPr>
        <w:t xml:space="preserve">Opposition</w:t>
      </w:r>
      <w:r w:rsidDel="00000000" w:rsidR="00000000" w:rsidRPr="00000000">
        <w:rPr>
          <w:color w:val="222222"/>
          <w:highlight w:val="white"/>
          <w:rtl w:val="0"/>
        </w:rPr>
        <w:t xml:space="preserve"> must credibly commit not to punish defectors. Elites must assess (1) willingness of other elites to defect and (2) voters’ willingness to support them (del Rio 2022, </w:t>
      </w:r>
      <w:hyperlink r:id="rId1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Hale &amp; Colton 2017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). 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Military and business may face fewer coordination problems than MPs because less dependent on mass support + military may fear inciting revolt.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Social networks</w:t>
      </w:r>
      <w:r w:rsidDel="00000000" w:rsidR="00000000" w:rsidRPr="00000000">
        <w:rPr>
          <w:color w:val="222222"/>
          <w:highlight w:val="white"/>
          <w:rtl w:val="0"/>
        </w:rPr>
        <w:t xml:space="preserve">: persuade defectors of value/feasibility of doing so (</w:t>
      </w:r>
      <w:hyperlink r:id="rId2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Binnendijk &amp; Marovic 2006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, </w:t>
      </w:r>
      <w:hyperlink r:id="rId2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Pinckney &amp; Trilling 2025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 + facilitate coordination with opposition (</w:t>
      </w:r>
      <w:hyperlink r:id="rId2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Koehler et al. 2016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). But defector must trust source—depends on length/intimacy of relationship.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Autonomy</w:t>
      </w:r>
      <w:r w:rsidDel="00000000" w:rsidR="00000000" w:rsidRPr="00000000">
        <w:rPr>
          <w:color w:val="222222"/>
          <w:highlight w:val="white"/>
          <w:rtl w:val="0"/>
        </w:rPr>
        <w:t xml:space="preserve">: business independent power or religious group separation from state (Nepstad 2019, </w:t>
      </w:r>
      <w:hyperlink r:id="rId2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Slater 2009</w:t>
        </w:r>
      </w:hyperlink>
      <w:r w:rsidDel="00000000" w:rsidR="00000000" w:rsidRPr="00000000">
        <w:rPr>
          <w:rFonts w:ascii="Cardo" w:cs="Cardo" w:eastAsia="Cardo" w:hAnsi="Cardo"/>
          <w:color w:val="222222"/>
          <w:highlight w:val="white"/>
          <w:rtl w:val="0"/>
        </w:rPr>
        <w:t xml:space="preserve">) → more likely to defect than state-dependent MPs or bureaucrats. Elites’ prior private sector experience → less dependent on regime, defection more likely (</w:t>
      </w:r>
      <w:hyperlink r:id="rId2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Dasanaike 2021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). </w:t>
      </w:r>
      <w:r w:rsidDel="00000000" w:rsidR="00000000" w:rsidRPr="00000000">
        <w:rPr>
          <w:rFonts w:ascii="Cardo" w:cs="Cardo" w:eastAsia="Cardo" w:hAnsi="Cardo"/>
          <w:color w:val="222222"/>
          <w:highlight w:val="white"/>
          <w:rtl w:val="0"/>
        </w:rPr>
        <w:t xml:space="preserve">Middle class economic dependence on state → less likely to support democratic change (</w:t>
      </w:r>
      <w:hyperlink r:id="rId2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Rosenfeld 2021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Regime </w:t>
      </w:r>
      <w:r w:rsidDel="00000000" w:rsidR="00000000" w:rsidRPr="00000000">
        <w:rPr>
          <w:rFonts w:ascii="Cardo" w:cs="Cardo" w:eastAsia="Cardo" w:hAnsi="Cardo"/>
          <w:color w:val="222222"/>
          <w:highlight w:val="white"/>
          <w:rtl w:val="0"/>
        </w:rPr>
        <w:t xml:space="preserve">factors: defection punished more harshly under autocracy than democracy. “Personalist” regimes less able to guarantee elite rents/safety → lack of constraints on autocrat make defection more likely (</w:t>
      </w:r>
      <w:hyperlink r:id="rId2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Lee 2014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). Regime control over media to shore up support + prevent elite coordination. Regime efforts to prevent defections and repress opposition. Growth in mass democratic attitudes (</w:t>
      </w:r>
      <w:hyperlink r:id="rId2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Andrews &amp; Honig 2019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). </w:t>
      </w:r>
      <w:r w:rsidDel="00000000" w:rsidR="00000000" w:rsidRPr="00000000">
        <w:rPr>
          <w:color w:val="222222"/>
          <w:highlight w:val="white"/>
          <w:rtl w:val="0"/>
        </w:rPr>
        <w:t xml:space="preserve">Anocracy</w:t>
      </w:r>
      <w:r w:rsidDel="00000000" w:rsidR="00000000" w:rsidRPr="00000000">
        <w:rPr>
          <w:color w:val="222222"/>
          <w:highlight w:val="white"/>
          <w:rtl w:val="0"/>
        </w:rPr>
        <w:t xml:space="preserve"> more</w:t>
      </w:r>
      <w:r w:rsidDel="00000000" w:rsidR="00000000" w:rsidRPr="00000000">
        <w:rPr>
          <w:color w:val="222222"/>
          <w:highlight w:val="white"/>
          <w:rtl w:val="0"/>
        </w:rPr>
        <w:t xml:space="preserve"> unstable &amp; defection-prone than democracy/autocracy. </w:t>
      </w:r>
    </w:p>
    <w:p w:rsidR="00000000" w:rsidDel="00000000" w:rsidP="00000000" w:rsidRDefault="00000000" w:rsidRPr="00000000" w14:paraId="00000012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Individual-level motivations for (not) defecting</w:t>
      </w:r>
      <w:r w:rsidDel="00000000" w:rsidR="00000000" w:rsidRPr="00000000">
        <w:rPr>
          <w:color w:val="222222"/>
          <w:highlight w:val="white"/>
          <w:rtl w:val="0"/>
        </w:rPr>
        <w:t xml:space="preserve">: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Pragmatic</w:t>
      </w:r>
      <w:r w:rsidDel="00000000" w:rsidR="00000000" w:rsidRPr="00000000">
        <w:rPr>
          <w:color w:val="222222"/>
          <w:highlight w:val="white"/>
          <w:rtl w:val="0"/>
        </w:rPr>
        <w:t xml:space="preserve">: grievances re. low/declining status, negative personal experiences </w:t>
      </w:r>
      <w:r w:rsidDel="00000000" w:rsidR="00000000" w:rsidRPr="00000000">
        <w:rPr>
          <w:color w:val="222222"/>
          <w:highlight w:val="white"/>
          <w:rtl w:val="0"/>
        </w:rPr>
        <w:t xml:space="preserve">with regime</w:t>
      </w:r>
      <w:r w:rsidDel="00000000" w:rsidR="00000000" w:rsidRPr="00000000">
        <w:rPr>
          <w:color w:val="222222"/>
          <w:highlight w:val="white"/>
          <w:rtl w:val="0"/>
        </w:rPr>
        <w:t xml:space="preserve">, </w:t>
      </w:r>
      <w:r w:rsidDel="00000000" w:rsidR="00000000" w:rsidRPr="00000000">
        <w:rPr>
          <w:color w:val="222222"/>
          <w:highlight w:val="white"/>
          <w:rtl w:val="0"/>
        </w:rPr>
        <w:t xml:space="preserve">believe</w:t>
      </w:r>
      <w:r w:rsidDel="00000000" w:rsidR="00000000" w:rsidRPr="00000000">
        <w:rPr>
          <w:color w:val="222222"/>
          <w:highlight w:val="white"/>
          <w:rtl w:val="0"/>
        </w:rPr>
        <w:t xml:space="preserve"> regime is weak and seen as illegitimate (</w:t>
      </w:r>
      <w:hyperlink r:id="rId2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Schierenbeck &amp; Rudd 2017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). Political elites believe regime can’t realize goals, e.g., policy agenda, may seek to become bigger fish in opposition. But often fear losing wealth/privilege.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highlight w:val="white"/>
          <w:rtl w:val="0"/>
        </w:rPr>
        <w:t xml:space="preserve">Quid pro quos with regime → defection among business actors less likely, even in face of economic crises → costs of defection decrease the further one moves from center of power (Sinalonglu 2025).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rFonts w:ascii="Cardo" w:cs="Cardo" w:eastAsia="Cardo" w:hAnsi="Cardo"/>
          <w:color w:val="222222"/>
          <w:highlight w:val="white"/>
          <w:rtl w:val="0"/>
        </w:rPr>
        <w:t xml:space="preserve">Jim Crow as undermining Southern reputation &amp; FDI opportunities → businesses withdraw support (</w:t>
      </w:r>
      <w:hyperlink r:id="rId2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Luders 2006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Moral &amp; psychological</w:t>
      </w:r>
      <w:r w:rsidDel="00000000" w:rsidR="00000000" w:rsidRPr="00000000">
        <w:rPr>
          <w:color w:val="222222"/>
          <w:highlight w:val="white"/>
          <w:rtl w:val="0"/>
        </w:rPr>
        <w:t xml:space="preserve"> costs of aiding regime (</w:t>
      </w:r>
      <w:hyperlink r:id="rId3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Albrecht &amp; Koehler 2017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), desire to rejoin communities from which one has been isolated (</w:t>
      </w:r>
      <w:hyperlink r:id="rId3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Chandler 2017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), but psychological pressure from regime not to defect.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Ideology</w:t>
      </w:r>
      <w:r w:rsidDel="00000000" w:rsidR="00000000" w:rsidRPr="00000000">
        <w:rPr>
          <w:rFonts w:ascii="Cardo" w:cs="Cardo" w:eastAsia="Cardo" w:hAnsi="Cardo"/>
          <w:color w:val="222222"/>
          <w:highlight w:val="white"/>
          <w:rtl w:val="0"/>
        </w:rPr>
        <w:t xml:space="preserve">: regime betraying its promises, unable to manage economy; regime brutality → elites fear they could be next (</w:t>
      </w:r>
      <w:hyperlink r:id="rId3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Aguirre 2010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); clergy defect b/c identify with victims of repression (Nepstad 2019). Accessing accurate information and coming to terms with regime lies.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rFonts w:ascii="Cardo" w:cs="Cardo" w:eastAsia="Cardo" w:hAnsi="Cardo"/>
          <w:color w:val="222222"/>
          <w:highlight w:val="white"/>
          <w:rtl w:val="0"/>
        </w:rPr>
        <w:t xml:space="preserve">Jim Crow as undermining evangelism, lawfulness, and biblical consistency → White Southern Christians withdraw support (</w:t>
      </w:r>
      <w:hyperlink r:id="rId3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Chappell 2004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highlight w:val="white"/>
          <w:rtl w:val="0"/>
        </w:rPr>
        <w:t xml:space="preserve">Violent flanks that are hostile to religion → clergy defect from regime and side with nonviolent flank (</w:t>
      </w:r>
      <w:hyperlink r:id="rId3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Nepstad 2021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Social</w:t>
      </w:r>
      <w:r w:rsidDel="00000000" w:rsidR="00000000" w:rsidRPr="00000000">
        <w:rPr>
          <w:color w:val="222222"/>
          <w:highlight w:val="white"/>
          <w:rtl w:val="0"/>
        </w:rPr>
        <w:t xml:space="preserve"> ties: sharing protesters’ grievances (</w:t>
      </w:r>
      <w:hyperlink r:id="rId3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Grewal 2019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, </w:t>
      </w:r>
      <w:hyperlink r:id="rId3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Ketchley 2014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 &amp; distrust for regime, “common cause” with other defectors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rFonts w:ascii="Cardo" w:cs="Cardo" w:eastAsia="Cardo" w:hAnsi="Cardo"/>
          <w:color w:val="222222"/>
          <w:highlight w:val="white"/>
          <w:rtl w:val="0"/>
        </w:rPr>
        <w:t xml:space="preserve">Ethnic ties with regime → defection less likely (</w:t>
      </w:r>
      <w:hyperlink r:id="rId3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McLauchlin 2010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Institutional</w:t>
      </w:r>
      <w:r w:rsidDel="00000000" w:rsidR="00000000" w:rsidRPr="00000000">
        <w:rPr>
          <w:color w:val="222222"/>
          <w:highlight w:val="white"/>
          <w:rtl w:val="0"/>
        </w:rPr>
        <w:t xml:space="preserve"> concerns: </w:t>
      </w:r>
      <w:r w:rsidDel="00000000" w:rsidR="00000000" w:rsidRPr="00000000">
        <w:rPr>
          <w:color w:val="222222"/>
          <w:highlight w:val="white"/>
          <w:rtl w:val="0"/>
        </w:rPr>
        <w:t xml:space="preserve">aiding regime</w:t>
      </w:r>
      <w:r w:rsidDel="00000000" w:rsidR="00000000" w:rsidRPr="00000000">
        <w:rPr>
          <w:color w:val="222222"/>
          <w:highlight w:val="white"/>
          <w:rtl w:val="0"/>
        </w:rPr>
        <w:t xml:space="preserve"> will erode public trust/credibility in church, military, etc. (</w:t>
      </w:r>
      <w:hyperlink r:id="rId3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Brooks 2013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, Pion-Berlin &amp; Trinkunas 2010</w:t>
      </w:r>
      <w:r w:rsidDel="00000000" w:rsidR="00000000" w:rsidRPr="00000000">
        <w:rPr>
          <w:color w:val="222222"/>
          <w:highlight w:val="white"/>
          <w:rtl w:val="0"/>
        </w:rPr>
        <w:t xml:space="preserve">); believe one’s institution (e.g., bureaucracy) under-resourced, fear international sanctions on institution.</w:t>
      </w:r>
    </w:p>
    <w:p w:rsidR="00000000" w:rsidDel="00000000" w:rsidP="00000000" w:rsidRDefault="00000000" w:rsidRPr="00000000" w14:paraId="0000001E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u w:val="single"/>
          <w:rtl w:val="0"/>
        </w:rPr>
        <w:t xml:space="preserve">AF notes</w:t>
      </w:r>
      <w:r w:rsidDel="00000000" w:rsidR="00000000" w:rsidRPr="00000000">
        <w:rPr>
          <w:color w:val="222222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-All of this comes from scholarship that’s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explicitly</w:t>
      </w:r>
      <w:r w:rsidDel="00000000" w:rsidR="00000000" w:rsidRPr="00000000">
        <w:rPr>
          <w:color w:val="222222"/>
          <w:highlight w:val="white"/>
          <w:rtl w:val="0"/>
        </w:rPr>
        <w:t xml:space="preserve"> about ‘defections/loyalty shifts,’ except for the Jim Crow business/church examples. Other important cases—e.g., bureaucrats or students withdrawing support from Eurasian communism—have also used different language to describe the same phenomenon.</w:t>
      </w:r>
    </w:p>
    <w:p w:rsidR="00000000" w:rsidDel="00000000" w:rsidP="00000000" w:rsidRDefault="00000000" w:rsidRPr="00000000" w14:paraId="00000021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-Most of these causal factors have little to do with democracy/freedom—important to keep in mind as we seek to shift loyalties of US actors.</w:t>
      </w:r>
    </w:p>
    <w:p w:rsidR="00000000" w:rsidDel="00000000" w:rsidP="00000000" w:rsidRDefault="00000000" w:rsidRPr="00000000" w14:paraId="00000022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-Some concept that captures “</w:t>
      </w:r>
      <w:r w:rsidDel="00000000" w:rsidR="00000000" w:rsidRPr="00000000">
        <w:rPr>
          <w:color w:val="222222"/>
          <w:highlight w:val="white"/>
          <w:rtl w:val="0"/>
        </w:rPr>
        <w:t xml:space="preserve">exiting</w:t>
      </w:r>
      <w:r w:rsidDel="00000000" w:rsidR="00000000" w:rsidRPr="00000000">
        <w:rPr>
          <w:color w:val="222222"/>
          <w:highlight w:val="white"/>
          <w:rtl w:val="0"/>
        </w:rPr>
        <w:t xml:space="preserve"> politics altogether” (a la military desertion) will be important to highlight that some of these MAGA-aligned actors can do a lot of good by just stopping what they’re currently doing—even if they don’t replace it with something more noble.</w:t>
      </w:r>
    </w:p>
    <w:p w:rsidR="00000000" w:rsidDel="00000000" w:rsidP="00000000" w:rsidRDefault="00000000" w:rsidRPr="00000000" w14:paraId="0000002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i.org/10.1016/j.postcomstud.2006.06.003" TargetMode="External"/><Relationship Id="rId22" Type="http://schemas.openxmlformats.org/officeDocument/2006/relationships/hyperlink" Target="https://doi.org/10.5129/001041516819197601" TargetMode="External"/><Relationship Id="rId21" Type="http://schemas.openxmlformats.org/officeDocument/2006/relationships/hyperlink" Target="https://doi.org/10.17813/1086-671X-30-2-171" TargetMode="External"/><Relationship Id="rId24" Type="http://schemas.openxmlformats.org/officeDocument/2006/relationships/hyperlink" Target="https://doi.org/10.1177/13540688211025176" TargetMode="External"/><Relationship Id="rId23" Type="http://schemas.openxmlformats.org/officeDocument/2006/relationships/hyperlink" Target="https://doi.org/10.1086/59779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177/00223433211020092" TargetMode="External"/><Relationship Id="rId26" Type="http://schemas.openxmlformats.org/officeDocument/2006/relationships/hyperlink" Target="https://dx.doi.org/10.1353/book.38076" TargetMode="External"/><Relationship Id="rId25" Type="http://schemas.openxmlformats.org/officeDocument/2006/relationships/hyperlink" Target="https://doi.org/10.2307/j.ctv12fw7bx" TargetMode="External"/><Relationship Id="rId28" Type="http://schemas.openxmlformats.org/officeDocument/2006/relationships/hyperlink" Target="https://doi.org/10.1080/19448953.2017.1375626" TargetMode="External"/><Relationship Id="rId27" Type="http://schemas.openxmlformats.org/officeDocument/2006/relationships/hyperlink" Target="https://doi.org/10.1080/13510347.2019.1566322" TargetMode="External"/><Relationship Id="rId5" Type="http://schemas.openxmlformats.org/officeDocument/2006/relationships/styles" Target="styles.xml"/><Relationship Id="rId6" Type="http://schemas.openxmlformats.org/officeDocument/2006/relationships/hyperlink" Target="https://doi.org/10.5129/001041510X12911363509990" TargetMode="External"/><Relationship Id="rId29" Type="http://schemas.openxmlformats.org/officeDocument/2006/relationships/hyperlink" Target="https://www.jstor.org/stable/10.1086/498632" TargetMode="External"/><Relationship Id="rId7" Type="http://schemas.openxmlformats.org/officeDocument/2006/relationships/hyperlink" Target="https://doi.org/10.1177/00220027251348389" TargetMode="External"/><Relationship Id="rId8" Type="http://schemas.openxmlformats.org/officeDocument/2006/relationships/hyperlink" Target="https://www.econstor.eu/handle/10419/249929" TargetMode="External"/><Relationship Id="rId31" Type="http://schemas.openxmlformats.org/officeDocument/2006/relationships/hyperlink" Target="https://doi.org/10.1111/1468-2281.12183" TargetMode="External"/><Relationship Id="rId30" Type="http://schemas.openxmlformats.org/officeDocument/2006/relationships/hyperlink" Target="http://www.tandfonline.com/action/showCitFormats?doi=10.1080/09636412.2017.1386931" TargetMode="External"/><Relationship Id="rId11" Type="http://schemas.openxmlformats.org/officeDocument/2006/relationships/hyperlink" Target="https://doi.org/10.1017/gov.2025.10021" TargetMode="External"/><Relationship Id="rId33" Type="http://schemas.openxmlformats.org/officeDocument/2006/relationships/hyperlink" Target="https://www.jstor.org/stable/10.5149/9780807895573_chappell" TargetMode="External"/><Relationship Id="rId10" Type="http://schemas.openxmlformats.org/officeDocument/2006/relationships/hyperlink" Target="https://doi.org/10.1177/00104140221074273" TargetMode="External"/><Relationship Id="rId32" Type="http://schemas.openxmlformats.org/officeDocument/2006/relationships/hyperlink" Target="https://www.jstor.org/stable/43486331" TargetMode="External"/><Relationship Id="rId13" Type="http://schemas.openxmlformats.org/officeDocument/2006/relationships/hyperlink" Target="https://www.iseas.edu.sg/wp-content/uploads/pdfs/ISEASEWP2019-1Lee.pdf" TargetMode="External"/><Relationship Id="rId35" Type="http://schemas.openxmlformats.org/officeDocument/2006/relationships/hyperlink" Target="https://doi.org/10.1093/isq/sqz003" TargetMode="External"/><Relationship Id="rId12" Type="http://schemas.openxmlformats.org/officeDocument/2006/relationships/hyperlink" Target="https://doi.org/10.1108/S0163-786X20190000043010" TargetMode="External"/><Relationship Id="rId34" Type="http://schemas.openxmlformats.org/officeDocument/2006/relationships/hyperlink" Target="https://doi.org/10.1177/23780231211054997" TargetMode="External"/><Relationship Id="rId15" Type="http://schemas.openxmlformats.org/officeDocument/2006/relationships/hyperlink" Target="https://doi.org/10.1080/17531055.2016.1272288" TargetMode="External"/><Relationship Id="rId37" Type="http://schemas.openxmlformats.org/officeDocument/2006/relationships/hyperlink" Target="https://doi.org/10.5129/001041510X12911363509792" TargetMode="External"/><Relationship Id="rId14" Type="http://schemas.openxmlformats.org/officeDocument/2006/relationships/hyperlink" Target="https://doi.org/10.1017/S0003055419000030" TargetMode="External"/><Relationship Id="rId36" Type="http://schemas.openxmlformats.org/officeDocument/2006/relationships/hyperlink" Target="https://doi.org/10.1017/S0010417513000650" TargetMode="External"/><Relationship Id="rId17" Type="http://schemas.openxmlformats.org/officeDocument/2006/relationships/hyperlink" Target="https://ideas.repec.org/b/cup/cbooks/9780521783231.html" TargetMode="External"/><Relationship Id="rId16" Type="http://schemas.openxmlformats.org/officeDocument/2006/relationships/hyperlink" Target="https://doi.org/10.1017/S0007123410000293" TargetMode="External"/><Relationship Id="rId38" Type="http://schemas.openxmlformats.org/officeDocument/2006/relationships/hyperlink" Target="https://doi.org/10.1080/01402390.2012.742011" TargetMode="External"/><Relationship Id="rId19" Type="http://schemas.openxmlformats.org/officeDocument/2006/relationships/hyperlink" Target="https://doi.org/10.1017/S0003055416000642" TargetMode="External"/><Relationship Id="rId18" Type="http://schemas.openxmlformats.org/officeDocument/2006/relationships/hyperlink" Target="https://doi.org/10.1093/acprof:oso/9780199778201.001.000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