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Regresión</w:t>
      </w:r>
      <w:r>
        <w:t xml:space="preserve"> </w:t>
      </w:r>
      <w:r>
        <w:t xml:space="preserve">Lineal</w:t>
      </w:r>
      <w:r>
        <w:t xml:space="preserve"> </w:t>
      </w:r>
      <w:r>
        <w:t xml:space="preserve">Múltiple</w:t>
      </w:r>
      <w:r>
        <w:t xml:space="preserve"> </w:t>
      </w:r>
      <w:r>
        <w:t xml:space="preserve">Taller</w:t>
      </w:r>
      <w:r>
        <w:t xml:space="preserve"> </w:t>
      </w:r>
      <w:r>
        <w:t xml:space="preserve">#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Julián</w:t>
      </w:r>
      <w:r>
        <w:t xml:space="preserve"> </w:t>
      </w:r>
      <w:r>
        <w:t xml:space="preserve">Camilo</w:t>
      </w:r>
      <w:r>
        <w:t xml:space="preserve"> </w:t>
      </w:r>
      <w:r>
        <w:t xml:space="preserve">Riaño</w:t>
      </w:r>
      <w:r>
        <w:t xml:space="preserve"> </w:t>
      </w:r>
      <w:r>
        <w:t xml:space="preserve">Moreno</w:t>
      </w:r>
    </w:p>
    <w:p>
      <w:pPr>
        <w:pStyle w:val="Date"/>
      </w:pPr>
      <w:r>
        <w:t xml:space="preserve">22/3/2020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X5ec96f0661aad0b797422c22b7f5fea7c892138"/>
      <w:r>
        <w:t xml:space="preserve">Actividad: desarrollo de taller # 2 (Regresión lineal múltiple)</w:t>
      </w:r>
      <w:bookmarkEnd w:id="20"/>
    </w:p>
    <w:p>
      <w:pPr>
        <w:pStyle w:val="FirstParagraph"/>
      </w:pPr>
      <w:r>
        <w:t xml:space="preserve">En el archivo adjunto denominado atletas.xls se encuentran los datos de 98</w:t>
      </w:r>
      <w:r>
        <w:t xml:space="preserve"> </w:t>
      </w:r>
      <w:r>
        <w:t xml:space="preserve">mujeres atletas de élite que fueron entrenadas en el Instituto Australiano del</w:t>
      </w:r>
      <w:r>
        <w:t xml:space="preserve"> </w:t>
      </w:r>
      <w:r>
        <w:t xml:space="preserve">Deporte. El objetivo del análisis de este conjunto de datos es explicar el</w:t>
      </w:r>
      <w:r>
        <w:t xml:space="preserve"> </w:t>
      </w:r>
      <w:r>
        <w:t xml:space="preserve">comportamiento de la masa corporal magra (lbm) a partir de la estatura en centímetros</w:t>
      </w:r>
      <w:r>
        <w:t xml:space="preserve"> </w:t>
      </w:r>
      <w:r>
        <w:t xml:space="preserve">(ht), el peso en kilogramos (wt) y el conteo de glóbulos rojos (rcc).</w:t>
      </w:r>
    </w:p>
    <w:p>
      <w:pPr>
        <w:pStyle w:val="Compact"/>
        <w:numPr>
          <w:numId w:val="1001"/>
          <w:ilvl w:val="0"/>
        </w:numPr>
      </w:pPr>
      <w:r>
        <w:t xml:space="preserve">Haga un análisis descriptivo del conjunto de datos, es decir, construya</w:t>
      </w:r>
      <w:r>
        <w:t xml:space="preserve"> </w:t>
      </w:r>
      <w:r>
        <w:t xml:space="preserve">diagramas de dispersión de cada variable explicativa con la variable respuesta.</w:t>
      </w:r>
      <w:r>
        <w:t xml:space="preserve"> </w:t>
      </w:r>
      <w:r>
        <w:t xml:space="preserve">las correlaciones simples y parciales entre las variables.Comente.</w:t>
      </w:r>
    </w:p>
    <w:p>
      <w:pPr>
        <w:pStyle w:val="TableCaption"/>
      </w:pPr>
      <w:r>
        <w:t xml:space="preserve">Coeficiente de correlación de Pearson para las variables dadas</w:t>
      </w:r>
    </w:p>
    <w:tbl>
      <w:tblPr>
        <w:tblStyle w:val="Table"/>
        <w:tblW w:type="pct" w:w="0.0"/>
        <w:tblLook w:firstRow="1"/>
        <w:tblCaption w:val="Coeficiente de correlación de Pearson para las variables dada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masa_c_magra_%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Estatura_cm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Peso_kg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ContGR_M_mm3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masa_c_magra_%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p>
            <w:pPr>
              <w:pStyle w:val="Compact"/>
              <w:jc w:val="center"/>
            </w:pPr>
            <w:r>
              <w:t xml:space="preserve">0.711</w:t>
            </w:r>
          </w:p>
        </w:tc>
        <w:tc>
          <w:p>
            <w:pPr>
              <w:pStyle w:val="Compact"/>
              <w:jc w:val="center"/>
            </w:pPr>
            <w:r>
              <w:t xml:space="preserve">0.939</w:t>
            </w:r>
          </w:p>
        </w:tc>
        <w:tc>
          <w:p>
            <w:pPr>
              <w:pStyle w:val="Compact"/>
              <w:jc w:val="center"/>
            </w:pPr>
            <w:r>
              <w:t xml:space="preserve">0.085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Estatura_cm</w:t>
            </w:r>
          </w:p>
        </w:tc>
        <w:tc>
          <w:p>
            <w:pPr>
              <w:pStyle w:val="Compact"/>
              <w:jc w:val="center"/>
            </w:pPr>
            <w:r>
              <w:t xml:space="preserve">0.711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p>
            <w:pPr>
              <w:pStyle w:val="Compact"/>
              <w:jc w:val="center"/>
            </w:pPr>
            <w:r>
              <w:t xml:space="preserve">0.715</w:t>
            </w:r>
          </w:p>
        </w:tc>
        <w:tc>
          <w:p>
            <w:pPr>
              <w:pStyle w:val="Compact"/>
              <w:jc w:val="center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Peso_kg</w:t>
            </w:r>
          </w:p>
        </w:tc>
        <w:tc>
          <w:p>
            <w:pPr>
              <w:pStyle w:val="Compact"/>
              <w:jc w:val="center"/>
            </w:pPr>
            <w:r>
              <w:t xml:space="preserve">0.939</w:t>
            </w:r>
          </w:p>
        </w:tc>
        <w:tc>
          <w:p>
            <w:pPr>
              <w:pStyle w:val="Compact"/>
              <w:jc w:val="center"/>
            </w:pPr>
            <w:r>
              <w:t xml:space="preserve">0.715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p>
            <w:pPr>
              <w:pStyle w:val="Compact"/>
              <w:jc w:val="center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ContGR_M_mm3</w:t>
            </w:r>
          </w:p>
        </w:tc>
        <w:tc>
          <w:p>
            <w:pPr>
              <w:pStyle w:val="Compact"/>
              <w:jc w:val="center"/>
            </w:pPr>
            <w:r>
              <w:t xml:space="preserve">0.085</w:t>
            </w:r>
          </w:p>
        </w:tc>
        <w:tc>
          <w:p>
            <w:pPr>
              <w:pStyle w:val="Compact"/>
              <w:jc w:val="center"/>
            </w:pPr>
            <w:r>
              <w:t xml:space="preserve">0.015</w:t>
            </w:r>
          </w:p>
        </w:tc>
        <w:tc>
          <w:p>
            <w:pPr>
              <w:pStyle w:val="Compact"/>
              <w:jc w:val="center"/>
            </w:pPr>
            <w:r>
              <w:t xml:space="preserve">0.021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</w:tbl>
    <w:p>
      <w:pPr>
        <w:pStyle w:val="BodyText"/>
      </w:pPr>
      <w:r>
        <w:t xml:space="preserve">Se aplicó un coeficiente de correlación de Pearson dado que las variables dadas (</w:t>
      </w:r>
      <w:r>
        <w:t xml:space="preserve">‘</w:t>
      </w:r>
      <w:r>
        <w:t xml:space="preserve">masa_c_magra_%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Estatura_cm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Peso_kg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ContGR_M_mm3</w:t>
      </w:r>
      <w:r>
        <w:t xml:space="preserve">’</w:t>
      </w:r>
      <w:r>
        <w:t xml:space="preserve">) son cuantitativas continuas. Los resultados son mostrados en la Tabla 1. Desde estos resultados se puede afirmar que la variable regresora</w:t>
      </w:r>
      <w:r>
        <w:t xml:space="preserve"> </w:t>
      </w:r>
      <w:r>
        <w:t xml:space="preserve">‘</w:t>
      </w:r>
      <w:r>
        <w:t xml:space="preserve">Peso_kg</w:t>
      </w:r>
      <w:r>
        <w:t xml:space="preserve">’</w:t>
      </w:r>
      <w:r>
        <w:t xml:space="preserve"> </w:t>
      </w:r>
      <w:r>
        <w:t xml:space="preserve">es la que mayor correlación (0.939) tiene con la variable respuesta</w:t>
      </w:r>
      <w:r>
        <w:t xml:space="preserve"> </w:t>
      </w:r>
      <w:r>
        <w:t xml:space="preserve">‘</w:t>
      </w:r>
      <w:r>
        <w:t xml:space="preserve">masa_c_magra_%</w:t>
      </w:r>
      <w:r>
        <w:t xml:space="preserve">’</w:t>
      </w:r>
      <w:r>
        <w:t xml:space="preserve">, seguida de la variable</w:t>
      </w:r>
      <w:r>
        <w:t xml:space="preserve"> </w:t>
      </w:r>
      <w:r>
        <w:t xml:space="preserve">‘</w:t>
      </w:r>
      <w:r>
        <w:t xml:space="preserve">Estatura_cm</w:t>
      </w:r>
      <w:r>
        <w:t xml:space="preserve">’</w:t>
      </w:r>
      <w:r>
        <w:t xml:space="preserve"> </w:t>
      </w:r>
      <w:r>
        <w:t xml:space="preserve">(0.711). Incluso, es posible una mediana correlación entre ellas (</w:t>
      </w:r>
      <w:r>
        <w:t xml:space="preserve">‘</w:t>
      </w:r>
      <w:r>
        <w:t xml:space="preserve">Peso_kg’y ’Estatura_cm</w:t>
      </w:r>
      <w:r>
        <w:t xml:space="preserve">’</w:t>
      </w:r>
      <w:r>
        <w:t xml:space="preserve"> </w:t>
      </w:r>
      <w:r>
        <w:t xml:space="preserve">= 0.715). Por otra parte, la variable regresora</w:t>
      </w:r>
      <w:r>
        <w:t xml:space="preserve"> </w:t>
      </w:r>
      <w:r>
        <w:t xml:space="preserve">‘</w:t>
      </w:r>
      <w:r>
        <w:t xml:space="preserve">ContGR_M_mm3</w:t>
      </w:r>
      <w:r>
        <w:t xml:space="preserve">’</w:t>
      </w:r>
      <w:r>
        <w:t xml:space="preserve">, tiene escasa correlación tanto con, las variable respuesta como las otras variables regresoras.</w:t>
      </w:r>
    </w:p>
    <w:p>
      <w:pPr>
        <w:pStyle w:val="Heading3"/>
      </w:pPr>
      <w:bookmarkStart w:id="21" w:name="X900fa42aa9da775a8466581506d5b6dc2e2b6b4"/>
      <w:r>
        <w:t xml:space="preserve">Diagrama de dispersión y correlaciones simples y parciales</w:t>
      </w:r>
      <w:bookmarkEnd w:id="21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Gráfica de dispersión y correlaciones. En las cuadrículas inferiores a la izquierda muestran los gráficos de dispersion. La lineas azules corresponde al modelo de regresión lineal (método: lm). La linea roja corresponde a la correlación local método: loess. Las cuadriculas superiores a la derecha muestran los coeficientes de correlación entre las variables. Los colores corresponden a un mapa de calor que muestra en rojo la máxima correlación y en blanco la mínima correlación. En la cuadricual diagonal se muestran la distribución de las variables en gráfico de histograma y densidad" title="" id="1" name="Picture"/>
            <a:graphic>
              <a:graphicData uri="http://schemas.openxmlformats.org/drawingml/2006/picture">
                <pic:pic>
                  <pic:nvPicPr>
                    <pic:cNvPr descr="Regresionlinealmultiple_files/figure-docx/Impresión%20de%20diagrama%20de%20dispersión%20y%20correlacion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Gráfica de dispersión y correlaciones. En las cuadrículas inferiores a la izquierda muestran los gráficos de dispersion. La lineas azules corresponde al modelo de regresión lineal (método:</w:t>
      </w:r>
      <w:r>
        <w:t xml:space="preserve"> </w:t>
      </w:r>
      <w:r>
        <w:rPr>
          <w:rStyle w:val="VerbatimChar"/>
        </w:rPr>
        <w:t xml:space="preserve">lm</w:t>
      </w:r>
      <w:r>
        <w:t xml:space="preserve">). La linea roja corresponde a la correlación local método:</w:t>
      </w:r>
      <w:r>
        <w:t xml:space="preserve"> </w:t>
      </w:r>
      <w:r>
        <w:rPr>
          <w:rStyle w:val="VerbatimChar"/>
        </w:rPr>
        <w:t xml:space="preserve">loess</w:t>
      </w:r>
      <w:r>
        <w:t xml:space="preserve">. Las cuadriculas superiores a la derecha muestran los coeficientes de correlación entre las variables. Los colores corresponden a un mapa de calor que muestra en rojo la máxima correlación y en blanco la mínima correlación. En la cuadricual diagonal se muestran la distribución de las variables en gráfico de histograma y densidad</w:t>
      </w:r>
    </w:p>
    <w:p>
      <w:pPr>
        <w:pStyle w:val="BodyText"/>
      </w:pPr>
      <w:r>
        <w:t xml:space="preserve">Se elaboró una gráfica con los diagramas de dispersion, distribuciones y correlaciones de y entre las variables dadas (Figura 1). Como se puede observar todas las variables tiene una distribución normal, sin embargo, la variable</w:t>
      </w:r>
      <w:r>
        <w:t xml:space="preserve"> </w:t>
      </w:r>
      <w:r>
        <w:t xml:space="preserve">‘</w:t>
      </w:r>
      <w:r>
        <w:t xml:space="preserve">ContGR_M_mm3</w:t>
      </w:r>
      <w:r>
        <w:t xml:space="preserve">’</w:t>
      </w:r>
      <w:r>
        <w:t xml:space="preserve"> </w:t>
      </w:r>
      <w:r>
        <w:t xml:space="preserve">presenta una distribución sesgada levemente a la derecha. Los diagramas dispersión mostrados muestran dos tipos de correlaciones, por una parte, las lineas rojas corresponde a una distribución local entre las variables y la linea azul corresponde a la linea regresora del modelo de regresión aplicado. Las lineas de correlación parcial y la correlación del modelo se sobre ponen entre la variable</w:t>
      </w:r>
      <w:r>
        <w:t xml:space="preserve"> </w:t>
      </w:r>
      <w:r>
        <w:t xml:space="preserve">‘</w:t>
      </w:r>
      <w:r>
        <w:t xml:space="preserve">masa_c_magra_%</w:t>
      </w:r>
      <w:r>
        <w:t xml:space="preserve">’</w:t>
      </w:r>
      <w:r>
        <w:t xml:space="preserve"> </w:t>
      </w:r>
      <w:r>
        <w:t xml:space="preserve">(respuesta) y la variable</w:t>
      </w:r>
      <w:r>
        <w:t xml:space="preserve"> </w:t>
      </w:r>
      <w:r>
        <w:t xml:space="preserve">‘</w:t>
      </w:r>
      <w:r>
        <w:t xml:space="preserve">Peso_kg</w:t>
      </w:r>
      <w:r>
        <w:t xml:space="preserve">’</w:t>
      </w:r>
      <w:r>
        <w:t xml:space="preserve"> </w:t>
      </w:r>
      <w:r>
        <w:t xml:space="preserve">(regresora), lo que soporta que la mayor correlación entre variables se da entre estas dos. Por otra parte, las gráficas muestras que la variable</w:t>
      </w:r>
      <w:r>
        <w:t xml:space="preserve"> </w:t>
      </w:r>
      <w:r>
        <w:t xml:space="preserve">‘</w:t>
      </w:r>
      <w:r>
        <w:t xml:space="preserve">ContGR_M_mm3</w:t>
      </w:r>
      <w:r>
        <w:t xml:space="preserve">’</w:t>
      </w:r>
      <w:r>
        <w:t xml:space="preserve"> </w:t>
      </w:r>
      <w:r>
        <w:t xml:space="preserve">es la que mayor dispersión presenta con respecto a las otros variables y las lineas correlación y regresión son menos consistentes y muestran mayores desviaciones (sobra roja).</w:t>
      </w:r>
    </w:p>
    <w:p>
      <w:pPr>
        <w:pStyle w:val="Compact"/>
        <w:numPr>
          <w:numId w:val="1002"/>
          <w:ilvl w:val="0"/>
        </w:numPr>
      </w:pPr>
      <w:r>
        <w:t xml:space="preserve">Ajuste un modelo de regresión lineal múltiple que relacione la masa corpo-</w:t>
      </w:r>
      <w:r>
        <w:t xml:space="preserve"> </w:t>
      </w:r>
      <w:r>
        <w:t xml:space="preserve">ral magra (lbm) con la estatura en centímetros (ht), el peso en kilogramos</w:t>
      </w:r>
      <w:r>
        <w:t xml:space="preserve"> </w:t>
      </w:r>
      <w:r>
        <w:t xml:space="preserve">(wt) y el conteo de glóbulos rojos (rcc).</w:t>
      </w:r>
    </w:p>
    <w:p>
      <w:pPr>
        <w:pStyle w:val="Heading3"/>
      </w:pPr>
      <w:bookmarkStart w:id="23" w:name="Xb0b1c94a1c0cdc81072e590aaff7ec0da9157c0"/>
      <w:r>
        <w:t xml:space="preserve">Análisis del modelo de regresión múltiple</w:t>
      </w:r>
      <w:bookmarkEnd w:id="23"/>
    </w:p>
    <w:p>
      <w:pPr>
        <w:pStyle w:val="TableCaption"/>
      </w:pPr>
      <w:r>
        <w:t xml:space="preserve">Estimaciones de parametros de la regresión</w:t>
      </w:r>
    </w:p>
    <w:tbl>
      <w:tblPr>
        <w:tblStyle w:val="Table"/>
        <w:tblW w:type="pct" w:w="0.0"/>
        <w:tblLook w:firstRow="1"/>
        <w:tblCaption w:val="Estimaciones de parametros de la regresió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ErrorStand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p>
            <w:pPr>
              <w:pStyle w:val="Compact"/>
              <w:jc w:val="right"/>
            </w:pPr>
            <w:r>
              <w:t xml:space="preserve">-1.308</w:t>
            </w:r>
          </w:p>
        </w:tc>
        <w:tc>
          <w:p>
            <w:pPr>
              <w:pStyle w:val="Compact"/>
              <w:jc w:val="right"/>
            </w:pPr>
            <w:r>
              <w:t xml:space="preserve">6.711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right"/>
            </w:pPr>
            <w:r>
              <w:t xml:space="preserve">0.566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β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p>
            <w:pPr>
              <w:pStyle w:val="Compact"/>
              <w:jc w:val="right"/>
            </w:pPr>
            <w:r>
              <w:t xml:space="preserve">1.425</w:t>
            </w:r>
          </w:p>
        </w:tc>
        <w:tc>
          <w:p>
            <w:pPr>
              <w:pStyle w:val="Compact"/>
              <w:jc w:val="right"/>
            </w:pPr>
            <w:r>
              <w:t xml:space="preserve">0.740</w:t>
            </w:r>
          </w:p>
        </w:tc>
      </w:tr>
    </w:tbl>
    <w:p>
      <w:pPr>
        <w:pStyle w:val="BodyText"/>
      </w:pPr>
      <w:r>
        <w:t xml:space="preserve">Los parametros de las tablas mostradas para el análisis del modelo serán mostradas en forma de</w:t>
      </w:r>
      <w:r>
        <w:t xml:space="preserve"> </w:t>
      </w:r>
      <m:oMath>
        <m:sSub>
          <m:e>
            <m:r>
              <m:t>β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donde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corresponde a cada una de las variables dadas.</w:t>
      </w:r>
    </w:p>
    <w:p>
      <w:pPr>
        <w:pStyle w:val="Compact"/>
        <w:numPr>
          <w:numId w:val="1003"/>
          <w:ilvl w:val="0"/>
        </w:numPr>
      </w:pP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: corresponde a la variable respuesta (</w:t>
      </w:r>
      <w:r>
        <w:t xml:space="preserve">‘</w:t>
      </w:r>
      <w:r>
        <w:t xml:space="preserve">masa_c_magra_%</w:t>
      </w:r>
      <w:r>
        <w:t xml:space="preserve">’</w:t>
      </w:r>
      <w:r>
        <w:t xml:space="preserve">).</w:t>
      </w:r>
    </w:p>
    <w:p>
      <w:pPr>
        <w:pStyle w:val="Compact"/>
        <w:numPr>
          <w:numId w:val="1003"/>
          <w:ilvl w:val="0"/>
        </w:numPr>
      </w:pP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: corresponde a la variable regresora (</w:t>
      </w:r>
      <w:r>
        <w:t xml:space="preserve">‘</w:t>
      </w:r>
      <w:r>
        <w:t xml:space="preserve">Estatura_cm</w:t>
      </w:r>
      <w:r>
        <w:t xml:space="preserve">’</w:t>
      </w:r>
      <w:r>
        <w:t xml:space="preserve">).</w:t>
      </w:r>
    </w:p>
    <w:p>
      <w:pPr>
        <w:pStyle w:val="Compact"/>
        <w:numPr>
          <w:numId w:val="1003"/>
          <w:ilvl w:val="0"/>
        </w:numPr>
      </w:pP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: corresponde a la variable regresora (</w:t>
      </w:r>
      <w:r>
        <w:t xml:space="preserve">‘</w:t>
      </w:r>
      <w:r>
        <w:t xml:space="preserve">Peso_kg</w:t>
      </w:r>
      <w:r>
        <w:t xml:space="preserve">’</w:t>
      </w:r>
      <w:r>
        <w:t xml:space="preserve">).</w:t>
      </w:r>
    </w:p>
    <w:p>
      <w:pPr>
        <w:pStyle w:val="Compact"/>
        <w:numPr>
          <w:numId w:val="1003"/>
          <w:ilvl w:val="0"/>
        </w:numPr>
      </w:pPr>
      <m:oMath>
        <m:sSub>
          <m:e>
            <m:r>
              <m:t>β</m:t>
            </m:r>
          </m:e>
          <m:sub>
            <m:r>
              <m:t>3</m:t>
            </m:r>
          </m:sub>
        </m:sSub>
      </m:oMath>
      <w:r>
        <w:t xml:space="preserve">: corresponde a la variable regresora (</w:t>
      </w:r>
      <w:r>
        <w:t xml:space="preserve">‘</w:t>
      </w:r>
      <w:r>
        <w:t xml:space="preserve">ContGR_M_mm3</w:t>
      </w:r>
      <w:r>
        <w:t xml:space="preserve">’</w:t>
      </w:r>
      <w:r>
        <w:t xml:space="preserve">).</w:t>
      </w:r>
    </w:p>
    <w:p>
      <w:pPr>
        <w:pStyle w:val="FirstParagraph"/>
      </w:pPr>
      <w:r>
        <w:t xml:space="preserve">Los resultados mostrados en la tabla 2 para las estimaciones del modelo, muestran un intercepto (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) con valor</w:t>
      </w:r>
      <w:r>
        <w:t xml:space="preserve"> </w:t>
      </w:r>
      <m:oMath>
        <m:r>
          <m:t>&lt;</m:t>
        </m:r>
        <m:r>
          <m:t>0</m:t>
        </m:r>
      </m:oMath>
      <w:r>
        <w:t xml:space="preserve">, de manera que,</w:t>
      </w:r>
      <w:r>
        <w:t xml:space="preserve"> </w:t>
      </w:r>
      <w:r>
        <w:rPr>
          <w:i/>
        </w:rPr>
        <w:t xml:space="preserve">no tiene sentido práctico</w:t>
      </w:r>
      <w:r>
        <w:t xml:space="preserve"> </w:t>
      </w:r>
      <w:r>
        <w:t xml:space="preserve">realizar una interpretación de los resultados ya que solo son interpretables los resultados con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t>&gt;</m:t>
        </m:r>
        <m:r>
          <m:t>0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Gráfica de distribución de los residuos para cada variable regresora" title="" id="1" name="Picture"/>
            <a:graphic>
              <a:graphicData uri="http://schemas.openxmlformats.org/drawingml/2006/picture">
                <pic:pic>
                  <pic:nvPicPr>
                    <pic:cNvPr descr="Regresionlinealmultiple_files/figure-docx/linealidad%20para%20todos%20los%20predicto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Gráfica de distribución de los residuos para cada variable regresora</w:t>
      </w:r>
    </w:p>
    <w:p>
      <w:pPr>
        <w:pStyle w:val="BodyText"/>
      </w:pPr>
      <w:r>
        <w:t xml:space="preserve">Se realizó un diagrama de dispersion (figura 2) para los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residuales</w:t>
      </w:r>
      <w:r>
        <w:rPr>
          <w:i/>
        </w:rPr>
        <w:t xml:space="preserve">”</w:t>
      </w:r>
      <w:r>
        <w:t xml:space="preserve"> </w:t>
      </w:r>
      <w:r>
        <w:t xml:space="preserve">del modelo con el objetivo de ver su distribución, en este caso los residuos deben de distribuirse aleatoriamente en torno a 0 con una variabilidad constante a lo largo del eje X. Como se observa la dispersión de los residuos es mayor para el</w:t>
      </w:r>
      <w:r>
        <w:t xml:space="preserve"> </w:t>
      </w:r>
      <m:oMath>
        <m:sSub>
          <m:e>
            <m:r>
              <m:t>β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(</w:t>
      </w:r>
      <w:r>
        <w:t xml:space="preserve">‘</w:t>
      </w:r>
      <w:r>
        <w:t xml:space="preserve">ContGR_M_mm3</w:t>
      </w:r>
      <w:r>
        <w:t xml:space="preserve">’</w:t>
      </w:r>
      <w:r>
        <w:t xml:space="preserve">) con lo cual se puede considerar que puede aportar menos en la regresión.</w:t>
      </w:r>
    </w:p>
    <w:p>
      <w:pPr>
        <w:pStyle w:val="TableCaption"/>
      </w:pPr>
      <m:oMath>
        <m:r>
          <m:t>t</m:t>
        </m:r>
        <m:r>
          <m:t>−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t>s</m:t>
        </m:r>
      </m:oMath>
      <w:r>
        <w:t xml:space="preserve"> </w:t>
      </w:r>
      <w:r>
        <w:t xml:space="preserve">para los parametros dados</w:t>
      </w:r>
    </w:p>
    <w:tbl>
      <w:tblPr>
        <w:tblStyle w:val="Table"/>
        <w:tblW w:type="pct" w:w="0.0"/>
        <w:tblLook w:firstRow="1"/>
        <w:tblCaption w:val="t-values para los parametros dado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t>t</m:t>
              </m:r>
              <m:r>
                <m:t>−</m:t>
              </m:r>
              <m:r>
                <m:t>v</m:t>
              </m:r>
              <m:r>
                <m:t>a</m:t>
              </m:r>
              <m:r>
                <m:t>l</m:t>
              </m:r>
              <m:r>
                <m:t>u</m:t>
              </m:r>
              <m:r>
                <m:t>e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t>p</m:t>
              </m:r>
              <m:r>
                <m:t>−</m:t>
              </m:r>
              <m:r>
                <m:t>v</m:t>
              </m:r>
              <m:r>
                <m:t>a</m:t>
              </m:r>
              <m:r>
                <m:t>l</m:t>
              </m:r>
              <m:r>
                <m:t>u</m:t>
              </m:r>
              <m:r>
                <m:t>e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p>
            <w:pPr>
              <w:pStyle w:val="Compact"/>
              <w:jc w:val="right"/>
            </w:pPr>
            <w:r>
              <w:t xml:space="preserve">-0.195</w:t>
            </w:r>
          </w:p>
        </w:tc>
        <w:tc>
          <w:p>
            <w:pPr>
              <w:pStyle w:val="Compact"/>
              <w:jc w:val="right"/>
            </w:pPr>
            <w:r>
              <w:t xml:space="preserve">0.84590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p>
            <w:pPr>
              <w:pStyle w:val="Compact"/>
              <w:jc w:val="right"/>
            </w:pPr>
            <w:r>
              <w:t xml:space="preserve">1.660</w:t>
            </w:r>
          </w:p>
        </w:tc>
        <w:tc>
          <w:p>
            <w:pPr>
              <w:pStyle w:val="Compact"/>
              <w:jc w:val="right"/>
            </w:pPr>
            <w:r>
              <w:t xml:space="preserve">0.10026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right"/>
            </w:pPr>
            <w:r>
              <w:t xml:space="preserve">17.945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β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p>
            <w:pPr>
              <w:pStyle w:val="Compact"/>
              <w:jc w:val="right"/>
            </w:pPr>
            <w:r>
              <w:t xml:space="preserve">1.925</w:t>
            </w:r>
          </w:p>
        </w:tc>
        <w:tc>
          <w:p>
            <w:pPr>
              <w:pStyle w:val="Compact"/>
              <w:jc w:val="right"/>
            </w:pPr>
            <w:r>
              <w:t xml:space="preserve">0.05723</w:t>
            </w:r>
          </w:p>
        </w:tc>
      </w:tr>
    </w:tbl>
    <w:p>
      <w:pPr>
        <w:pStyle w:val="BodyText"/>
      </w:pPr>
      <w:r>
        <w:t xml:space="preserve">A partir de la tabla 3 es posible deducir que los estimadores de variables regresoras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(</w:t>
      </w:r>
      <w:r>
        <w:t xml:space="preserve">‘</w:t>
      </w:r>
      <w:r>
        <w:t xml:space="preserve">Estatura_cm</w:t>
      </w:r>
      <w:r>
        <w:t xml:space="preserve">’</w:t>
      </w:r>
      <w:r>
        <w:t xml:space="preserve">) y</w:t>
      </w:r>
      <w:r>
        <w:t xml:space="preserve"> </w:t>
      </w:r>
      <m:oMath>
        <m:sSub>
          <m:e>
            <m:r>
              <m:t>β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(</w:t>
      </w:r>
      <w:r>
        <w:t xml:space="preserve">‘</w:t>
      </w:r>
      <w:r>
        <w:t xml:space="preserve">ContGR_M_mm3</w:t>
      </w:r>
      <w:r>
        <w:t xml:space="preserve">’</w:t>
      </w:r>
      <w:r>
        <w:t xml:space="preserve">), no son significativos (</w:t>
      </w:r>
      <m:oMath>
        <m:r>
          <m:t>p</m:t>
        </m:r>
        <m:r>
          <m:t>−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t>≥</m:t>
        </m:r>
        <m:r>
          <m:t>0.05</m:t>
        </m:r>
      </m:oMath>
      <w:r>
        <w:t xml:space="preserve">) en el modelo de regresión. No obstante, se reconoce la variable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</w:t>
      </w:r>
      <w:r>
        <w:t xml:space="preserve">‘</w:t>
      </w:r>
      <w:r>
        <w:t xml:space="preserve">Peso_kg</w:t>
      </w:r>
      <w:r>
        <w:t xml:space="preserve">’</w:t>
      </w:r>
      <w:r>
        <w:t xml:space="preserve">) como significativa (</w:t>
      </w:r>
      <m:oMath>
        <m:r>
          <m:t>p</m:t>
        </m:r>
        <m:r>
          <m:t>−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t>&lt;</m:t>
        </m:r>
        <m:r>
          <m:t>0.05</m:t>
        </m:r>
      </m:oMath>
      <w:r>
        <w:t xml:space="preserve">). Por lo tanto, en caso que se requiera una interpretación del modelo, sería posible</w:t>
      </w:r>
      <w:r>
        <w:t xml:space="preserve"> </w:t>
      </w:r>
      <w:r>
        <w:t xml:space="preserve">asumir que existe una correlación lineal entre esta variable y la variable respuesta, donde se podría afirmar que un incremento en una unidad de el Peso (en Kg) se puede incrementar en 0.566 el % de masa corporal, siempre que las otras dos variables no cambien.</w:t>
      </w:r>
    </w:p>
    <w:p>
      <w:pPr>
        <w:pStyle w:val="Compact"/>
        <w:numPr>
          <w:numId w:val="1004"/>
          <w:ilvl w:val="0"/>
        </w:numPr>
      </w:pPr>
      <w:r>
        <w:t xml:space="preserve">La masa corporal magra depende del peso del atleta?</w:t>
      </w:r>
    </w:p>
    <w:p>
      <w:pPr>
        <w:pStyle w:val="FirstParagraph"/>
      </w:pPr>
      <w:r>
        <w:t xml:space="preserve">Según el análisis realizado antes acerca de los</w:t>
      </w:r>
      <w:r>
        <w:t xml:space="preserve"> </w:t>
      </w:r>
      <m:oMath>
        <m:r>
          <m:t>t</m:t>
        </m:r>
        <m:r>
          <m:t>−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t>s</m:t>
        </m:r>
      </m:oMath>
      <w:r>
        <w:t xml:space="preserve"> </w:t>
      </w:r>
      <w:r>
        <w:t xml:space="preserve">y sus respectivos</w:t>
      </w:r>
      <w:r>
        <w:t xml:space="preserve"> </w:t>
      </w:r>
      <m:oMath>
        <m:r>
          <m:t>p</m:t>
        </m:r>
        <m:r>
          <m:t>−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t>s</m:t>
        </m:r>
      </m:oMath>
      <w:r>
        <w:t xml:space="preserve"> </w:t>
      </w:r>
      <w:r>
        <w:t xml:space="preserve">y en caso que se requiera una interpretación entendiendo que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t>&lt;</m:t>
        </m:r>
        <m:r>
          <m:t>0</m:t>
        </m:r>
      </m:oMath>
      <w:r>
        <w:t xml:space="preserve">, entonces, es posible afirmar que existe dependencia de la masa corporal magra del peso del atleta, en cuanto que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</w:t>
      </w:r>
      <w:r>
        <w:t xml:space="preserve">‘</w:t>
      </w:r>
      <w:r>
        <w:t xml:space="preserve">Peso_kg</w:t>
      </w:r>
      <w:r>
        <w:t xml:space="preserve">’</w:t>
      </w:r>
      <w:r>
        <w:t xml:space="preserve">) estimado es 0.566 con un</w:t>
      </w:r>
      <w:r>
        <w:t xml:space="preserve"> </w:t>
      </w:r>
      <m:oMath>
        <m:r>
          <m:t>t</m:t>
        </m:r>
        <m:r>
          <m:t>−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</m:oMath>
      <w:r>
        <w:t xml:space="preserve"> </w:t>
      </w:r>
      <w:r>
        <w:t xml:space="preserve">de 17.945 (</w:t>
      </w:r>
      <m:oMath>
        <m:r>
          <m:t>p</m:t>
        </m:r>
        <m:r>
          <m:t>−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t>&lt;</m:t>
        </m:r>
        <m:r>
          <m:t>0.05</m:t>
        </m:r>
      </m:oMath>
      <w:r>
        <w:t xml:space="preserve">).</w:t>
      </w:r>
    </w:p>
    <w:p>
      <w:pPr>
        <w:pStyle w:val="Compact"/>
        <w:numPr>
          <w:numId w:val="1005"/>
          <w:ilvl w:val="0"/>
        </w:numPr>
      </w:pPr>
      <w:r>
        <w:t xml:space="preserve">La masa corporal magra depende de la estatura del atleta?</w:t>
      </w:r>
    </w:p>
    <w:p>
      <w:pPr>
        <w:pStyle w:val="FirstParagraph"/>
      </w:pPr>
      <w:r>
        <w:t xml:space="preserve">Según el análisis realizado antes acerca de los</w:t>
      </w:r>
      <w:r>
        <w:t xml:space="preserve"> </w:t>
      </w:r>
      <m:oMath>
        <m:r>
          <m:t>t</m:t>
        </m:r>
        <m:r>
          <m:t>−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t>s</m:t>
        </m:r>
      </m:oMath>
      <w:r>
        <w:t xml:space="preserve"> </w:t>
      </w:r>
      <w:r>
        <w:t xml:space="preserve">y sus respectivos</w:t>
      </w:r>
      <w:r>
        <w:t xml:space="preserve"> </w:t>
      </w:r>
      <m:oMath>
        <m:r>
          <m:t>p</m:t>
        </m:r>
        <m:r>
          <m:t>−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t>s</m:t>
        </m:r>
      </m:oMath>
      <w:r>
        <w:t xml:space="preserve"> </w:t>
      </w:r>
      <w:r>
        <w:t xml:space="preserve">y en caso que se requiera una interpretación entendiendo que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t>&lt;</m:t>
        </m:r>
        <m:r>
          <m:t>0</m:t>
        </m:r>
      </m:oMath>
      <w:r>
        <w:t xml:space="preserve">, entonces, es posible afirmar que NO existe dependencia de la masa corporal magra conteo dde la estatura del atleta, en cuanto que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(</w:t>
      </w:r>
      <w:r>
        <w:t xml:space="preserve">‘</w:t>
      </w:r>
      <w:r>
        <w:t xml:space="preserve">ContGR_M_mm3</w:t>
      </w:r>
      <w:r>
        <w:t xml:space="preserve">’</w:t>
      </w:r>
      <w:r>
        <w:t xml:space="preserve">) estimado es 0.068 con un</w:t>
      </w:r>
      <w:r>
        <w:t xml:space="preserve"> </w:t>
      </w:r>
      <m:oMath>
        <m:r>
          <m:t>t</m:t>
        </m:r>
        <m:r>
          <m:t>−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</m:oMath>
      <w:r>
        <w:t xml:space="preserve"> </w:t>
      </w:r>
      <w:r>
        <w:t xml:space="preserve">de 1.660 (</w:t>
      </w:r>
      <m:oMath>
        <m:r>
          <m:t>p</m:t>
        </m:r>
        <m:r>
          <m:t>−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t>≥</m:t>
        </m:r>
        <m:r>
          <m:t>0.05</m:t>
        </m:r>
      </m:oMath>
      <w:r>
        <w:t xml:space="preserve">) no significativo.</w:t>
      </w:r>
    </w:p>
    <w:p>
      <w:pPr>
        <w:pStyle w:val="Compact"/>
        <w:numPr>
          <w:numId w:val="1006"/>
          <w:ilvl w:val="0"/>
        </w:numPr>
      </w:pPr>
      <w:r>
        <w:t xml:space="preserve">La masa corporal magra depende del conteo de glóbulos rojos del atleta?</w:t>
      </w:r>
    </w:p>
    <w:p>
      <w:pPr>
        <w:pStyle w:val="FirstParagraph"/>
      </w:pPr>
      <w:r>
        <w:t xml:space="preserve">Según el análisis realizado antes acerca de los</w:t>
      </w:r>
      <w:r>
        <w:t xml:space="preserve"> </w:t>
      </w:r>
      <m:oMath>
        <m:r>
          <m:t>t</m:t>
        </m:r>
        <m:r>
          <m:t>−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t>s</m:t>
        </m:r>
      </m:oMath>
      <w:r>
        <w:t xml:space="preserve"> </w:t>
      </w:r>
      <w:r>
        <w:t xml:space="preserve">y sus respectivos</w:t>
      </w:r>
      <w:r>
        <w:t xml:space="preserve"> </w:t>
      </w:r>
      <m:oMath>
        <m:r>
          <m:t>p</m:t>
        </m:r>
        <m:r>
          <m:t>−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t>s</m:t>
        </m:r>
      </m:oMath>
      <w:r>
        <w:t xml:space="preserve"> </w:t>
      </w:r>
      <w:r>
        <w:t xml:space="preserve">y en caso que se requiera una interpretación entendiendo que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t>&lt;</m:t>
        </m:r>
        <m:r>
          <m:t>0</m:t>
        </m:r>
      </m:oMath>
      <w:r>
        <w:t xml:space="preserve">, entonces, es posible afirmar que NO existe dependencia de la masa corporal magra del conteo de glóbulos rojos del atleta, en cuanto que</w:t>
      </w:r>
      <w:r>
        <w:t xml:space="preserve"> </w:t>
      </w:r>
      <m:oMath>
        <m:sSub>
          <m:e>
            <m:r>
              <m:t>β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(</w:t>
      </w:r>
      <w:r>
        <w:t xml:space="preserve">‘</w:t>
      </w:r>
      <w:r>
        <w:t xml:space="preserve">ContGR_M_mm3</w:t>
      </w:r>
      <w:r>
        <w:t xml:space="preserve">’</w:t>
      </w:r>
      <w:r>
        <w:t xml:space="preserve">) estimado es 1.425 con un</w:t>
      </w:r>
      <w:r>
        <w:t xml:space="preserve"> </w:t>
      </w:r>
      <m:oMath>
        <m:r>
          <m:t>t</m:t>
        </m:r>
        <m:r>
          <m:t>−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</m:oMath>
      <w:r>
        <w:t xml:space="preserve"> </w:t>
      </w:r>
      <w:r>
        <w:t xml:space="preserve">de 1.925 (</w:t>
      </w:r>
      <m:oMath>
        <m:r>
          <m:t>p</m:t>
        </m:r>
        <m:r>
          <m:t>−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t>≥</m:t>
        </m:r>
        <m:r>
          <m:t>0.05</m:t>
        </m:r>
      </m:oMath>
      <w:r>
        <w:t xml:space="preserve">) no significativo.</w:t>
      </w:r>
    </w:p>
    <w:p>
      <w:pPr>
        <w:pStyle w:val="Compact"/>
        <w:numPr>
          <w:numId w:val="1007"/>
          <w:ilvl w:val="0"/>
        </w:numPr>
      </w:pPr>
      <w:r>
        <w:t xml:space="preserve">Construya la tabla de análisis de varianza, y pruebe la signifícancia de la</w:t>
      </w:r>
      <w:r>
        <w:t xml:space="preserve"> </w:t>
      </w:r>
      <w:r>
        <w:t xml:space="preserve">regresión.</w:t>
      </w:r>
    </w:p>
    <w:p>
      <w:pPr>
        <w:pStyle w:val="Heading3"/>
      </w:pPr>
      <w:bookmarkStart w:id="25" w:name="X644c3909613ced69dbf85ff3541a76cff0e810b"/>
      <w:r>
        <w:t xml:space="preserve">Análisis de varianzas y significancia de la regresión (</w:t>
      </w:r>
      <m:oMath>
        <m:sSub>
          <m:e>
            <m:r>
              <m:t>F</m:t>
            </m:r>
          </m:e>
          <m:sub>
            <m:r>
              <m:t>g</m:t>
            </m:r>
            <m:r>
              <m:t>l</m:t>
            </m:r>
            <m:r>
              <m:t>o</m:t>
            </m:r>
            <m:r>
              <m:t>b</m:t>
            </m:r>
            <m:r>
              <m:t>a</m:t>
            </m:r>
            <m:r>
              <m:t>l</m:t>
            </m:r>
          </m:sub>
        </m:sSub>
      </m:oMath>
      <w:r>
        <w:t xml:space="preserve">: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de Fisher)</w:t>
      </w:r>
      <w:bookmarkEnd w:id="25"/>
    </w:p>
    <w:p>
      <w:pPr>
        <w:pStyle w:val="TableCaption"/>
      </w:pPr>
      <w:r>
        <w:t xml:space="preserve">Tabla ANOVA para suma de cuadrados de referencia</w:t>
      </w:r>
    </w:p>
    <w:tbl>
      <w:tblPr>
        <w:tblStyle w:val="Table"/>
        <w:tblW w:type="pct" w:w="0.0"/>
        <w:tblLook w:firstRow="1"/>
        <w:tblCaption w:val="Tabla ANOVA para suma de cuadrados de refer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Suma_cuadrados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Grados_de_libertad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Cuadrados_medios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F</m:t>
                  </m:r>
                </m:e>
                <m:sub>
                  <m:r>
                    <m:t>g</m:t>
                  </m:r>
                  <m:r>
                    <m:t>l</m:t>
                  </m:r>
                  <m:r>
                    <m:t>o</m:t>
                  </m:r>
                  <m:r>
                    <m:t>b</m:t>
                  </m:r>
                  <m:r>
                    <m:t>a</m:t>
                  </m:r>
                  <m:r>
                    <m:t>l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Regresión</w:t>
            </w:r>
          </w:p>
        </w:tc>
        <w:tc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S</m:t>
                </m:r>
                <m:sSub>
                  <m:e>
                    <m:r>
                      <m:t>C</m:t>
                    </m:r>
                  </m:e>
                  <m:sub>
                    <m:r>
                      <m:t>r</m:t>
                    </m:r>
                    <m:r>
                      <m:t>e</m:t>
                    </m:r>
                    <m:r>
                      <m:t>g</m:t>
                    </m:r>
                  </m:sub>
                </m:sSub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(</m:t>
                    </m:r>
                  </m:e>
                </m:nary>
                <m:sSub>
                  <m:e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sSub>
                  <m:e>
                    <m:bar>
                      <m:barPr>
                        <m:pos m:val="top"/>
                      </m:barPr>
                      <m:e>
                        <m:r>
                          <m:t>y</m:t>
                        </m:r>
                      </m:e>
                    </m:bar>
                  </m:e>
                  <m:sub>
                    <m:r>
                      <m:t>i</m:t>
                    </m:r>
                  </m:sub>
                </m:sSub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</w:tc>
        <w:tc>
          <w:p>
            <w:pPr>
              <w:pStyle w:val="Compact"/>
              <w:jc w:val="center"/>
            </w:pPr>
            <m:oMath>
              <m:r>
                <m:t>k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S</m:t>
              </m:r>
              <m:sSub>
                <m:e>
                  <m:r>
                    <m:t>C</m:t>
                  </m:r>
                </m:e>
                <m:sub>
                  <m:r>
                    <m:t>r</m:t>
                  </m:r>
                  <m:r>
                    <m:t>e</m:t>
                  </m:r>
                  <m:r>
                    <m:t>g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Residuales</w:t>
            </w:r>
          </w:p>
        </w:tc>
        <w:tc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S</m:t>
                </m:r>
                <m:sSub>
                  <m:e>
                    <m:r>
                      <m:t>C</m:t>
                    </m:r>
                  </m:e>
                  <m:sub>
                    <m:r>
                      <m:t>r</m:t>
                    </m:r>
                    <m:r>
                      <m:t>e</m:t>
                    </m:r>
                    <m:r>
                      <m:t>s</m:t>
                    </m:r>
                  </m:sub>
                </m:sSub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(</m:t>
                    </m:r>
                  </m:e>
                </m:nary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i</m:t>
                    </m:r>
                  </m:sub>
                </m:sSub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</w:tc>
        <w:tc>
          <w:p>
            <w:pPr>
              <w:pStyle w:val="Compact"/>
              <w:jc w:val="center"/>
            </w:pPr>
            <m:oMath>
              <m:r>
                <m:t>n</m:t>
              </m:r>
              <m:r>
                <m:t>−</m:t>
              </m:r>
              <m:r>
                <m:t>k</m:t>
              </m:r>
              <m:r>
                <m:t>−</m:t>
              </m:r>
              <m:r>
                <m:t>1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S</m:t>
              </m:r>
              <m:sSub>
                <m:e>
                  <m:r>
                    <m:t>C</m:t>
                  </m:r>
                </m:e>
                <m:sub>
                  <m:r>
                    <m:t>r</m:t>
                  </m:r>
                  <m:r>
                    <m:t>e</m:t>
                  </m:r>
                  <m:r>
                    <m:t>s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S</m:t>
                </m:r>
                <m:sSub>
                  <m:e>
                    <m:r>
                      <m:t>c</m:t>
                    </m:r>
                  </m:e>
                  <m:sub>
                    <m:r>
                      <m:t>t</m:t>
                    </m:r>
                  </m:sub>
                </m:sSub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(</m:t>
                    </m:r>
                  </m:e>
                </m:nary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sSub>
                  <m:e>
                    <m:bar>
                      <m:barPr>
                        <m:pos m:val="top"/>
                      </m:barPr>
                      <m:e>
                        <m:r>
                          <m:t>y</m:t>
                        </m:r>
                      </m:e>
                    </m:bar>
                  </m:e>
                  <m:sub>
                    <m:r>
                      <m:t>i</m:t>
                    </m:r>
                  </m:sub>
                </m:sSub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</w:tc>
        <w:tc>
          <w:p>
            <w:pPr>
              <w:pStyle w:val="Compact"/>
              <w:jc w:val="center"/>
            </w:pPr>
            <m:oMath>
              <m:r>
                <m:t>n</m:t>
              </m:r>
              <m:r>
                <m:t>−</m:t>
              </m:r>
              <m:r>
                <m:t>1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…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F</m:t>
                  </m:r>
                </m:e>
                <m:sub>
                  <m:r>
                    <m:t>f</m:t>
                  </m:r>
                  <m:r>
                    <m:t>i</m:t>
                  </m:r>
                  <m:r>
                    <m:t>s</m:t>
                  </m:r>
                  <m:r>
                    <m:t>h</m:t>
                  </m:r>
                  <m:r>
                    <m:t>e</m:t>
                  </m:r>
                  <m:r>
                    <m:t>r</m:t>
                  </m:r>
                </m:sub>
              </m:sSub>
            </m:oMath>
          </w:p>
        </w:tc>
      </w:tr>
    </w:tbl>
    <w:p>
      <w:pPr>
        <w:pStyle w:val="TableCaption"/>
      </w:pPr>
      <w:r>
        <w:t xml:space="preserve">Tabla ANOVA para suma de cuadrados obtenidos por el modelo</w:t>
      </w:r>
    </w:p>
    <w:tbl>
      <w:tblPr>
        <w:tblStyle w:val="Table"/>
        <w:tblW w:type="pct" w:w="0.0"/>
        <w:tblLook w:firstRow="1"/>
        <w:tblCaption w:val="Tabla ANOVA para suma de cuadrados obtenidos por el modelo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Suma_cuadrados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Grados_de_libertad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Cuadrados_medios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F</m:t>
                  </m:r>
                </m:e>
                <m:sub>
                  <m:r>
                    <m:t>g</m:t>
                  </m:r>
                  <m:r>
                    <m:t>l</m:t>
                  </m:r>
                  <m:r>
                    <m:t>o</m:t>
                  </m:r>
                  <m:r>
                    <m:t>b</m:t>
                  </m:r>
                  <m:r>
                    <m:t>a</m:t>
                  </m:r>
                  <m:r>
                    <m:t>l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Regresión</w:t>
            </w:r>
          </w:p>
        </w:tc>
        <w:tc>
          <w:p>
            <w:pPr>
              <w:pStyle w:val="Compact"/>
              <w:jc w:val="right"/>
            </w:pPr>
            <w:r>
              <w:t xml:space="preserve">4218.151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43.042</w:t>
            </w:r>
          </w:p>
        </w:tc>
        <w:tc>
          <w:p>
            <w:pPr>
              <w:pStyle w:val="Compact"/>
              <w:jc w:val="right"/>
            </w:pPr>
            <w:r>
              <w:t xml:space="preserve">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Residuales</w:t>
            </w:r>
          </w:p>
        </w:tc>
        <w:tc>
          <w:p>
            <w:pPr>
              <w:pStyle w:val="Compact"/>
              <w:jc w:val="right"/>
            </w:pPr>
            <w:r>
              <w:t xml:space="preserve">523.244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5.566</w:t>
            </w:r>
          </w:p>
        </w:tc>
        <w:tc>
          <w:p>
            <w:pPr>
              <w:pStyle w:val="Compact"/>
              <w:jc w:val="right"/>
            </w:pPr>
            <w:r>
              <w:t xml:space="preserve">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4741.395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…</w:t>
            </w:r>
          </w:p>
        </w:tc>
        <w:tc>
          <w:p>
            <w:pPr>
              <w:pStyle w:val="Compact"/>
              <w:jc w:val="right"/>
            </w:pPr>
            <w:r>
              <w:t xml:space="preserve">252.595</w:t>
            </w:r>
          </w:p>
        </w:tc>
      </w:tr>
    </w:tbl>
    <w:p>
      <w:pPr>
        <w:pStyle w:val="Heading3"/>
      </w:pPr>
      <w:bookmarkStart w:id="26" w:name="X8a9c435500b4b45e45b2f9a7e0caad55d9a8798"/>
      <w:r>
        <w:t xml:space="preserve">Comparación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de Fisher y prueba de hipotesis</w:t>
      </w:r>
      <w:bookmarkEnd w:id="26"/>
    </w:p>
    <w:p>
      <w:pPr>
        <w:pStyle w:val="TableCaption"/>
      </w:pPr>
      <w:r>
        <w:t xml:space="preserve">Comparación entre estadistico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de Fisher manual y obtenido con la función</w:t>
      </w:r>
      <w:r>
        <w:t xml:space="preserve"> </w:t>
      </w:r>
      <w:r>
        <w:rPr>
          <w:rStyle w:val="VerbatimChar"/>
        </w:rPr>
        <w:t xml:space="preserve">summary</w:t>
      </w:r>
    </w:p>
    <w:tbl>
      <w:tblPr>
        <w:tblStyle w:val="Table"/>
        <w:tblW w:type="pct" w:w="0.0"/>
        <w:tblLook w:firstRow="1"/>
        <w:tblCaption w:val="Comparación entre estadistico F de Fisher manual y obtenido con la función summar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F</m:t>
                  </m:r>
                </m:e>
                <m:sub>
                  <m:r>
                    <m:t>s</m:t>
                  </m:r>
                  <m:r>
                    <m:t>u</m:t>
                  </m:r>
                  <m:r>
                    <m:t>m</m:t>
                  </m:r>
                  <m:r>
                    <m:t>m</m:t>
                  </m:r>
                  <m:r>
                    <m:t>a</m:t>
                  </m:r>
                  <m:r>
                    <m:t>r</m:t>
                  </m:r>
                  <m:r>
                    <m:t>y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F</m:t>
                  </m:r>
                </m:e>
                <m:sub>
                  <m:r>
                    <m:t>g</m:t>
                  </m:r>
                  <m:r>
                    <m:t>l</m:t>
                  </m:r>
                  <m:r>
                    <m:t>o</m:t>
                  </m:r>
                  <m:r>
                    <m:t>b</m:t>
                  </m:r>
                  <m:r>
                    <m:t>a</m:t>
                  </m:r>
                  <m:r>
                    <m:t>l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Grados_libertad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t>p</m:t>
              </m:r>
              <m:r>
                <m:t>−</m:t>
              </m:r>
              <m:r>
                <m:t>v</m:t>
              </m:r>
              <m:r>
                <m:t>a</m:t>
              </m:r>
              <m:r>
                <m:t>l</m:t>
              </m:r>
              <m:r>
                <m:t>u</m:t>
              </m:r>
              <m:r>
                <m:t>e</m:t>
              </m:r>
            </m:oMath>
          </w:p>
        </w:tc>
      </w:tr>
      <w:tr>
        <w:tc>
          <w:p>
            <w:pPr>
              <w:pStyle w:val="Compact"/>
              <w:jc w:val="right"/>
            </w:pPr>
            <w:r>
              <w:t xml:space="preserve">252.59494028313</w:t>
            </w:r>
          </w:p>
        </w:tc>
        <w:tc>
          <w:p>
            <w:pPr>
              <w:pStyle w:val="Compact"/>
              <w:jc w:val="right"/>
            </w:pPr>
            <w:r>
              <w:t xml:space="preserve">252.59494028313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&lt; 2.2e-16</w:t>
            </w:r>
          </w:p>
        </w:tc>
      </w:tr>
    </w:tbl>
    <w:p>
      <w:pPr>
        <w:pStyle w:val="BodyText"/>
      </w:pPr>
      <w:r>
        <w:t xml:space="preserve">Se realizo una tabla de varianza (ANOVA) de manera manual a través de las indicaciones dadas en clase (tabla 5) para la suma de cuadrados obtenidos de la regresión (</w:t>
      </w:r>
      <m:oMath>
        <m:r>
          <m:t>S</m:t>
        </m:r>
        <m:sSub>
          <m:e>
            <m:r>
              <m:t>C</m:t>
            </m:r>
          </m:e>
          <m:sub>
            <m:r>
              <m:t>r</m:t>
            </m:r>
            <m:r>
              <m:t>e</m:t>
            </m:r>
            <m:r>
              <m:t>g</m:t>
            </m:r>
          </m:sub>
        </m:sSub>
      </m:oMath>
      <w:r>
        <w:t xml:space="preserve">), los residuales (</w:t>
      </w:r>
      <m:oMath>
        <m:r>
          <m:t>S</m:t>
        </m:r>
        <m:sSub>
          <m:e>
            <m:r>
              <m:t>C</m:t>
            </m:r>
          </m:e>
          <m:sub>
            <m:r>
              <m:t>r</m:t>
            </m:r>
            <m:r>
              <m:t>e</m:t>
            </m:r>
            <m:r>
              <m:t>s</m:t>
            </m:r>
          </m:sub>
        </m:sSub>
      </m:oMath>
      <w:r>
        <w:t xml:space="preserve">) y la suma de cuadrados total (</w:t>
      </w:r>
      <m:oMath>
        <m:r>
          <m:t>S</m:t>
        </m:r>
        <m:sSub>
          <m:e>
            <m:r>
              <m:t>C</m:t>
            </m:r>
          </m:e>
          <m:sub>
            <m:r>
              <m:t>t</m:t>
            </m:r>
          </m:sub>
        </m:sSub>
      </m:oMath>
      <w:r>
        <w:t xml:space="preserve">) (los parametros pueden ser revisados en la tabla 6). A partir de estos resultados se puede encontrar que la (</w:t>
      </w:r>
      <m:oMath>
        <m:r>
          <m:t>S</m:t>
        </m:r>
        <m:sSub>
          <m:e>
            <m:r>
              <m:t>C</m:t>
            </m:r>
          </m:e>
          <m:sub>
            <m:r>
              <m:t>r</m:t>
            </m:r>
            <m:r>
              <m:t>e</m:t>
            </m:r>
            <m:r>
              <m:t>g</m:t>
            </m:r>
          </m:sub>
        </m:sSub>
        <m:r>
          <m:t>≈</m:t>
        </m:r>
        <m:r>
          <m:t>S</m:t>
        </m:r>
        <m:sSub>
          <m:e>
            <m:r>
              <m:t>C</m:t>
            </m:r>
          </m:e>
          <m:sub>
            <m:r>
              <m:t>t</m:t>
            </m:r>
          </m:sub>
        </m:sSub>
      </m:oMath>
      <w:r>
        <w:t xml:space="preserve">). Lo que sugiere que el modelo tiene</w:t>
      </w:r>
      <w:r>
        <w:t xml:space="preserve"> </w:t>
      </w:r>
      <w:r>
        <w:rPr>
          <w:i/>
        </w:rPr>
        <w:t xml:space="preserve">buen ajuste</w:t>
      </w:r>
      <w:r>
        <w:t xml:space="preserve"> </w:t>
      </w:r>
      <w:r>
        <w:t xml:space="preserve">y puede explicar la variabilidad de la variable respuesta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identificada, sin tener en cuenta las variables regresoras.</w:t>
      </w:r>
    </w:p>
    <w:p>
      <w:pPr>
        <w:pStyle w:val="BodyText"/>
      </w:pPr>
      <w:r>
        <w:t xml:space="preserve">Además se plantea una prueba de hipotesis global de la siguiente manera:</w:t>
      </w:r>
    </w:p>
    <w:p>
      <w:pPr>
        <w:pStyle w:val="BodyText"/>
      </w:pPr>
      <w:r>
        <w:t xml:space="preserve">$$
H_o: \beta_1 = \beta_2 =  ... =\beta_k = 0 \\
$$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t>: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t>≠</m:t>
          </m:r>
          <m:r>
            <m:t>0</m:t>
          </m:r>
          <m:r>
            <m:t> </m:t>
          </m:r>
          <m:r>
            <m:t>p</m:t>
          </m:r>
          <m:r>
            <m:t>a</m:t>
          </m:r>
          <m:r>
            <m:t>r</m:t>
          </m:r>
          <m:r>
            <m:t>a</m:t>
          </m:r>
          <m:r>
            <m:t> </m:t>
          </m:r>
          <m:r>
            <m:t>c</m:t>
          </m:r>
          <m:r>
            <m:t>u</m:t>
          </m:r>
          <m:r>
            <m:t>a</m:t>
          </m:r>
          <m:r>
            <m:t>l</m:t>
          </m:r>
          <m:r>
            <m:t>q</m:t>
          </m:r>
          <m:r>
            <m:t>u</m:t>
          </m:r>
          <m:r>
            <m:t>i</m:t>
          </m:r>
          <m:r>
            <m:t>e</m:t>
          </m:r>
          <m:r>
            <m:t>r</m:t>
          </m:r>
          <m:r>
            <m:t> </m:t>
          </m:r>
          <m:r>
            <m:t>j</m:t>
          </m:r>
          <m:r>
            <m:t> </m:t>
          </m:r>
          <m:r>
            <m:t>d</m:t>
          </m:r>
          <m:r>
            <m:t>a</m:t>
          </m:r>
          <m:r>
            <m:t>d</m:t>
          </m:r>
          <m:r>
            <m:t>o</m:t>
          </m:r>
        </m:oMath>
      </m:oMathPara>
    </w:p>
    <w:p>
      <w:pPr>
        <w:pStyle w:val="FirstParagraph"/>
      </w:pPr>
      <w:r>
        <w:t xml:space="preserve">Para hacer la prueba de hipotesis se utilizó el estadístico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de Fisher con 94 grados de libertad. Los calculos se obtuvieron manualmente</w:t>
      </w:r>
      <w:r>
        <w:t xml:space="preserve"> </w:t>
      </w:r>
      <w:r>
        <w:t xml:space="preserve">$F_{global$</w:t>
      </w:r>
      <w:r>
        <w:t xml:space="preserve"> </w:t>
      </w:r>
      <w:r>
        <w:t xml:space="preserve">y a través de la función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s</m:t>
            </m:r>
            <m:r>
              <m:t>u</m:t>
            </m:r>
            <m:r>
              <m:t>m</m:t>
            </m:r>
            <m:r>
              <m:t>m</m:t>
            </m:r>
            <m:r>
              <m:t>a</m:t>
            </m:r>
            <m:r>
              <m:t>r</m:t>
            </m:r>
            <m:r>
              <m:t>y</m:t>
            </m:r>
          </m:sub>
        </m:sSub>
      </m:oMath>
      <w:r>
        <w:t xml:space="preserve">) Se compararon los resultados de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obtenidos donde</w:t>
      </w:r>
      <w:r>
        <w:t xml:space="preserve"> </w:t>
      </w:r>
      <m:oMath>
        <m:sSub>
          <m:e>
            <m:r>
              <m:t>F</m:t>
            </m:r>
          </m:e>
          <m:sub>
            <m:r>
              <m:t>g</m:t>
            </m:r>
            <m:r>
              <m:t>l</m:t>
            </m:r>
            <m:r>
              <m:t>o</m:t>
            </m:r>
            <m:r>
              <m:t>b</m:t>
            </m:r>
            <m:r>
              <m:t>a</m:t>
            </m:r>
            <m:r>
              <m:t>l</m:t>
            </m:r>
          </m:sub>
        </m:sSub>
        <m:r>
          <m:t>=</m:t>
        </m:r>
        <m:sSub>
          <m:e>
            <m:r>
              <m:t>F</m:t>
            </m:r>
          </m:e>
          <m:sub>
            <m:r>
              <m:t>s</m:t>
            </m:r>
            <m:r>
              <m:t>u</m:t>
            </m:r>
            <m:r>
              <m:t>m</m:t>
            </m:r>
            <m:r>
              <m:t>m</m:t>
            </m:r>
            <m:r>
              <m:t>a</m:t>
            </m:r>
            <m:r>
              <m:t>r</m:t>
            </m:r>
            <m:r>
              <m:t>y</m:t>
            </m:r>
          </m:sub>
        </m:sSub>
      </m:oMath>
      <w:r>
        <w:t xml:space="preserve"> </w:t>
      </w:r>
      <w:r>
        <w:t xml:space="preserve">(ver tabla 6). Al obtener el</w:t>
      </w:r>
      <w:r>
        <w:t xml:space="preserve"> </w:t>
      </w:r>
      <m:oMath>
        <m:r>
          <m:t>p</m:t>
        </m:r>
        <m:r>
          <m:t>−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</m:oMath>
      <w:r>
        <w:t xml:space="preserve"> </w:t>
      </w:r>
      <w:r>
        <w:t xml:space="preserve">se encuentra alta significancia estadística, con lo que se rechaza la hipotesis nula. De tal forma, se puede afirmar que almenos una de la variables regresoras (</w:t>
      </w:r>
      <m:oMath>
        <m:sSub>
          <m:e>
            <m:r>
              <m:t>β</m:t>
            </m:r>
          </m:e>
          <m:sub>
            <m:r>
              <m:t>i</m:t>
            </m:r>
          </m:sub>
        </m:sSub>
      </m:oMath>
      <w:r>
        <w:t xml:space="preserve">) son diferentes de 0. Con los resultados provenientes del análisis de correlación y el modelo de regresión podemos afirmar que la variable regresora más probable es</w:t>
      </w:r>
      <w:r>
        <w:t xml:space="preserve"> </w:t>
      </w:r>
      <w:r>
        <w:t xml:space="preserve">‘</w:t>
      </w:r>
      <w:r>
        <w:t xml:space="preserve">Peso_kg</w:t>
      </w:r>
      <w:r>
        <w:t xml:space="preserve">’</w:t>
      </w:r>
      <w:r>
        <w:t xml:space="preserve"> </w:t>
      </w:r>
      <w:r>
        <w:t xml:space="preserve">(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).</w:t>
      </w:r>
    </w:p>
    <w:p>
      <w:pPr>
        <w:pStyle w:val="Compact"/>
        <w:numPr>
          <w:numId w:val="1008"/>
          <w:ilvl w:val="0"/>
        </w:numPr>
      </w:pPr>
      <w:r>
        <w:t xml:space="preserve">Calcular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y</w:t>
      </w:r>
      <w:r>
        <w:t xml:space="preserve"> </w:t>
      </w:r>
      <m:oMath>
        <m:sSubSup>
          <m:e>
            <m:r>
              <m:t>R</m:t>
            </m:r>
          </m:e>
          <m:sub>
            <m:r>
              <m:t>a</m:t>
            </m:r>
            <m:r>
              <m:t>d</m:t>
            </m:r>
            <m:r>
              <m:t>j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para este modelo. Interprete los resultados.</w:t>
      </w:r>
    </w:p>
    <w:p>
      <w:pPr>
        <w:pStyle w:val="TableCaption"/>
      </w:pP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y</w:t>
      </w:r>
      <w:r>
        <w:t xml:space="preserve"> </w:t>
      </w:r>
      <m:oMath>
        <m:sSubSup>
          <m:e>
            <m:r>
              <m:t>R</m:t>
            </m:r>
          </m:e>
          <m:sub>
            <m:r>
              <m:t>a</m:t>
            </m:r>
            <m:r>
              <m:t>d</m:t>
            </m:r>
            <m:r>
              <m:t>j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para el modelo</w:t>
      </w:r>
    </w:p>
    <w:tbl>
      <w:tblPr>
        <w:tblStyle w:val="Table"/>
        <w:tblW w:type="pct" w:w="0.0"/>
        <w:tblLook w:firstRow="1"/>
        <w:tblCaption w:val="R^2 y R_{adj}^2 para el modelo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Sup>
                <m:e>
                  <m:r>
                    <m:t>R</m:t>
                  </m:r>
                </m:e>
                <m:sub>
                  <m:r>
                    <m:t>a</m:t>
                  </m:r>
                  <m:r>
                    <m:t>d</m:t>
                  </m:r>
                  <m:r>
                    <m:t>j</m:t>
                  </m:r>
                </m:sub>
                <m:sup>
                  <m:r>
                    <m:t>2</m:t>
                  </m:r>
                </m:sup>
              </m:sSubSup>
            </m:oMath>
          </w:p>
        </w:tc>
      </w:tr>
      <w:tr>
        <w:tc>
          <w:p>
            <w:pPr>
              <w:pStyle w:val="Compact"/>
              <w:jc w:val="right"/>
            </w:pPr>
            <w:r>
              <w:t xml:space="preserve">0.8896435</w:t>
            </w:r>
          </w:p>
        </w:tc>
        <w:tc>
          <w:p>
            <w:pPr>
              <w:pStyle w:val="Compact"/>
              <w:jc w:val="right"/>
            </w:pPr>
            <w:r>
              <w:t xml:space="preserve">0.8861215</w:t>
            </w:r>
          </w:p>
        </w:tc>
      </w:tr>
    </w:tbl>
    <w:p>
      <w:pPr>
        <w:pStyle w:val="BodyText"/>
      </w:pPr>
      <w:r>
        <w:t xml:space="preserve">La tabla 6. muestra los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y</w:t>
      </w:r>
      <w:r>
        <w:t xml:space="preserve"> </w:t>
      </w:r>
      <m:oMath>
        <m:sSubSup>
          <m:e>
            <m:r>
              <m:t>R</m:t>
            </m:r>
          </m:e>
          <m:sub>
            <m:r>
              <m:t>a</m:t>
            </m:r>
            <m:r>
              <m:t>d</m:t>
            </m:r>
            <m:r>
              <m:t>j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para el modelo de regresión aplicado. Estos resultados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≈</m:t>
        </m:r>
        <m:sSubSup>
          <m:e>
            <m:r>
              <m:t>R</m:t>
            </m:r>
          </m:e>
          <m:sub>
            <m:r>
              <m:t>a</m:t>
            </m:r>
            <m:r>
              <m:t>d</m:t>
            </m:r>
            <m:r>
              <m:t>j</m:t>
            </m:r>
          </m:sub>
          <m:sup>
            <m:r>
              <m:t>2</m:t>
            </m:r>
          </m:sup>
        </m:sSubSup>
      </m:oMath>
      <w:r>
        <w:t xml:space="preserve">), permiten proponer que aproximadamente el 88% de la variabilidad de la variable respuesta (</w:t>
      </w:r>
      <w:r>
        <w:t xml:space="preserve">‘</w:t>
      </w:r>
      <w:r>
        <w:t xml:space="preserve">masa_c_magra_%</w:t>
      </w:r>
      <w:r>
        <w:t xml:space="preserve">’</w:t>
      </w:r>
      <w:r>
        <w:t xml:space="preserve">) puede ser explicado por las variables regresoras en el modelo; de manera que, la variabilidad restante puede ser consecuencia a otras variables no tenidas encuenta en el modelo o por azar.</w:t>
      </w:r>
    </w:p>
    <w:p>
      <w:pPr>
        <w:pStyle w:val="Compact"/>
        <w:numPr>
          <w:numId w:val="1009"/>
          <w:ilvl w:val="0"/>
        </w:numPr>
      </w:pPr>
      <w:r>
        <w:t xml:space="preserve">Determinar un intervalo de confíanza de 95% para los paráametros del</w:t>
      </w:r>
      <w:r>
        <w:t xml:space="preserve"> </w:t>
      </w:r>
      <w:r>
        <w:t xml:space="preserve">modelo.</w:t>
      </w:r>
    </w:p>
    <w:p>
      <w:pPr>
        <w:pStyle w:val="TableCaption"/>
      </w:pPr>
      <w:r>
        <w:t xml:space="preserve">Intervalos de confianza para los parametros de 95%</w:t>
      </w:r>
    </w:p>
    <w:tbl>
      <w:tblPr>
        <w:tblStyle w:val="Table"/>
        <w:tblW w:type="pct" w:w="0.0"/>
        <w:tblLook w:firstRow="1"/>
        <w:tblCaption w:val="Intervalos de confianza para los parametros de 95%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IC 2.5%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IC 97.5%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p>
            <w:pPr>
              <w:pStyle w:val="Compact"/>
              <w:jc w:val="right"/>
            </w:pPr>
            <w:r>
              <w:t xml:space="preserve">-14.633</w:t>
            </w:r>
          </w:p>
        </w:tc>
        <w:tc>
          <w:p>
            <w:pPr>
              <w:pStyle w:val="Compact"/>
              <w:jc w:val="right"/>
            </w:pPr>
            <w:r>
              <w:t xml:space="preserve">12.018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right"/>
            </w:pPr>
            <w:r>
              <w:t xml:space="preserve">0.504</w:t>
            </w:r>
          </w:p>
        </w:tc>
        <w:tc>
          <w:p>
            <w:pPr>
              <w:pStyle w:val="Compact"/>
              <w:jc w:val="right"/>
            </w:pPr>
            <w:r>
              <w:t xml:space="preserve">0.629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β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p>
            <w:pPr>
              <w:pStyle w:val="Compact"/>
              <w:jc w:val="right"/>
            </w:pPr>
            <w:r>
              <w:t xml:space="preserve">2.894</w:t>
            </w:r>
          </w:p>
        </w:tc>
      </w:tr>
    </w:tbl>
    <w:p>
      <w:pPr>
        <w:pStyle w:val="Compact"/>
        <w:numPr>
          <w:numId w:val="1010"/>
          <w:ilvl w:val="0"/>
        </w:numPr>
      </w:pPr>
      <w:r>
        <w:t xml:space="preserve">Un intervalo de confíanza de 95% para la masa corporal magra</w:t>
      </w:r>
      <w:r>
        <w:t xml:space="preserve"> </w:t>
      </w:r>
      <w:r>
        <w:t xml:space="preserve">promedio de una atleta cuya estatura es 180 cms, con un peso de 78</w:t>
      </w:r>
      <w:r>
        <w:t xml:space="preserve"> </w:t>
      </w:r>
      <w:r>
        <w:t xml:space="preserve">kilogramos y un conteo de globulos rojos de 4.50 (millones de glóobulos</w:t>
      </w:r>
      <w:r>
        <w:t xml:space="preserve"> </w:t>
      </w:r>
      <w:r>
        <w:t xml:space="preserve">rojos por microlitro de sangre).</w:t>
      </w:r>
    </w:p>
    <w:p>
      <w:pPr>
        <w:pStyle w:val="TableCaption"/>
      </w:pPr>
      <w:r>
        <w:t xml:space="preserve">Predicción de intervalos de confianza para el caso dado</w:t>
      </w:r>
    </w:p>
    <w:tbl>
      <w:tblPr>
        <w:tblStyle w:val="Table"/>
        <w:tblW w:type="pct" w:w="0.0"/>
        <w:tblLook w:firstRow="1"/>
        <w:tblCaption w:val="Predicción de intervalos de confianza para el caso dado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Ajuste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IC 2.5%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IC 97.5%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61.607</w:t>
            </w:r>
          </w:p>
        </w:tc>
        <w:tc>
          <w:p>
            <w:pPr>
              <w:pStyle w:val="Compact"/>
              <w:jc w:val="right"/>
            </w:pPr>
            <w:r>
              <w:t xml:space="preserve">60.921</w:t>
            </w:r>
          </w:p>
        </w:tc>
        <w:tc>
          <w:p>
            <w:pPr>
              <w:pStyle w:val="Compact"/>
              <w:jc w:val="right"/>
            </w:pPr>
            <w:r>
              <w:t xml:space="preserve">62.294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Regresión Lineal Múltiple Taller # 2</dc:title>
  <dc:creator>Julián Camilo Riaño Moreno</dc:creator>
  <cp:keywords/>
  <dcterms:created xsi:type="dcterms:W3CDTF">2020-03-23T00:26:47Z</dcterms:created>
  <dcterms:modified xsi:type="dcterms:W3CDTF">2020-03-23T00:26:47Z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22/3/2020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