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2F4A3C"/>
          <w:sz w:val="32"/>
        </w:rPr>
        <w:t>Duty of Care Statement</w:t>
      </w:r>
    </w:p>
    <w:p>
      <w:pPr>
        <w:spacing w:after="200"/>
      </w:pPr>
      <w:r>
        <w:rPr>
          <w:rFonts w:ascii="Arial" w:hAnsi="Arial"/>
          <w:b w:val="0"/>
          <w:i/>
          <w:color w:val="5A6B62"/>
          <w:sz w:val="17"/>
        </w:rPr>
        <w:t>{{Customer.CustomerName}}    Account {{Customer.CustomerID}}    Issued {{Today}}</w:t>
      </w:r>
    </w:p>
    <w:p>
      <w:r>
        <w:rPr>
          <w:rFonts w:ascii="Arial" w:hAnsi="Arial"/>
          <w:b w:val="0"/>
          <w:i w:val="0"/>
          <w:color w:val="1B2A22"/>
          <w:sz w:val="19"/>
        </w:rPr>
        <w:t>This statement confirms how the waste collected from you has been handled, and where it went. It is provided so that you can evidence your own duty of care under section 34 of the Environmental Protection Act 1990.</w:t>
      </w:r>
    </w:p>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Our permissions</w:t>
            </w:r>
          </w:p>
        </w:tc>
      </w:tr>
    </w:tbl>
    <w:p>
      <w:pPr>
        <w:spacing w:after="40"/>
      </w:pPr>
    </w:p>
    <w:tbl>
      <w:tblPr>
        <w:tblStyle w:val="TableGrid"/>
        <w:tblW w:type="auto" w:w="0"/>
        <w:jc w:val="left"/>
        <w:tblLook w:firstColumn="1" w:firstRow="1" w:lastColumn="0" w:lastRow="0" w:noHBand="0" w:noVBand="1" w:val="04A0"/>
      </w:tblPr>
      <w:tblGrid>
        <w:gridCol w:w="5100"/>
        <w:gridCol w:w="5100"/>
      </w:tblGrid>
      <w:tr>
        <w:tc>
          <w:tcPr>
            <w:tcW w:type="dxa" w:w="2948"/>
            <w:shd w:val="clear" w:fill="F2F5F3"/>
          </w:tcPr>
          <w:p>
            <w:pPr>
              <w:spacing w:after="0"/>
            </w:pPr>
            <w:r>
              <w:rPr>
                <w:rFonts w:ascii="Arial" w:hAnsi="Arial"/>
                <w:b/>
                <w:i w:val="0"/>
                <w:color w:val="1B2A22"/>
                <w:sz w:val="18"/>
              </w:rPr>
              <w:t>Company</w:t>
            </w:r>
          </w:p>
        </w:tc>
        <w:tc>
          <w:tcPr>
            <w:tcW w:type="dxa" w:w="5100"/>
          </w:tcPr>
          <w:p>
            <w:pPr>
              <w:spacing w:after="0"/>
            </w:pPr>
            <w:r>
              <w:rPr>
                <w:rFonts w:ascii="Arial" w:hAnsi="Arial"/>
                <w:b w:val="0"/>
                <w:i w:val="0"/>
                <w:color w:val="1B2A22"/>
                <w:sz w:val="18"/>
              </w:rPr>
              <w:t>{{Config.CompanyName}}</w:t>
            </w:r>
          </w:p>
        </w:tc>
      </w:tr>
      <w:tr>
        <w:tc>
          <w:tcPr>
            <w:tcW w:type="dxa" w:w="2948"/>
            <w:shd w:val="clear" w:fill="F2F5F3"/>
          </w:tcPr>
          <w:p>
            <w:pPr>
              <w:spacing w:after="0"/>
            </w:pPr>
            <w:r>
              <w:rPr>
                <w:rFonts w:ascii="Arial" w:hAnsi="Arial"/>
                <w:b/>
                <w:i w:val="0"/>
                <w:color w:val="1B2A22"/>
                <w:sz w:val="18"/>
              </w:rPr>
              <w:t>Waste carrier registration</w:t>
            </w:r>
          </w:p>
        </w:tc>
        <w:tc>
          <w:tcPr>
            <w:tcW w:type="dxa" w:w="5100"/>
          </w:tcPr>
          <w:p>
            <w:pPr>
              <w:spacing w:after="0"/>
            </w:pPr>
            <w:r>
              <w:rPr>
                <w:rFonts w:ascii="Arial" w:hAnsi="Arial"/>
                <w:b w:val="0"/>
                <w:i w:val="0"/>
                <w:color w:val="1B2A22"/>
                <w:sz w:val="18"/>
              </w:rPr>
              <w:t>{{Config.CarrierLicence}}</w:t>
            </w:r>
          </w:p>
        </w:tc>
      </w:tr>
      <w:tr>
        <w:tc>
          <w:tcPr>
            <w:tcW w:type="dxa" w:w="2948"/>
            <w:shd w:val="clear" w:fill="F2F5F3"/>
          </w:tcPr>
          <w:p>
            <w:pPr>
              <w:spacing w:after="0"/>
            </w:pPr>
            <w:r>
              <w:rPr>
                <w:rFonts w:ascii="Arial" w:hAnsi="Arial"/>
                <w:b/>
                <w:i w:val="0"/>
                <w:color w:val="1B2A22"/>
                <w:sz w:val="18"/>
              </w:rPr>
              <w:t>Environmental permit</w:t>
            </w:r>
          </w:p>
        </w:tc>
        <w:tc>
          <w:tcPr>
            <w:tcW w:type="dxa" w:w="5100"/>
          </w:tcPr>
          <w:p>
            <w:pPr>
              <w:spacing w:after="0"/>
            </w:pPr>
            <w:r>
              <w:rPr>
                <w:rFonts w:ascii="Arial" w:hAnsi="Arial"/>
                <w:b w:val="0"/>
                <w:i w:val="0"/>
                <w:color w:val="1B2A22"/>
                <w:sz w:val="18"/>
              </w:rPr>
              <w:t>{{Config.EnvironmentalPermit}}</w:t>
            </w:r>
          </w:p>
        </w:tc>
      </w:tr>
      <w:tr>
        <w:tc>
          <w:tcPr>
            <w:tcW w:type="dxa" w:w="2948"/>
            <w:shd w:val="clear" w:fill="F2F5F3"/>
          </w:tcPr>
          <w:p>
            <w:pPr>
              <w:spacing w:after="0"/>
            </w:pPr>
            <w:r>
              <w:rPr>
                <w:rFonts w:ascii="Arial" w:hAnsi="Arial"/>
                <w:b/>
                <w:i w:val="0"/>
                <w:color w:val="1B2A22"/>
                <w:sz w:val="18"/>
              </w:rPr>
              <w:t>Site address</w:t>
            </w:r>
          </w:p>
        </w:tc>
        <w:tc>
          <w:tcPr>
            <w:tcW w:type="dxa" w:w="5100"/>
          </w:tcPr>
          <w:p>
            <w:pPr>
              <w:spacing w:after="0"/>
            </w:pPr>
            <w:r>
              <w:rPr>
                <w:rFonts w:ascii="Arial" w:hAnsi="Arial"/>
                <w:b w:val="0"/>
                <w:i w:val="0"/>
                <w:color w:val="1B2A22"/>
                <w:sz w:val="18"/>
              </w:rPr>
              <w:t>{{Config.CompanyAddress}}, {{Config.CompanyPostcode}}</w:t>
            </w:r>
          </w:p>
        </w:tc>
      </w:tr>
    </w:tbl>
    <w:p>
      <w:pPr>
        <w:spacing w:after="40"/>
      </w:pPr>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Period covered and tonnage</w:t>
            </w:r>
          </w:p>
        </w:tc>
      </w:tr>
    </w:tbl>
    <w:p>
      <w:pPr>
        <w:spacing w:after="40"/>
      </w:pPr>
    </w:p>
    <w:p>
      <w:pPr>
        <w:spacing w:after="40"/>
      </w:pPr>
      <w:r>
        <w:rPr>
          <w:rFonts w:ascii="Arial" w:hAnsi="Arial"/>
          <w:b w:val="0"/>
          <w:i w:val="0"/>
          <w:color w:val="5A6B62"/>
          <w:sz w:val="16"/>
        </w:rPr>
        <w:t>Complete the table below from the Dashboard before issuing. The figures come from weighbridge tickets, not estimates.</w:t>
      </w:r>
    </w:p>
    <w:tbl>
      <w:tblPr>
        <w:tblStyle w:val="TableGrid"/>
        <w:tblW w:type="auto" w:w="0"/>
        <w:jc w:val="left"/>
        <w:tblLook w:firstColumn="1" w:firstRow="1" w:lastColumn="0" w:lastRow="0" w:noHBand="0" w:noVBand="1" w:val="04A0"/>
      </w:tblPr>
      <w:tblGrid>
        <w:gridCol w:w="5100"/>
        <w:gridCol w:w="5100"/>
      </w:tblGrid>
      <w:tr>
        <w:tc>
          <w:tcPr>
            <w:tcW w:type="dxa" w:w="2948"/>
            <w:shd w:val="clear" w:fill="F2F5F3"/>
          </w:tcPr>
          <w:p>
            <w:pPr>
              <w:spacing w:after="0"/>
            </w:pPr>
            <w:r>
              <w:rPr>
                <w:rFonts w:ascii="Arial" w:hAnsi="Arial"/>
                <w:b/>
                <w:i w:val="0"/>
                <w:color w:val="1B2A22"/>
                <w:sz w:val="18"/>
              </w:rPr>
              <w:t>Period</w:t>
            </w:r>
          </w:p>
        </w:tc>
        <w:tc>
          <w:tcPr>
            <w:tcW w:type="dxa" w:w="5100"/>
          </w:tcPr>
          <w:p>
            <w:pPr>
              <w:spacing w:after="0"/>
            </w:pPr>
            <w:r>
              <w:rPr>
                <w:rFonts w:ascii="Arial" w:hAnsi="Arial"/>
                <w:b w:val="0"/>
                <w:i w:val="0"/>
                <w:color w:val="1B2A22"/>
                <w:sz w:val="18"/>
              </w:rPr>
              <w:t>..............................................</w:t>
            </w:r>
          </w:p>
        </w:tc>
      </w:tr>
      <w:tr>
        <w:tc>
          <w:tcPr>
            <w:tcW w:type="dxa" w:w="2948"/>
            <w:shd w:val="clear" w:fill="F2F5F3"/>
          </w:tcPr>
          <w:p>
            <w:pPr>
              <w:spacing w:after="0"/>
            </w:pPr>
            <w:r>
              <w:rPr>
                <w:rFonts w:ascii="Arial" w:hAnsi="Arial"/>
                <w:b/>
                <w:i w:val="0"/>
                <w:color w:val="1B2A22"/>
                <w:sz w:val="18"/>
              </w:rPr>
              <w:t>Total tonnage collected</w:t>
            </w:r>
          </w:p>
        </w:tc>
        <w:tc>
          <w:tcPr>
            <w:tcW w:type="dxa" w:w="5100"/>
          </w:tcPr>
          <w:p>
            <w:pPr>
              <w:spacing w:after="0"/>
            </w:pPr>
            <w:r>
              <w:rPr>
                <w:rFonts w:ascii="Arial" w:hAnsi="Arial"/>
                <w:b w:val="0"/>
                <w:i w:val="0"/>
                <w:color w:val="1B2A22"/>
                <w:sz w:val="18"/>
              </w:rPr>
              <w:t>..............................................</w:t>
            </w:r>
          </w:p>
        </w:tc>
      </w:tr>
      <w:tr>
        <w:tc>
          <w:tcPr>
            <w:tcW w:type="dxa" w:w="2948"/>
            <w:shd w:val="clear" w:fill="F2F5F3"/>
          </w:tcPr>
          <w:p>
            <w:pPr>
              <w:spacing w:after="0"/>
            </w:pPr>
            <w:r>
              <w:rPr>
                <w:rFonts w:ascii="Arial" w:hAnsi="Arial"/>
                <w:b/>
                <w:i w:val="0"/>
                <w:color w:val="1B2A22"/>
                <w:sz w:val="18"/>
              </w:rPr>
              <w:t>Tonnage recycled or recovered</w:t>
            </w:r>
          </w:p>
        </w:tc>
        <w:tc>
          <w:tcPr>
            <w:tcW w:type="dxa" w:w="5100"/>
          </w:tcPr>
          <w:p>
            <w:pPr>
              <w:spacing w:after="0"/>
            </w:pPr>
            <w:r>
              <w:rPr>
                <w:rFonts w:ascii="Arial" w:hAnsi="Arial"/>
                <w:b w:val="0"/>
                <w:i w:val="0"/>
                <w:color w:val="1B2A22"/>
                <w:sz w:val="18"/>
              </w:rPr>
              <w:t>..............................................</w:t>
            </w:r>
          </w:p>
        </w:tc>
      </w:tr>
      <w:tr>
        <w:tc>
          <w:tcPr>
            <w:tcW w:type="dxa" w:w="2948"/>
            <w:shd w:val="clear" w:fill="F2F5F3"/>
          </w:tcPr>
          <w:p>
            <w:pPr>
              <w:spacing w:after="0"/>
            </w:pPr>
            <w:r>
              <w:rPr>
                <w:rFonts w:ascii="Arial" w:hAnsi="Arial"/>
                <w:b/>
                <w:i w:val="0"/>
                <w:color w:val="1B2A22"/>
                <w:sz w:val="18"/>
              </w:rPr>
              <w:t>Tonnage to landfill</w:t>
            </w:r>
          </w:p>
        </w:tc>
        <w:tc>
          <w:tcPr>
            <w:tcW w:type="dxa" w:w="5100"/>
          </w:tcPr>
          <w:p>
            <w:pPr>
              <w:spacing w:after="0"/>
            </w:pPr>
            <w:r>
              <w:rPr>
                <w:rFonts w:ascii="Arial" w:hAnsi="Arial"/>
                <w:b w:val="0"/>
                <w:i w:val="0"/>
                <w:color w:val="1B2A22"/>
                <w:sz w:val="18"/>
              </w:rPr>
              <w:t>..............................................</w:t>
            </w:r>
          </w:p>
        </w:tc>
      </w:tr>
      <w:tr>
        <w:tc>
          <w:tcPr>
            <w:tcW w:type="dxa" w:w="2948"/>
            <w:shd w:val="clear" w:fill="F2F5F3"/>
          </w:tcPr>
          <w:p>
            <w:pPr>
              <w:spacing w:after="0"/>
            </w:pPr>
            <w:r>
              <w:rPr>
                <w:rFonts w:ascii="Arial" w:hAnsi="Arial"/>
                <w:b/>
                <w:i w:val="0"/>
                <w:color w:val="1B2A22"/>
                <w:sz w:val="18"/>
              </w:rPr>
              <w:t>Recovery rate achieved</w:t>
            </w:r>
          </w:p>
        </w:tc>
        <w:tc>
          <w:tcPr>
            <w:tcW w:type="dxa" w:w="5100"/>
          </w:tcPr>
          <w:p>
            <w:pPr>
              <w:spacing w:after="0"/>
            </w:pPr>
            <w:r>
              <w:rPr>
                <w:rFonts w:ascii="Arial" w:hAnsi="Arial"/>
                <w:b w:val="0"/>
                <w:i w:val="0"/>
                <w:color w:val="1B2A22"/>
                <w:sz w:val="18"/>
              </w:rPr>
              <w:t>..............................................</w:t>
            </w:r>
          </w:p>
        </w:tc>
      </w:tr>
    </w:tbl>
    <w:p>
      <w:pPr>
        <w:spacing w:after="40"/>
      </w:pPr>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How the waste was treated</w:t>
            </w:r>
          </w:p>
        </w:tc>
      </w:tr>
    </w:tbl>
    <w:p>
      <w:pPr>
        <w:spacing w:after="40"/>
      </w:pPr>
    </w:p>
    <w:p>
      <w:pPr>
        <w:spacing w:after="40"/>
      </w:pPr>
      <w:r>
        <w:rPr>
          <w:rFonts w:ascii="Arial" w:hAnsi="Arial"/>
          <w:b w:val="0"/>
          <w:i w:val="0"/>
          <w:color w:val="5A6B62"/>
          <w:sz w:val="16"/>
        </w:rPr>
        <w:t>Material is received at our permitted transfer station, segregated and sent to authorised outlets. Every outlet's permit is verified before we use it and reviewed annually; records are held on our approved outlet register.</w:t>
      </w:r>
    </w:p>
    <w:p>
      <w:pPr>
        <w:spacing w:after="40"/>
      </w:pPr>
      <w:r>
        <w:rPr>
          <w:rFonts w:ascii="Arial" w:hAnsi="Arial"/>
          <w:b w:val="0"/>
          <w:i w:val="0"/>
          <w:color w:val="5A6B62"/>
          <w:sz w:val="16"/>
        </w:rPr>
        <w:t>The waste hierarchy is applied: material is prepared for reuse where possible, then recycled, then recovered, with landfill used only for the residue that cannot be treated any other way.</w:t>
      </w:r>
    </w:p>
    <w:p>
      <w:pPr>
        <w:spacing w:after="40"/>
      </w:pPr>
      <w:r>
        <w:rPr>
          <w:rFonts w:ascii="Arial" w:hAnsi="Arial"/>
          <w:b w:val="0"/>
          <w:i w:val="0"/>
          <w:color w:val="5A6B62"/>
          <w:sz w:val="16"/>
        </w:rPr>
        <w:t>A waste transfer note was raised for every movement and is retained for two years (three years for hazardous consignments).</w:t>
      </w:r>
    </w:p>
    <w:p/>
    <w:p>
      <w:r>
        <w:rPr>
          <w:rFonts w:ascii="Arial" w:hAnsi="Arial"/>
          <w:b w:val="0"/>
          <w:i w:val="0"/>
          <w:color w:val="1B2A22"/>
          <w:sz w:val="18"/>
        </w:rPr>
        <w:t>Signed: ..............................   Name: {{User}}   Date: {{Today}}</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A6B62"/>
        <w:sz w:val="15"/>
      </w:rPr>
      <w:t>Duty of care statement - {{Customer.CustomerID}} - generated {{Now}}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i w:val="0"/>
        <w:color w:val="2F4A3C"/>
        <w:sz w:val="24"/>
      </w:rPr>
      <w:t>{{Config.CompanyName}}</w:t>
    </w:r>
  </w:p>
  <w:p>
    <w:pPr>
      <w:spacing w:after="0"/>
    </w:pPr>
    <w:r>
      <w:rPr>
        <w:rFonts w:ascii="Arial" w:hAnsi="Arial"/>
        <w:b w:val="0"/>
        <w:i w:val="0"/>
        <w:color w:val="5A6B62"/>
        <w:sz w:val="16"/>
      </w:rPr>
      <w:t>{{Config.CompanyAddress}}  {{Config.CompanyPostcode}}   T {{Config.CompanyPhone}}   E {{Config.CompanyEmail}}</w:t>
    </w:r>
  </w:p>
  <w:p>
    <w:r>
      <w:rPr>
        <w:rFonts w:ascii="Arial" w:hAnsi="Arial"/>
        <w:b w:val="0"/>
        <w:i w:val="0"/>
        <w:color w:val="5A6B62"/>
        <w:sz w:val="16"/>
      </w:rPr>
      <w:t>Waste carrier registration {{Config.CarrierLicence}}   Environmental permit {{Config.EnvironmentalPermit}}   VAT {{Config.CompanyVATNumber}}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B2A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