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Job Confirmation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{{Job.JobID}}    Confirmed {{Today}}</w:t>
      </w:r>
    </w:p>
    <w:p>
      <w:r>
        <w:rPr>
          <w:rFonts w:ascii="Arial" w:hAnsi="Arial"/>
          <w:b w:val="0"/>
          <w:i w:val="0"/>
          <w:color w:val="1B2A22"/>
          <w:sz w:val="20"/>
        </w:rPr>
        <w:t>{{Customer.ContactName}}</w:t>
      </w:r>
    </w:p>
    <w:p>
      <w:r>
        <w:rPr>
          <w:rFonts w:ascii="Arial" w:hAnsi="Arial"/>
          <w:b w:val="0"/>
          <w:i w:val="0"/>
          <w:color w:val="1B2A22"/>
          <w:sz w:val="19"/>
        </w:rPr>
        <w:t>Thank you for your order. We have booked the following: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Our reference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{{Job.JobID}}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Your order number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{{Job.PONumber}}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Service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{{Job.ServiceType}}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Container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{{Job.ContainerType}}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Delivery site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{{Site.SiteName}}, {{Site.Address1}}, {{Site.Town}} {{Site.Postcode}}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Access notes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{{Site.AccessNotes}}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Wanted for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{{Job.RequestedDate}}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Scheduled for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{{Job.ScheduledDate}}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Price agreed (excl. VAT)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£{{Job.PriceAgreed}}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Waste type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{{Job.WasteDescription}} (EWC {{Job.EWCCode}})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we cannot take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Plasterboard, asbestos, tyres, fridges, mattresses, gas cylinders, batteries, paint, oils, solvents, clinical waste and any liquid waste must not go in the container. They are chargeable separately and a contaminated load may be rejected at the facility.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Please do not load above the rim. An overloaded container cannot legally be moved and will be left on site.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Where the container stands on the public highway a permit is required. Permit reference for this job: {{Job.PermitRef}}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Duty of care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A waste transfer note will be raised for this movement and a copy sent to you. {{Config.CompanyName}} is a registered waste carrier, registration {{Config.CarrierLicence}}, and operates under environmental permit {{Config.EnvironmentalPermit}}.</w:t>
      </w:r>
    </w:p>
    <w:p/>
    <w:p>
      <w:r>
        <w:rPr>
          <w:rFonts w:ascii="Arial" w:hAnsi="Arial"/>
          <w:b/>
          <w:i w:val="0"/>
          <w:color w:val="1B2A22"/>
          <w:sz w:val="19"/>
        </w:rPr>
        <w:t>{{User}}</w:t>
      </w:r>
    </w:p>
    <w:p>
      <w:r>
        <w:rPr>
          <w:rFonts w:ascii="Arial" w:hAnsi="Arial"/>
          <w:b w:val="0"/>
          <w:i w:val="0"/>
          <w:color w:val="1B2A22"/>
          <w:sz w:val="18"/>
        </w:rPr>
        <w:t>{{Config.CompanyName}}   {{Config.CompanyPhone}}   {{Config.CompanyEmail}}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>Job confirmation {{Job.JobID}} - generated {{Now}}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