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i w:val="0"/>
          <w:color w:val="2F4A3C"/>
          <w:sz w:val="32"/>
        </w:rPr>
        <w:t>Quotation</w:t>
      </w:r>
    </w:p>
    <w:p>
      <w:pPr>
        <w:spacing w:after="200"/>
      </w:pPr>
      <w:r>
        <w:rPr>
          <w:rFonts w:ascii="Arial" w:hAnsi="Arial"/>
          <w:b w:val="0"/>
          <w:i/>
          <w:color w:val="5A6B62"/>
          <w:sz w:val="17"/>
        </w:rPr>
        <w:t>{{Job.JobID}}    {{Today}}    Valid for 30 days from the date above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948"/>
            <w:shd w:val="clear" w:fill="F2F5F3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22"/>
                <w:sz w:val="18"/>
              </w:rPr>
              <w:t>For the attention of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22"/>
                <w:sz w:val="18"/>
              </w:rPr>
              <w:t>{{Customer.ContactName}}</w:t>
            </w:r>
          </w:p>
        </w:tc>
      </w:tr>
      <w:tr>
        <w:tc>
          <w:tcPr>
            <w:tcW w:type="dxa" w:w="2948"/>
            <w:shd w:val="clear" w:fill="F2F5F3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22"/>
                <w:sz w:val="18"/>
              </w:rPr>
              <w:t>Company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22"/>
                <w:sz w:val="18"/>
              </w:rPr>
              <w:t>{{Customer.CustomerName}}</w:t>
            </w:r>
          </w:p>
        </w:tc>
      </w:tr>
      <w:tr>
        <w:tc>
          <w:tcPr>
            <w:tcW w:type="dxa" w:w="2948"/>
            <w:shd w:val="clear" w:fill="F2F5F3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22"/>
                <w:sz w:val="18"/>
              </w:rPr>
              <w:t>Site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22"/>
                <w:sz w:val="18"/>
              </w:rPr>
              <w:t>{{Site.SiteName}}, {{Site.Town}} {{Site.Postcode}}</w:t>
            </w:r>
          </w:p>
        </w:tc>
      </w:tr>
      <w:tr>
        <w:tc>
          <w:tcPr>
            <w:tcW w:type="dxa" w:w="2948"/>
            <w:shd w:val="clear" w:fill="F2F5F3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22"/>
                <w:sz w:val="18"/>
              </w:rPr>
              <w:t>Our reference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22"/>
                <w:sz w:val="18"/>
              </w:rPr>
              <w:t>{{Job.JobID}}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2F4A3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What we are quoting for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948"/>
            <w:shd w:val="clear" w:fill="F2F5F3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22"/>
                <w:sz w:val="18"/>
              </w:rPr>
              <w:t>Service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22"/>
                <w:sz w:val="18"/>
              </w:rPr>
              <w:t>{{Job.ServiceType}}</w:t>
            </w:r>
          </w:p>
        </w:tc>
      </w:tr>
      <w:tr>
        <w:tc>
          <w:tcPr>
            <w:tcW w:type="dxa" w:w="2948"/>
            <w:shd w:val="clear" w:fill="F2F5F3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22"/>
                <w:sz w:val="18"/>
              </w:rPr>
              <w:t>Container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22"/>
                <w:sz w:val="18"/>
              </w:rPr>
              <w:t>{{Job.ContainerType}}</w:t>
            </w:r>
          </w:p>
        </w:tc>
      </w:tr>
      <w:tr>
        <w:tc>
          <w:tcPr>
            <w:tcW w:type="dxa" w:w="2948"/>
            <w:shd w:val="clear" w:fill="F2F5F3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22"/>
                <w:sz w:val="18"/>
              </w:rPr>
              <w:t>Waste type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22"/>
                <w:sz w:val="18"/>
              </w:rPr>
              <w:t>{{Job.WasteDescription}} (EWC {{Job.EWCCode}})</w:t>
            </w:r>
          </w:p>
        </w:tc>
      </w:tr>
      <w:tr>
        <w:tc>
          <w:tcPr>
            <w:tcW w:type="dxa" w:w="2948"/>
            <w:shd w:val="clear" w:fill="F2F5F3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22"/>
                <w:sz w:val="18"/>
              </w:rPr>
              <w:t>Price, excluding VAT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22"/>
                <w:sz w:val="18"/>
              </w:rPr>
              <w:t>£{{Job.PriceAgreed}}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2F4A3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What the price includes, and what it does not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 w:val="0"/>
          <w:i w:val="0"/>
          <w:color w:val="5A6B62"/>
          <w:sz w:val="16"/>
        </w:rPr>
        <w:t>The price covers delivery, the hire period stated on our current rate card, collection, and the tonnage allowance for the container size quoted.</w:t>
      </w:r>
    </w:p>
    <w:p>
      <w:pPr>
        <w:spacing w:after="40"/>
      </w:pPr>
      <w:r>
        <w:rPr>
          <w:rFonts w:ascii="Arial" w:hAnsi="Arial"/>
          <w:b w:val="0"/>
          <w:i w:val="0"/>
          <w:color w:val="5A6B62"/>
          <w:sz w:val="16"/>
        </w:rPr>
        <w:t>Tonnage over the allowance is charged at the rate on the rate card, worked out from our weighbridge ticket. A copy of the ticket is available on request.</w:t>
      </w:r>
    </w:p>
    <w:p>
      <w:pPr>
        <w:spacing w:after="40"/>
      </w:pPr>
      <w:r>
        <w:rPr>
          <w:rFonts w:ascii="Arial" w:hAnsi="Arial"/>
          <w:b w:val="0"/>
          <w:i w:val="0"/>
          <w:color w:val="5A6B62"/>
          <w:sz w:val="16"/>
        </w:rPr>
        <w:t>Hire beyond the included period is charged per day.</w:t>
      </w:r>
    </w:p>
    <w:p>
      <w:pPr>
        <w:spacing w:after="40"/>
      </w:pPr>
      <w:r>
        <w:rPr>
          <w:rFonts w:ascii="Arial" w:hAnsi="Arial"/>
          <w:b w:val="0"/>
          <w:i w:val="0"/>
          <w:color w:val="5A6B62"/>
          <w:sz w:val="16"/>
        </w:rPr>
        <w:t>Prohibited items - plasterboard, asbestos, tyres, fridges, mattresses, gas cylinders, batteries, paint, oils, solvents, clinical and liquid waste - are chargeable separately.</w:t>
      </w:r>
    </w:p>
    <w:p>
      <w:pPr>
        <w:spacing w:after="40"/>
      </w:pPr>
      <w:r>
        <w:rPr>
          <w:rFonts w:ascii="Arial" w:hAnsi="Arial"/>
          <w:b w:val="0"/>
          <w:i w:val="0"/>
          <w:color w:val="5A6B62"/>
          <w:sz w:val="16"/>
        </w:rPr>
        <w:t>Where a highway permit is needed, the permit fee is charged at cost.</w:t>
      </w:r>
    </w:p>
    <w:p>
      <w:pPr>
        <w:spacing w:after="40"/>
      </w:pPr>
      <w:r>
        <w:rPr>
          <w:rFonts w:ascii="Arial" w:hAnsi="Arial"/>
          <w:b w:val="0"/>
          <w:i w:val="0"/>
          <w:color w:val="5A6B62"/>
          <w:sz w:val="16"/>
        </w:rPr>
        <w:t>Prices exclude VAT, which is charged at the prevailing rate.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2F4A3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Our permissions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Arial" w:hAnsi="Arial"/>
          <w:b w:val="0"/>
          <w:i w:val="0"/>
          <w:color w:val="5A6B62"/>
          <w:sz w:val="16"/>
        </w:rPr>
        <w:t>Registered waste carrier {{Config.CarrierLicence}}. Environmental permit {{Config.EnvironmentalPermit}}. We will issue a waste transfer note for every movement and can report the recovery rate achieved on your waste.</w:t>
      </w:r>
    </w:p>
    <w:p/>
    <w:p>
      <w:r>
        <w:rPr>
          <w:rFonts w:ascii="Arial" w:hAnsi="Arial"/>
          <w:b w:val="0"/>
          <w:i w:val="0"/>
          <w:color w:val="1B2A22"/>
          <w:sz w:val="18"/>
        </w:rPr>
        <w:t>Quoted by {{User}} on {{Today}}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b w:val="0"/>
        <w:i w:val="0"/>
        <w:color w:val="5A6B62"/>
        <w:sz w:val="15"/>
      </w:rPr>
      <w:t>Quotation {{Job.JobID}} - {{Config.CompanyName}}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Arial" w:hAnsi="Arial"/>
        <w:b/>
        <w:i w:val="0"/>
        <w:color w:val="2F4A3C"/>
        <w:sz w:val="24"/>
      </w:rPr>
      <w:t>{{Config.CompanyName}}</w:t>
    </w:r>
  </w:p>
  <w:p>
    <w:pPr>
      <w:spacing w:after="0"/>
    </w:pPr>
    <w:r>
      <w:rPr>
        <w:rFonts w:ascii="Arial" w:hAnsi="Arial"/>
        <w:b w:val="0"/>
        <w:i w:val="0"/>
        <w:color w:val="5A6B62"/>
        <w:sz w:val="16"/>
      </w:rPr>
      <w:t>{{Config.CompanyAddress}}  {{Config.CompanyPostcode}}   T {{Config.CompanyPhone}}   E {{Config.CompanyEmail}}</w:t>
    </w:r>
  </w:p>
  <w:p>
    <w:r>
      <w:rPr>
        <w:rFonts w:ascii="Arial" w:hAnsi="Arial"/>
        <w:b w:val="0"/>
        <w:i w:val="0"/>
        <w:color w:val="5A6B62"/>
        <w:sz w:val="16"/>
      </w:rPr>
      <w:t>Waste carrier registration {{Config.CarrierLicence}}   Environmental permit {{Config.EnvironmentalPermit}}   VAT {{Config.CompanyVATNumber}}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B2A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