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i w:val="0"/>
          <w:color w:val="2E74B5"/>
          <w:sz w:val="20"/>
        </w:rPr>
        <w:t>IMPLEMENTATION GUIDE</w:t>
      </w:r>
    </w:p>
    <w:p>
      <w:pPr>
        <w:spacing w:after="80"/>
      </w:pPr>
      <w:r>
        <w:rPr>
          <w:rFonts w:ascii="Calibri" w:hAnsi="Calibri"/>
          <w:b/>
          <w:i w:val="0"/>
          <w:color w:val="0B2545"/>
          <w:sz w:val="46"/>
        </w:rPr>
        <w:t>Paper Vendo Machine Capstone Refactor</w:t>
      </w:r>
    </w:p>
    <w:p>
      <w:pPr>
        <w:pStyle w:val="Subtitle"/>
      </w:pPr>
      <w:r>
        <w:rPr>
          <w:rFonts w:ascii="Calibri" w:hAnsi="Calibri"/>
          <w:b w:val="0"/>
          <w:i w:val="0"/>
          <w:color w:val="667085"/>
          <w:sz w:val="24"/>
        </w:rPr>
        <w:t>Machine flow, database contract, web reporting, wiring additions, and deployment checks</w:t>
      </w:r>
    </w:p>
    <w:tbl>
      <w:tblPr>
        <w:tblStyle w:val="TableGrid"/>
        <w:tblW w:type="dxa" w:w="9360"/>
        <w:jc w:val="left"/>
        <w:tblLayout w:type="fixed"/>
        <w:tblLook w:firstColumn="1" w:firstRow="1" w:lastColumn="0" w:lastRow="0" w:noHBand="0" w:noVBand="1" w:val="04A0"/>
        <w:tblInd w:w="120" w:type="dxa"/>
      </w:tblPr>
      <w:tblGrid>
        <w:gridCol w:w="1800"/>
        <w:gridCol w:w="4500"/>
        <w:gridCol w:w="3060"/>
      </w:tblGrid>
      <w:tr>
        <w:tc>
          <w:tcPr>
            <w:tcW w:type="dxa" w:w="1800"/>
            <w:tcMar>
              <w:top w:w="80" w:type="dxa"/>
              <w:start w:w="120" w:type="dxa"/>
              <w:bottom w:w="80" w:type="dxa"/>
              <w:end w:w="120" w:type="dxa"/>
            </w:tcMar>
            <w:vAlign w:val="center"/>
            <w:shd w:fill="E8EEF5"/>
          </w:tcPr>
          <w:p>
            <w:pPr>
              <w:jc w:val="center"/>
            </w:pPr>
            <w:r>
              <w:rPr>
                <w:rFonts w:ascii="Calibri" w:hAnsi="Calibri"/>
                <w:b/>
                <w:i w:val="0"/>
                <w:color w:val="1F4D78"/>
                <w:sz w:val="18"/>
              </w:rPr>
              <w:t>Prepared</w:t>
            </w:r>
          </w:p>
        </w:tc>
        <w:tc>
          <w:tcPr>
            <w:tcW w:type="dxa" w:w="4500"/>
            <w:tcMar>
              <w:top w:w="80" w:type="dxa"/>
              <w:start w:w="120" w:type="dxa"/>
              <w:bottom w:w="80" w:type="dxa"/>
              <w:end w:w="120" w:type="dxa"/>
            </w:tcMar>
            <w:vAlign w:val="center"/>
            <w:shd w:fill="E8EEF5"/>
          </w:tcPr>
          <w:p>
            <w:pPr>
              <w:jc w:val="center"/>
            </w:pPr>
            <w:r>
              <w:rPr>
                <w:rFonts w:ascii="Calibri" w:hAnsi="Calibri"/>
                <w:b/>
                <w:i w:val="0"/>
                <w:color w:val="1F4D78"/>
                <w:sz w:val="18"/>
              </w:rPr>
              <w:t>Scope</w:t>
            </w:r>
          </w:p>
        </w:tc>
        <w:tc>
          <w:tcPr>
            <w:tcW w:type="dxa" w:w="3060"/>
            <w:tcMar>
              <w:top w:w="80" w:type="dxa"/>
              <w:start w:w="120" w:type="dxa"/>
              <w:bottom w:w="80" w:type="dxa"/>
              <w:end w:w="120" w:type="dxa"/>
            </w:tcMar>
            <w:vAlign w:val="center"/>
            <w:shd w:fill="E8EEF5"/>
          </w:tcPr>
          <w:p>
            <w:pPr>
              <w:jc w:val="center"/>
            </w:pPr>
            <w:r>
              <w:rPr>
                <w:rFonts w:ascii="Calibri" w:hAnsi="Calibri"/>
                <w:b/>
                <w:i w:val="0"/>
                <w:color w:val="1F4D78"/>
                <w:sz w:val="18"/>
              </w:rPr>
              <w:t>Status</w:t>
            </w:r>
          </w:p>
        </w:tc>
      </w:tr>
      <w:tr>
        <w:tc>
          <w:tcPr>
            <w:tcW w:type="dxa" w:w="1800"/>
          </w:tcPr>
          <w:p>
            <w:pPr>
              <w:jc w:val="center"/>
            </w:pPr>
            <w:r>
              <w:rPr>
                <w:rFonts w:ascii="Calibri" w:hAnsi="Calibri"/>
                <w:b w:val="0"/>
                <w:i w:val="0"/>
                <w:color w:val="0B2545"/>
                <w:sz w:val="17"/>
              </w:rPr>
              <w:t>2 August 2026</w:t>
            </w:r>
          </w:p>
        </w:tc>
        <w:tc>
          <w:tcPr>
            <w:tcW w:type="dxa" w:w="4500"/>
          </w:tcPr>
          <w:p>
            <w:pPr>
              <w:jc w:val="left"/>
            </w:pPr>
            <w:r>
              <w:rPr>
                <w:rFonts w:ascii="Calibri" w:hAnsi="Calibri"/>
                <w:b w:val="0"/>
                <w:i w:val="0"/>
                <w:color w:val="0B2545"/>
                <w:sz w:val="17"/>
              </w:rPr>
              <w:t>Mega, ESP32, Supabase, PERN website</w:t>
            </w:r>
          </w:p>
        </w:tc>
        <w:tc>
          <w:tcPr>
            <w:tcW w:type="dxa" w:w="3060"/>
          </w:tcPr>
          <w:p>
            <w:pPr>
              <w:jc w:val="left"/>
            </w:pPr>
            <w:r>
              <w:rPr>
                <w:rFonts w:ascii="Calibri" w:hAnsi="Calibri"/>
                <w:b w:val="0"/>
                <w:i w:val="0"/>
                <w:color w:val="0B2545"/>
                <w:sz w:val="17"/>
              </w:rPr>
              <w:t>Implementation refactor; hardware validation required</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F4D78"/>
                <w:sz w:val="22"/>
              </w:rPr>
              <w:t xml:space="preserve">Release rule. </w:t>
            </w:r>
            <w:r>
              <w:rPr>
                <w:rFonts w:ascii="Calibri" w:hAnsi="Calibri"/>
                <w:b w:val="0"/>
                <w:i w:val="0"/>
                <w:color w:val="0B2545"/>
                <w:sz w:val="22"/>
              </w:rPr>
              <w:t>The machine must verify and record the full change payment before it receives a dispense plan. It never relies on a manual D button or an inferred website calculation.</w:t>
            </w:r>
          </w:p>
        </w:tc>
      </w:tr>
    </w:tbl>
    <w:p>
      <w:pPr>
        <w:spacing w:after="20"/>
      </w:pPr>
    </w:p>
    <w:p>
      <w:pPr>
        <w:pStyle w:val="Heading1"/>
      </w:pPr>
      <w:r>
        <w:t>What changed</w:t>
      </w:r>
    </w:p>
    <w:p>
      <w:pPr>
        <w:pStyle w:val="ListBullet"/>
        <w:spacing w:after="80" w:line="276" w:lineRule="auto"/>
      </w:pPr>
      <w:r>
        <w:rPr>
          <w:rFonts w:ascii="Calibri" w:hAnsi="Calibri"/>
          <w:b w:val="0"/>
          <w:i w:val="0"/>
          <w:color w:val="0B2545"/>
          <w:sz w:val="22"/>
        </w:rPr>
        <w:t>A complete cart is now reserved atomically before a motor moves. The reservation includes products, user units, physical output quantity, stock, and exact change.</w:t>
      </w:r>
    </w:p>
    <w:p>
      <w:pPr>
        <w:pStyle w:val="ListBullet"/>
        <w:spacing w:after="80" w:line="276" w:lineRule="auto"/>
      </w:pPr>
      <w:r>
        <w:rPr>
          <w:rFonts w:ascii="Calibri" w:hAnsi="Calibri"/>
          <w:b w:val="0"/>
          <w:i w:val="0"/>
          <w:color w:val="0B2545"/>
          <w:sz w:val="22"/>
        </w:rPr>
        <w:t>The Mega returns verified change first through a hopper sensor. Only CHANGE_OK lets the ESP32 request the dispense plan.</w:t>
      </w:r>
    </w:p>
    <w:p>
      <w:pPr>
        <w:pStyle w:val="ListBullet"/>
        <w:spacing w:after="80" w:line="276" w:lineRule="auto"/>
      </w:pPr>
      <w:r>
        <w:rPr>
          <w:rFonts w:ascii="Calibri" w:hAnsi="Calibri"/>
          <w:b w:val="0"/>
          <w:i w:val="0"/>
          <w:color w:val="0B2545"/>
          <w:sz w:val="22"/>
        </w:rPr>
        <w:t>The transaction line stores units_requested separately from qty_requested and qty_dispensed. For paper, units are the customer choice and quantity is physical sheets.</w:t>
      </w:r>
    </w:p>
    <w:p>
      <w:pPr>
        <w:pStyle w:val="ListBullet"/>
        <w:spacing w:after="80" w:line="276" w:lineRule="auto"/>
      </w:pPr>
      <w:r>
        <w:rPr>
          <w:rFonts w:ascii="Calibri" w:hAnsi="Calibri"/>
          <w:b w:val="0"/>
          <w:i w:val="0"/>
          <w:color w:val="0B2545"/>
          <w:sz w:val="22"/>
        </w:rPr>
        <w:t>The website reads stored units and price snapshots. It no longer reconstructs units from amount, sheet settings, or quantities after the sale.</w:t>
      </w:r>
    </w:p>
    <w:p>
      <w:pPr>
        <w:pStyle w:val="ListBullet"/>
        <w:spacing w:after="80" w:line="276" w:lineRule="auto"/>
      </w:pPr>
      <w:r>
        <w:rPr>
          <w:rFonts w:ascii="Calibri" w:hAnsi="Calibri"/>
          <w:b w:val="0"/>
          <w:i w:val="0"/>
          <w:color w:val="0B2545"/>
          <w:sz w:val="22"/>
        </w:rPr>
        <w:t>The four paper channels are physical feeders by size. Budget and Standard are logical catalog products that may share a feeder only when their paper stock is physically identical.</w:t>
      </w:r>
    </w:p>
    <w:p>
      <w:pPr>
        <w:pStyle w:val="Heading1"/>
      </w:pPr>
      <w:r>
        <w:t>Final transaction flow</w:t>
      </w:r>
    </w:p>
    <w:p>
      <w:pPr>
        <w:pStyle w:val="ListNumber"/>
        <w:spacing w:after="80" w:line="276" w:lineRule="auto"/>
      </w:pPr>
      <w:r>
        <w:rPr>
          <w:rFonts w:ascii="Calibri" w:hAnsi="Calibri"/>
          <w:b w:val="0"/>
          <w:i w:val="0"/>
          <w:color w:val="0B2545"/>
          <w:sz w:val="22"/>
        </w:rPr>
        <w:t>Customer inserts coins. The Mega maintains the credit in pesos and sends its exact cent value only when checkout begins.</w:t>
      </w:r>
    </w:p>
    <w:p>
      <w:pPr>
        <w:pStyle w:val="ListNumber"/>
        <w:spacing w:after="80" w:line="276" w:lineRule="auto"/>
      </w:pPr>
      <w:r>
        <w:rPr>
          <w:rFonts w:ascii="Calibri" w:hAnsi="Calibri"/>
          <w:b w:val="0"/>
          <w:i w:val="0"/>
          <w:color w:val="0B2545"/>
          <w:sz w:val="22"/>
        </w:rPr>
        <w:t>Customer selects Paper, then Budget or Standard, then one of four sizes; or selects one of three pen channels. The cart contains requested units, not calculated sheet counts.</w:t>
      </w:r>
    </w:p>
    <w:p>
      <w:pPr>
        <w:pStyle w:val="ListNumber"/>
        <w:spacing w:after="80" w:line="276" w:lineRule="auto"/>
      </w:pPr>
      <w:r>
        <w:rPr>
          <w:rFonts w:ascii="Calibri" w:hAnsi="Calibri"/>
          <w:b w:val="0"/>
          <w:i w:val="0"/>
          <w:color w:val="0B2545"/>
          <w:sz w:val="22"/>
        </w:rPr>
        <w:t>Mega inhibits the coin acceptor and sends one RESERVE message for the whole cart. ESP32 calls machine_reserve_transaction, which validates price, units, stock, shared feeder capacity, and exact change in one database transaction.</w:t>
      </w:r>
    </w:p>
    <w:p>
      <w:pPr>
        <w:pStyle w:val="ListNumber"/>
        <w:spacing w:after="80" w:line="276" w:lineRule="auto"/>
      </w:pPr>
      <w:r>
        <w:rPr>
          <w:rFonts w:ascii="Calibri" w:hAnsi="Calibri"/>
          <w:b w:val="0"/>
          <w:i w:val="0"/>
          <w:color w:val="0B2545"/>
          <w:sz w:val="22"/>
        </w:rPr>
        <w:t>ESP32 returns RESERVED with transaction ID, subtotal, and change due. Mega drives the change hopper and counts each exit-sensor edge.</w:t>
      </w:r>
    </w:p>
    <w:p>
      <w:pPr>
        <w:pStyle w:val="ListNumber"/>
        <w:spacing w:after="80" w:line="276" w:lineRule="auto"/>
      </w:pPr>
      <w:r>
        <w:rPr>
          <w:rFonts w:ascii="Calibri" w:hAnsi="Calibri"/>
          <w:b w:val="0"/>
          <w:i w:val="0"/>
          <w:color w:val="0B2545"/>
          <w:sz w:val="22"/>
        </w:rPr>
        <w:t>Only if every change coin is sensor-confirmed, Mega sends CHANGE_OK. ESP32 changes the transaction to CHANGE_PAID and returns the physical PLAN.</w:t>
      </w:r>
    </w:p>
    <w:p>
      <w:pPr>
        <w:pStyle w:val="ListNumber"/>
        <w:spacing w:after="80" w:line="276" w:lineRule="auto"/>
      </w:pPr>
      <w:r>
        <w:rPr>
          <w:rFonts w:ascii="Calibri" w:hAnsi="Calibri"/>
          <w:b w:val="0"/>
          <w:i w:val="0"/>
          <w:color w:val="0B2545"/>
          <w:sz w:val="22"/>
        </w:rPr>
        <w:t>Mega dispenses each plan item. Paper requires one exit-sensor cycle for each physical sheet; pens require the existing IR drop confirmation. Mega sends actual quantities in FINISH.</w:t>
      </w:r>
    </w:p>
    <w:p>
      <w:pPr>
        <w:pStyle w:val="ListNumber"/>
        <w:spacing w:after="80" w:line="276" w:lineRule="auto"/>
      </w:pPr>
      <w:r>
        <w:rPr>
          <w:rFonts w:ascii="Calibri" w:hAnsi="Calibri"/>
          <w:b w:val="0"/>
          <w:i w:val="0"/>
          <w:color w:val="0B2545"/>
          <w:sz w:val="22"/>
        </w:rPr>
        <w:t>ESP32 calls machine_finish_transaction. The database commits inventory consumption, marks every line DISPENSED or FAILED, and exposes the stored result to the website.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after="0"/>
            </w:pPr>
            <w:r>
              <w:rPr>
                <w:rFonts w:ascii="Calibri" w:hAnsi="Calibri"/>
                <w:b/>
                <w:i w:val="0"/>
                <w:color w:val="1F4D78"/>
                <w:sz w:val="22"/>
              </w:rPr>
              <w:t xml:space="preserve">Failure behavior. </w:t>
            </w:r>
            <w:r>
              <w:rPr>
                <w:rFonts w:ascii="Calibri" w:hAnsi="Calibri"/>
                <w:b w:val="0"/>
                <w:i w:val="0"/>
                <w:color w:val="0B2545"/>
                <w:sz w:val="22"/>
              </w:rPr>
              <w:t>If exact change cannot be confirmed, Mega sends CHANGE_FAIL and the reservation is cancelled. If change was confirmed but a dispenser sensor fails, the transaction is recorded as FAILED_DISPENSE with actual output; this requires operator resolution because change has already been given.</w:t>
            </w:r>
          </w:p>
        </w:tc>
      </w:tr>
    </w:tbl>
    <w:p>
      <w:pPr>
        <w:spacing w:after="20"/>
      </w:pPr>
    </w:p>
    <w:p>
      <w:pPr>
        <w:pStyle w:val="Heading1"/>
      </w:pPr>
      <w:r>
        <w:t>Data model and calculation rule</w:t>
      </w:r>
    </w:p>
    <w:tbl>
      <w:tblPr>
        <w:tblStyle w:val="TableGrid"/>
        <w:tblW w:type="dxa" w:w="9360"/>
        <w:jc w:val="left"/>
        <w:tblLayout w:type="fixed"/>
        <w:tblLook w:firstColumn="1" w:firstRow="1" w:lastColumn="0" w:lastRow="0" w:noHBand="0" w:noVBand="1" w:val="04A0"/>
        <w:tblInd w:w="120" w:type="dxa"/>
      </w:tblPr>
      <w:tblGrid>
        <w:gridCol w:w="1800"/>
        <w:gridCol w:w="2520"/>
        <w:gridCol w:w="5040"/>
      </w:tblGrid>
      <w:tr>
        <w:tc>
          <w:tcPr>
            <w:tcW w:type="dxa" w:w="1800"/>
            <w:tcMar>
              <w:top w:w="80" w:type="dxa"/>
              <w:start w:w="120" w:type="dxa"/>
              <w:bottom w:w="80" w:type="dxa"/>
              <w:end w:w="120" w:type="dxa"/>
            </w:tcMar>
            <w:vAlign w:val="center"/>
            <w:shd w:fill="E8EEF5"/>
          </w:tcPr>
          <w:p>
            <w:pPr>
              <w:jc w:val="center"/>
            </w:pPr>
            <w:r>
              <w:rPr>
                <w:rFonts w:ascii="Calibri" w:hAnsi="Calibri"/>
                <w:b/>
                <w:i w:val="0"/>
                <w:color w:val="1F4D78"/>
                <w:sz w:val="18"/>
              </w:rPr>
              <w:t>Concept</w:t>
            </w:r>
          </w:p>
        </w:tc>
        <w:tc>
          <w:tcPr>
            <w:tcW w:type="dxa" w:w="2520"/>
            <w:tcMar>
              <w:top w:w="80" w:type="dxa"/>
              <w:start w:w="120" w:type="dxa"/>
              <w:bottom w:w="80" w:type="dxa"/>
              <w:end w:w="120" w:type="dxa"/>
            </w:tcMar>
            <w:vAlign w:val="center"/>
            <w:shd w:fill="E8EEF5"/>
          </w:tcPr>
          <w:p>
            <w:pPr>
              <w:jc w:val="center"/>
            </w:pPr>
            <w:r>
              <w:rPr>
                <w:rFonts w:ascii="Calibri" w:hAnsi="Calibri"/>
                <w:b/>
                <w:i w:val="0"/>
                <w:color w:val="1F4D78"/>
                <w:sz w:val="18"/>
              </w:rPr>
              <w:t>Stored field</w:t>
            </w:r>
          </w:p>
        </w:tc>
        <w:tc>
          <w:tcPr>
            <w:tcW w:type="dxa" w:w="5040"/>
            <w:tcMar>
              <w:top w:w="80" w:type="dxa"/>
              <w:start w:w="120" w:type="dxa"/>
              <w:bottom w:w="80" w:type="dxa"/>
              <w:end w:w="120" w:type="dxa"/>
            </w:tcMar>
            <w:vAlign w:val="center"/>
            <w:shd w:fill="E8EEF5"/>
          </w:tcPr>
          <w:p>
            <w:pPr>
              <w:jc w:val="center"/>
            </w:pPr>
            <w:r>
              <w:rPr>
                <w:rFonts w:ascii="Calibri" w:hAnsi="Calibri"/>
                <w:b/>
                <w:i w:val="0"/>
                <w:color w:val="1F4D78"/>
                <w:sz w:val="18"/>
              </w:rPr>
              <w:t>Meaning</w:t>
            </w:r>
          </w:p>
        </w:tc>
      </w:tr>
      <w:tr>
        <w:tc>
          <w:tcPr>
            <w:tcW w:type="dxa" w:w="1800"/>
          </w:tcPr>
          <w:p>
            <w:pPr>
              <w:jc w:val="center"/>
            </w:pPr>
            <w:r>
              <w:rPr>
                <w:rFonts w:ascii="Calibri" w:hAnsi="Calibri"/>
                <w:b w:val="0"/>
                <w:i w:val="0"/>
                <w:color w:val="0B2545"/>
                <w:sz w:val="17"/>
              </w:rPr>
              <w:t>Customer choice</w:t>
            </w:r>
          </w:p>
        </w:tc>
        <w:tc>
          <w:tcPr>
            <w:tcW w:type="dxa" w:w="2520"/>
          </w:tcPr>
          <w:p>
            <w:pPr>
              <w:jc w:val="left"/>
            </w:pPr>
            <w:r>
              <w:rPr>
                <w:rFonts w:ascii="Calibri" w:hAnsi="Calibri"/>
                <w:b w:val="0"/>
                <w:i w:val="0"/>
                <w:color w:val="0B2545"/>
                <w:sz w:val="17"/>
              </w:rPr>
              <w:t>units_requested</w:t>
            </w:r>
          </w:p>
        </w:tc>
        <w:tc>
          <w:tcPr>
            <w:tcW w:type="dxa" w:w="5040"/>
          </w:tcPr>
          <w:p>
            <w:pPr>
              <w:jc w:val="left"/>
            </w:pPr>
            <w:r>
              <w:rPr>
                <w:rFonts w:ascii="Calibri" w:hAnsi="Calibri"/>
                <w:b w:val="0"/>
                <w:i w:val="0"/>
                <w:color w:val="0B2545"/>
                <w:sz w:val="17"/>
              </w:rPr>
              <w:t>How many sellable units the user selected.</w:t>
            </w:r>
          </w:p>
        </w:tc>
      </w:tr>
      <w:tr>
        <w:tc>
          <w:tcPr>
            <w:tcW w:type="dxa" w:w="1800"/>
          </w:tcPr>
          <w:p>
            <w:pPr>
              <w:jc w:val="center"/>
            </w:pPr>
            <w:r>
              <w:rPr>
                <w:rFonts w:ascii="Calibri" w:hAnsi="Calibri"/>
                <w:b w:val="0"/>
                <w:i w:val="0"/>
                <w:color w:val="0B2545"/>
                <w:sz w:val="17"/>
              </w:rPr>
              <w:t>Paper physical output</w:t>
            </w:r>
          </w:p>
        </w:tc>
        <w:tc>
          <w:tcPr>
            <w:tcW w:type="dxa" w:w="2520"/>
          </w:tcPr>
          <w:p>
            <w:pPr>
              <w:jc w:val="left"/>
            </w:pPr>
            <w:r>
              <w:rPr>
                <w:rFonts w:ascii="Calibri" w:hAnsi="Calibri"/>
                <w:b w:val="0"/>
                <w:i w:val="0"/>
                <w:color w:val="0B2545"/>
                <w:sz w:val="17"/>
              </w:rPr>
              <w:t>qty_requested</w:t>
            </w:r>
          </w:p>
        </w:tc>
        <w:tc>
          <w:tcPr>
            <w:tcW w:type="dxa" w:w="5040"/>
          </w:tcPr>
          <w:p>
            <w:pPr>
              <w:jc w:val="left"/>
            </w:pPr>
            <w:r>
              <w:rPr>
                <w:rFonts w:ascii="Calibri" w:hAnsi="Calibri"/>
                <w:b w:val="0"/>
                <w:i w:val="0"/>
                <w:color w:val="0B2545"/>
                <w:sz w:val="17"/>
              </w:rPr>
              <w:t>units_requested x sheets_per_unit_snapshot.</w:t>
            </w:r>
          </w:p>
        </w:tc>
      </w:tr>
      <w:tr>
        <w:tc>
          <w:tcPr>
            <w:tcW w:type="dxa" w:w="1800"/>
          </w:tcPr>
          <w:p>
            <w:pPr>
              <w:jc w:val="center"/>
            </w:pPr>
            <w:r>
              <w:rPr>
                <w:rFonts w:ascii="Calibri" w:hAnsi="Calibri"/>
                <w:b w:val="0"/>
                <w:i w:val="0"/>
                <w:color w:val="0B2545"/>
                <w:sz w:val="17"/>
              </w:rPr>
              <w:t>Confirmed output</w:t>
            </w:r>
          </w:p>
        </w:tc>
        <w:tc>
          <w:tcPr>
            <w:tcW w:type="dxa" w:w="2520"/>
          </w:tcPr>
          <w:p>
            <w:pPr>
              <w:jc w:val="left"/>
            </w:pPr>
            <w:r>
              <w:rPr>
                <w:rFonts w:ascii="Calibri" w:hAnsi="Calibri"/>
                <w:b w:val="0"/>
                <w:i w:val="0"/>
                <w:color w:val="0B2545"/>
                <w:sz w:val="17"/>
              </w:rPr>
              <w:t>qty_dispensed</w:t>
            </w:r>
          </w:p>
        </w:tc>
        <w:tc>
          <w:tcPr>
            <w:tcW w:type="dxa" w:w="5040"/>
          </w:tcPr>
          <w:p>
            <w:pPr>
              <w:jc w:val="left"/>
            </w:pPr>
            <w:r>
              <w:rPr>
                <w:rFonts w:ascii="Calibri" w:hAnsi="Calibri"/>
                <w:b w:val="0"/>
                <w:i w:val="0"/>
                <w:color w:val="0B2545"/>
                <w:sz w:val="17"/>
              </w:rPr>
              <w:t>Sensor-confirmed sheets or pens actually released.</w:t>
            </w:r>
          </w:p>
        </w:tc>
      </w:tr>
      <w:tr>
        <w:tc>
          <w:tcPr>
            <w:tcW w:type="dxa" w:w="1800"/>
          </w:tcPr>
          <w:p>
            <w:pPr>
              <w:jc w:val="center"/>
            </w:pPr>
            <w:r>
              <w:rPr>
                <w:rFonts w:ascii="Calibri" w:hAnsi="Calibri"/>
                <w:b w:val="0"/>
                <w:i w:val="0"/>
                <w:color w:val="0B2545"/>
                <w:sz w:val="17"/>
              </w:rPr>
              <w:t>Price evidence</w:t>
            </w:r>
          </w:p>
        </w:tc>
        <w:tc>
          <w:tcPr>
            <w:tcW w:type="dxa" w:w="2520"/>
          </w:tcPr>
          <w:p>
            <w:pPr>
              <w:jc w:val="left"/>
            </w:pPr>
            <w:r>
              <w:rPr>
                <w:rFonts w:ascii="Calibri" w:hAnsi="Calibri"/>
                <w:b w:val="0"/>
                <w:i w:val="0"/>
                <w:color w:val="0B2545"/>
                <w:sz w:val="17"/>
              </w:rPr>
              <w:t>unit_price_cents</w:t>
            </w:r>
          </w:p>
        </w:tc>
        <w:tc>
          <w:tcPr>
            <w:tcW w:type="dxa" w:w="5040"/>
          </w:tcPr>
          <w:p>
            <w:pPr>
              <w:jc w:val="left"/>
            </w:pPr>
            <w:r>
              <w:rPr>
                <w:rFonts w:ascii="Calibri" w:hAnsi="Calibri"/>
                <w:b w:val="0"/>
                <w:i w:val="0"/>
                <w:color w:val="0B2545"/>
                <w:sz w:val="17"/>
              </w:rPr>
              <w:t>Price captured at reservation; later setting edits cannot rewrite history.</w:t>
            </w:r>
          </w:p>
        </w:tc>
      </w:tr>
      <w:tr>
        <w:tc>
          <w:tcPr>
            <w:tcW w:type="dxa" w:w="1800"/>
          </w:tcPr>
          <w:p>
            <w:pPr>
              <w:jc w:val="center"/>
            </w:pPr>
            <w:r>
              <w:rPr>
                <w:rFonts w:ascii="Calibri" w:hAnsi="Calibri"/>
                <w:b w:val="0"/>
                <w:i w:val="0"/>
                <w:color w:val="0B2545"/>
                <w:sz w:val="17"/>
              </w:rPr>
              <w:t>Money</w:t>
            </w:r>
          </w:p>
        </w:tc>
        <w:tc>
          <w:tcPr>
            <w:tcW w:type="dxa" w:w="2520"/>
          </w:tcPr>
          <w:p>
            <w:pPr>
              <w:jc w:val="left"/>
            </w:pPr>
            <w:r>
              <w:rPr>
                <w:rFonts w:ascii="Calibri" w:hAnsi="Calibri"/>
                <w:b w:val="0"/>
                <w:i w:val="0"/>
                <w:color w:val="0B2545"/>
                <w:sz w:val="17"/>
              </w:rPr>
              <w:t>credit/subtotal/change_*_cents</w:t>
            </w:r>
          </w:p>
        </w:tc>
        <w:tc>
          <w:tcPr>
            <w:tcW w:type="dxa" w:w="5040"/>
          </w:tcPr>
          <w:p>
            <w:pPr>
              <w:jc w:val="left"/>
            </w:pPr>
            <w:r>
              <w:rPr>
                <w:rFonts w:ascii="Calibri" w:hAnsi="Calibri"/>
                <w:b w:val="0"/>
                <w:i w:val="0"/>
                <w:color w:val="0B2545"/>
                <w:sz w:val="17"/>
              </w:rPr>
              <w:t>Integer cent values avoid floating-point money errors.</w:t>
            </w:r>
          </w:p>
        </w:tc>
      </w:tr>
    </w:tbl>
    <w:p>
      <w:pPr>
        <w:spacing w:after="60"/>
      </w:pPr>
    </w:p>
    <w:p>
      <w:r>
        <w:rPr>
          <w:rFonts w:ascii="Calibri" w:hAnsi="Calibri"/>
          <w:b/>
          <w:i w:val="0"/>
          <w:color w:val="0B2545"/>
          <w:sz w:val="22"/>
        </w:rPr>
        <w:t xml:space="preserve">Formula: </w:t>
      </w:r>
      <w:r>
        <w:rPr>
          <w:rFonts w:ascii="Calibri" w:hAnsi="Calibri"/>
          <w:b w:val="0"/>
          <w:i w:val="0"/>
          <w:color w:val="0B2545"/>
          <w:sz w:val="22"/>
        </w:rPr>
        <w:t>subtotal_cents = sum(unit_price_cents x units_requested). change_due_cents = credit_received_cents - subtotal_cents. For a paper line, qty_requested = units_requested x sheets_per_unit_snapshot.</w:t>
      </w:r>
    </w:p>
    <w:p>
      <w:pPr>
        <w:pStyle w:val="Heading1"/>
      </w:pPr>
      <w:r>
        <w:t>Wiring additions only</w:t>
      </w:r>
    </w:p>
    <w:p>
      <w:r>
        <w:rPr>
          <w:rFonts w:ascii="Calibri" w:hAnsi="Calibri"/>
          <w:b w:val="0"/>
          <w:i w:val="0"/>
          <w:color w:val="0B2545"/>
          <w:sz w:val="22"/>
        </w:rPr>
        <w:t>Existing pen steppers, pen IR sensors, TFT, coin acceptor, OLED, servos, and Mega-ESP UART stay connected as they are. Add the following hardware paths:</w:t>
      </w:r>
    </w:p>
    <w:tbl>
      <w:tblPr>
        <w:tblStyle w:val="TableGrid"/>
        <w:tblW w:type="dxa" w:w="9360"/>
        <w:jc w:val="left"/>
        <w:tblLayout w:type="fixed"/>
        <w:tblLook w:firstColumn="1" w:firstRow="1" w:lastColumn="0" w:lastRow="0" w:noHBand="0" w:noVBand="1" w:val="04A0"/>
        <w:tblInd w:w="120" w:type="dxa"/>
      </w:tblPr>
      <w:tblGrid>
        <w:gridCol w:w="2160"/>
        <w:gridCol w:w="3240"/>
        <w:gridCol w:w="3960"/>
      </w:tblGrid>
      <w:tr>
        <w:tc>
          <w:tcPr>
            <w:tcW w:type="dxa" w:w="2160"/>
            <w:tcMar>
              <w:top w:w="80" w:type="dxa"/>
              <w:start w:w="120" w:type="dxa"/>
              <w:bottom w:w="80" w:type="dxa"/>
              <w:end w:w="120" w:type="dxa"/>
            </w:tcMar>
            <w:vAlign w:val="center"/>
            <w:shd w:fill="E8EEF5"/>
          </w:tcPr>
          <w:p>
            <w:pPr>
              <w:jc w:val="center"/>
            </w:pPr>
            <w:r>
              <w:rPr>
                <w:rFonts w:ascii="Calibri" w:hAnsi="Calibri"/>
                <w:b/>
                <w:i w:val="0"/>
                <w:color w:val="1F4D78"/>
                <w:sz w:val="18"/>
              </w:rPr>
              <w:t>Hardware</w:t>
            </w:r>
          </w:p>
        </w:tc>
        <w:tc>
          <w:tcPr>
            <w:tcW w:type="dxa" w:w="3240"/>
            <w:tcMar>
              <w:top w:w="80" w:type="dxa"/>
              <w:start w:w="120" w:type="dxa"/>
              <w:bottom w:w="80" w:type="dxa"/>
              <w:end w:w="120" w:type="dxa"/>
            </w:tcMar>
            <w:vAlign w:val="center"/>
            <w:shd w:fill="E8EEF5"/>
          </w:tcPr>
          <w:p>
            <w:pPr>
              <w:jc w:val="center"/>
            </w:pPr>
            <w:r>
              <w:rPr>
                <w:rFonts w:ascii="Calibri" w:hAnsi="Calibri"/>
                <w:b/>
                <w:i w:val="0"/>
                <w:color w:val="1F4D78"/>
                <w:sz w:val="18"/>
              </w:rPr>
              <w:t>Mega pins</w:t>
            </w:r>
          </w:p>
        </w:tc>
        <w:tc>
          <w:tcPr>
            <w:tcW w:type="dxa" w:w="3960"/>
            <w:tcMar>
              <w:top w:w="80" w:type="dxa"/>
              <w:start w:w="120" w:type="dxa"/>
              <w:bottom w:w="80" w:type="dxa"/>
              <w:end w:w="120" w:type="dxa"/>
            </w:tcMar>
            <w:vAlign w:val="center"/>
            <w:shd w:fill="E8EEF5"/>
          </w:tcPr>
          <w:p>
            <w:pPr>
              <w:jc w:val="center"/>
            </w:pPr>
            <w:r>
              <w:rPr>
                <w:rFonts w:ascii="Calibri" w:hAnsi="Calibri"/>
                <w:b/>
                <w:i w:val="0"/>
                <w:color w:val="1F4D78"/>
                <w:sz w:val="18"/>
              </w:rPr>
              <w:t>Purpose</w:t>
            </w:r>
          </w:p>
        </w:tc>
      </w:tr>
      <w:tr>
        <w:tc>
          <w:tcPr>
            <w:tcW w:type="dxa" w:w="2160"/>
          </w:tcPr>
          <w:p>
            <w:pPr>
              <w:jc w:val="center"/>
            </w:pPr>
            <w:r>
              <w:rPr>
                <w:rFonts w:ascii="Calibri" w:hAnsi="Calibri"/>
                <w:b w:val="0"/>
                <w:i w:val="0"/>
                <w:color w:val="0B2545"/>
                <w:sz w:val="17"/>
              </w:rPr>
              <w:t>Paper drivers 1 to 4</w:t>
            </w:r>
          </w:p>
        </w:tc>
        <w:tc>
          <w:tcPr>
            <w:tcW w:type="dxa" w:w="3240"/>
          </w:tcPr>
          <w:p>
            <w:pPr>
              <w:jc w:val="left"/>
            </w:pPr>
            <w:r>
              <w:rPr>
                <w:rFonts w:ascii="Calibri" w:hAnsi="Calibri"/>
                <w:b w:val="0"/>
                <w:i w:val="0"/>
                <w:color w:val="0B2545"/>
                <w:sz w:val="17"/>
              </w:rPr>
              <w:t>STEP/DIR: 32/33, 34/35, 36/37, 38/39; shared EN: 40</w:t>
            </w:r>
          </w:p>
        </w:tc>
        <w:tc>
          <w:tcPr>
            <w:tcW w:type="dxa" w:w="3960"/>
          </w:tcPr>
          <w:p>
            <w:pPr>
              <w:jc w:val="left"/>
            </w:pPr>
            <w:r>
              <w:rPr>
                <w:rFonts w:ascii="Calibri" w:hAnsi="Calibri"/>
                <w:b w:val="0"/>
                <w:i w:val="0"/>
                <w:color w:val="0B2545"/>
                <w:sz w:val="17"/>
              </w:rPr>
              <w:t>Drive one adjustable paper feeder per physical size.</w:t>
            </w:r>
          </w:p>
        </w:tc>
      </w:tr>
      <w:tr>
        <w:tc>
          <w:tcPr>
            <w:tcW w:type="dxa" w:w="2160"/>
          </w:tcPr>
          <w:p>
            <w:pPr>
              <w:jc w:val="center"/>
            </w:pPr>
            <w:r>
              <w:rPr>
                <w:rFonts w:ascii="Calibri" w:hAnsi="Calibri"/>
                <w:b w:val="0"/>
                <w:i w:val="0"/>
                <w:color w:val="0B2545"/>
                <w:sz w:val="17"/>
              </w:rPr>
              <w:t>Paper exit sensors 1 to 4</w:t>
            </w:r>
          </w:p>
        </w:tc>
        <w:tc>
          <w:tcPr>
            <w:tcW w:type="dxa" w:w="3240"/>
          </w:tcPr>
          <w:p>
            <w:pPr>
              <w:jc w:val="left"/>
            </w:pPr>
            <w:r>
              <w:rPr>
                <w:rFonts w:ascii="Calibri" w:hAnsi="Calibri"/>
                <w:b w:val="0"/>
                <w:i w:val="0"/>
                <w:color w:val="0B2545"/>
                <w:sz w:val="17"/>
              </w:rPr>
              <w:t>41, 42, 43, 44</w:t>
            </w:r>
          </w:p>
        </w:tc>
        <w:tc>
          <w:tcPr>
            <w:tcW w:type="dxa" w:w="3960"/>
          </w:tcPr>
          <w:p>
            <w:pPr>
              <w:jc w:val="left"/>
            </w:pPr>
            <w:r>
              <w:rPr>
                <w:rFonts w:ascii="Calibri" w:hAnsi="Calibri"/>
                <w:b w:val="0"/>
                <w:i w:val="0"/>
                <w:color w:val="0B2545"/>
                <w:sz w:val="17"/>
              </w:rPr>
              <w:t>Confirm every sheet after it leaves its channel.</w:t>
            </w:r>
          </w:p>
        </w:tc>
      </w:tr>
      <w:tr>
        <w:tc>
          <w:tcPr>
            <w:tcW w:type="dxa" w:w="2160"/>
          </w:tcPr>
          <w:p>
            <w:pPr>
              <w:jc w:val="center"/>
            </w:pPr>
            <w:r>
              <w:rPr>
                <w:rFonts w:ascii="Calibri" w:hAnsi="Calibri"/>
                <w:b w:val="0"/>
                <w:i w:val="0"/>
                <w:color w:val="0B2545"/>
                <w:sz w:val="17"/>
              </w:rPr>
              <w:t>Change hopper motor driver</w:t>
            </w:r>
          </w:p>
        </w:tc>
        <w:tc>
          <w:tcPr>
            <w:tcW w:type="dxa" w:w="3240"/>
          </w:tcPr>
          <w:p>
            <w:pPr>
              <w:jc w:val="left"/>
            </w:pPr>
            <w:r>
              <w:rPr>
                <w:rFonts w:ascii="Calibri" w:hAnsi="Calibri"/>
                <w:b w:val="0"/>
                <w:i w:val="0"/>
                <w:color w:val="0B2545"/>
                <w:sz w:val="17"/>
              </w:rPr>
              <w:t>14</w:t>
            </w:r>
          </w:p>
        </w:tc>
        <w:tc>
          <w:tcPr>
            <w:tcW w:type="dxa" w:w="3960"/>
          </w:tcPr>
          <w:p>
            <w:pPr>
              <w:jc w:val="left"/>
            </w:pPr>
            <w:r>
              <w:rPr>
                <w:rFonts w:ascii="Calibri" w:hAnsi="Calibri"/>
                <w:b w:val="0"/>
                <w:i w:val="0"/>
                <w:color w:val="0B2545"/>
                <w:sz w:val="17"/>
              </w:rPr>
              <w:t>Releases reserved P1 change coins.</w:t>
            </w:r>
          </w:p>
        </w:tc>
      </w:tr>
      <w:tr>
        <w:tc>
          <w:tcPr>
            <w:tcW w:type="dxa" w:w="2160"/>
          </w:tcPr>
          <w:p>
            <w:pPr>
              <w:jc w:val="center"/>
            </w:pPr>
            <w:r>
              <w:rPr>
                <w:rFonts w:ascii="Calibri" w:hAnsi="Calibri"/>
                <w:b w:val="0"/>
                <w:i w:val="0"/>
                <w:color w:val="0B2545"/>
                <w:sz w:val="17"/>
              </w:rPr>
              <w:t>Change hopper coin sensor</w:t>
            </w:r>
          </w:p>
        </w:tc>
        <w:tc>
          <w:tcPr>
            <w:tcW w:type="dxa" w:w="3240"/>
          </w:tcPr>
          <w:p>
            <w:pPr>
              <w:jc w:val="left"/>
            </w:pPr>
            <w:r>
              <w:rPr>
                <w:rFonts w:ascii="Calibri" w:hAnsi="Calibri"/>
                <w:b w:val="0"/>
                <w:i w:val="0"/>
                <w:color w:val="0B2545"/>
                <w:sz w:val="17"/>
              </w:rPr>
              <w:t>15</w:t>
            </w:r>
          </w:p>
        </w:tc>
        <w:tc>
          <w:tcPr>
            <w:tcW w:type="dxa" w:w="3960"/>
          </w:tcPr>
          <w:p>
            <w:pPr>
              <w:jc w:val="left"/>
            </w:pPr>
            <w:r>
              <w:rPr>
                <w:rFonts w:ascii="Calibri" w:hAnsi="Calibri"/>
                <w:b w:val="0"/>
                <w:i w:val="0"/>
                <w:color w:val="0B2545"/>
                <w:sz w:val="17"/>
              </w:rPr>
              <w:t>Confirms every released change coin before dispensing.</w:t>
            </w:r>
          </w:p>
        </w:tc>
      </w:tr>
      <w:tr>
        <w:tc>
          <w:tcPr>
            <w:tcW w:type="dxa" w:w="2160"/>
          </w:tcPr>
          <w:p>
            <w:pPr>
              <w:jc w:val="center"/>
            </w:pPr>
            <w:r>
              <w:rPr>
                <w:rFonts w:ascii="Calibri" w:hAnsi="Calibri"/>
                <w:b w:val="0"/>
                <w:i w:val="0"/>
                <w:color w:val="0B2545"/>
                <w:sz w:val="17"/>
              </w:rPr>
              <w:t>Coin acceptor inhibit</w:t>
            </w:r>
          </w:p>
        </w:tc>
        <w:tc>
          <w:tcPr>
            <w:tcW w:type="dxa" w:w="3240"/>
          </w:tcPr>
          <w:p>
            <w:pPr>
              <w:jc w:val="left"/>
            </w:pPr>
            <w:r>
              <w:rPr>
                <w:rFonts w:ascii="Calibri" w:hAnsi="Calibri"/>
                <w:b w:val="0"/>
                <w:i w:val="0"/>
                <w:color w:val="0B2545"/>
                <w:sz w:val="17"/>
              </w:rPr>
              <w:t>16</w:t>
            </w:r>
          </w:p>
        </w:tc>
        <w:tc>
          <w:tcPr>
            <w:tcW w:type="dxa" w:w="3960"/>
          </w:tcPr>
          <w:p>
            <w:pPr>
              <w:jc w:val="left"/>
            </w:pPr>
            <w:r>
              <w:rPr>
                <w:rFonts w:ascii="Calibri" w:hAnsi="Calibri"/>
                <w:b w:val="0"/>
                <w:i w:val="0"/>
                <w:color w:val="0B2545"/>
                <w:sz w:val="17"/>
              </w:rPr>
              <w:t>Freezes coin acceptance after checkout starts so the credit snapshot cannot change mid-transaction.</w:t>
            </w:r>
          </w:p>
        </w:tc>
      </w:tr>
      <w:tr>
        <w:tc>
          <w:tcPr>
            <w:tcW w:type="dxa" w:w="2160"/>
          </w:tcPr>
          <w:p>
            <w:pPr>
              <w:jc w:val="center"/>
            </w:pPr>
            <w:r>
              <w:rPr>
                <w:rFonts w:ascii="Calibri" w:hAnsi="Calibri"/>
                <w:b w:val="0"/>
                <w:i w:val="0"/>
                <w:color w:val="0B2545"/>
                <w:sz w:val="17"/>
              </w:rPr>
              <w:t>Mega to ESP UART</w:t>
            </w:r>
          </w:p>
        </w:tc>
        <w:tc>
          <w:tcPr>
            <w:tcW w:type="dxa" w:w="3240"/>
          </w:tcPr>
          <w:p>
            <w:pPr>
              <w:jc w:val="left"/>
            </w:pPr>
            <w:r>
              <w:rPr>
                <w:rFonts w:ascii="Calibri" w:hAnsi="Calibri"/>
                <w:b w:val="0"/>
                <w:i w:val="0"/>
                <w:color w:val="0B2545"/>
                <w:sz w:val="17"/>
              </w:rPr>
              <w:t>Mega Serial1 18/19 to ESP Serial2 16/17 through level shifting</w:t>
            </w:r>
          </w:p>
        </w:tc>
        <w:tc>
          <w:tcPr>
            <w:tcW w:type="dxa" w:w="3960"/>
          </w:tcPr>
          <w:p>
            <w:pPr>
              <w:jc w:val="left"/>
            </w:pPr>
            <w:r>
              <w:rPr>
                <w:rFonts w:ascii="Calibri" w:hAnsi="Calibri"/>
                <w:b w:val="0"/>
                <w:i w:val="0"/>
                <w:color w:val="0B2545"/>
                <w:sz w:val="17"/>
              </w:rPr>
              <w:t>Carries the reservation and result protocol; retain existing UART path but protect ESP 3.3 V RX.</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after="0"/>
            </w:pPr>
            <w:r>
              <w:rPr>
                <w:rFonts w:ascii="Calibri" w:hAnsi="Calibri"/>
                <w:b/>
                <w:i w:val="0"/>
                <w:color w:val="1F4D78"/>
                <w:sz w:val="22"/>
              </w:rPr>
              <w:t xml:space="preserve">Mechanical constraint. </w:t>
            </w:r>
            <w:r>
              <w:rPr>
                <w:rFonts w:ascii="Calibri" w:hAnsi="Calibri"/>
                <w:b w:val="0"/>
                <w:i w:val="0"/>
                <w:color w:val="0B2545"/>
                <w:sz w:val="22"/>
              </w:rPr>
              <w:t>Four paper compartments support eight catalog choices only when Budget and Standard for the same size use the same physical paper. If brands differ in paper stock, color, weight, or finish, use eight separate physical feeders and map each product to its own channel.</w:t>
            </w:r>
          </w:p>
        </w:tc>
      </w:tr>
    </w:tbl>
    <w:p>
      <w:pPr>
        <w:spacing w:after="20"/>
      </w:pPr>
    </w:p>
    <w:p>
      <w:r>
        <w:br w:type="page"/>
      </w:r>
    </w:p>
    <w:p>
      <w:pPr>
        <w:pStyle w:val="Heading1"/>
      </w:pPr>
      <w:r>
        <w:t>File-by-file implementation summary</w:t>
      </w:r>
    </w:p>
    <w:p>
      <w:r>
        <w:rPr>
          <w:rFonts w:ascii="Calibri" w:hAnsi="Calibri"/>
          <w:b w:val="0"/>
          <w:i w:val="0"/>
          <w:color w:val="0B2545"/>
          <w:sz w:val="22"/>
        </w:rPr>
        <w:t>Line ranges below refer to the refactored files in this workspace. They identify the main implementation areas, not every supporting line.</w:t>
      </w:r>
    </w:p>
    <w:tbl>
      <w:tblPr>
        <w:tblStyle w:val="TableGrid"/>
        <w:tblW w:type="dxa" w:w="9360"/>
        <w:jc w:val="left"/>
        <w:tblLayout w:type="fixed"/>
        <w:tblLook w:firstColumn="1" w:firstRow="1" w:lastColumn="0" w:lastRow="0" w:noHBand="0" w:noVBand="1" w:val="04A0"/>
        <w:tblInd w:w="120" w:type="dxa"/>
      </w:tblPr>
      <w:tblGrid>
        <w:gridCol w:w="2250"/>
        <w:gridCol w:w="1350"/>
        <w:gridCol w:w="5760"/>
      </w:tblGrid>
      <w:tr>
        <w:tc>
          <w:tcPr>
            <w:tcW w:type="dxa" w:w="2250"/>
            <w:tcMar>
              <w:top w:w="80" w:type="dxa"/>
              <w:start w:w="120" w:type="dxa"/>
              <w:bottom w:w="80" w:type="dxa"/>
              <w:end w:w="120" w:type="dxa"/>
            </w:tcMar>
            <w:vAlign w:val="center"/>
            <w:shd w:fill="E8EEF5"/>
          </w:tcPr>
          <w:p>
            <w:pPr>
              <w:jc w:val="center"/>
            </w:pPr>
            <w:r>
              <w:rPr>
                <w:rFonts w:ascii="Calibri" w:hAnsi="Calibri"/>
                <w:b/>
                <w:i w:val="0"/>
                <w:color w:val="1F4D78"/>
                <w:sz w:val="18"/>
              </w:rPr>
              <w:t>File</w:t>
            </w:r>
          </w:p>
        </w:tc>
        <w:tc>
          <w:tcPr>
            <w:tcW w:type="dxa" w:w="1350"/>
            <w:tcMar>
              <w:top w:w="80" w:type="dxa"/>
              <w:start w:w="120" w:type="dxa"/>
              <w:bottom w:w="80" w:type="dxa"/>
              <w:end w:w="120" w:type="dxa"/>
            </w:tcMar>
            <w:vAlign w:val="center"/>
            <w:shd w:fill="E8EEF5"/>
          </w:tcPr>
          <w:p>
            <w:pPr>
              <w:jc w:val="center"/>
            </w:pPr>
            <w:r>
              <w:rPr>
                <w:rFonts w:ascii="Calibri" w:hAnsi="Calibri"/>
                <w:b/>
                <w:i w:val="0"/>
                <w:color w:val="1F4D78"/>
                <w:sz w:val="18"/>
              </w:rPr>
              <w:t>Key lines</w:t>
            </w:r>
          </w:p>
        </w:tc>
        <w:tc>
          <w:tcPr>
            <w:tcW w:type="dxa" w:w="5760"/>
            <w:tcMar>
              <w:top w:w="80" w:type="dxa"/>
              <w:start w:w="120" w:type="dxa"/>
              <w:bottom w:w="80" w:type="dxa"/>
              <w:end w:w="120" w:type="dxa"/>
            </w:tcMar>
            <w:vAlign w:val="center"/>
            <w:shd w:fill="E8EEF5"/>
          </w:tcPr>
          <w:p>
            <w:pPr>
              <w:jc w:val="center"/>
            </w:pPr>
            <w:r>
              <w:rPr>
                <w:rFonts w:ascii="Calibri" w:hAnsi="Calibri"/>
                <w:b/>
                <w:i w:val="0"/>
                <w:color w:val="1F4D78"/>
                <w:sz w:val="18"/>
              </w:rPr>
              <w:t>Specific change and purpose</w:t>
            </w:r>
          </w:p>
        </w:tc>
      </w:tr>
      <w:tr>
        <w:tc>
          <w:tcPr>
            <w:tcW w:type="dxa" w:w="2250"/>
          </w:tcPr>
          <w:p>
            <w:pPr>
              <w:jc w:val="center"/>
            </w:pPr>
            <w:r>
              <w:rPr>
                <w:rFonts w:ascii="Calibri" w:hAnsi="Calibri"/>
                <w:b w:val="0"/>
                <w:i w:val="0"/>
                <w:color w:val="0B2545"/>
                <w:sz w:val="17"/>
              </w:rPr>
              <w:t>Cloud_Paper_Vendo.sql</w:t>
            </w:r>
          </w:p>
        </w:tc>
        <w:tc>
          <w:tcPr>
            <w:tcW w:type="dxa" w:w="1350"/>
          </w:tcPr>
          <w:p>
            <w:pPr>
              <w:jc w:val="left"/>
            </w:pPr>
            <w:r>
              <w:rPr>
                <w:rFonts w:ascii="Calibri" w:hAnsi="Calibri"/>
                <w:b w:val="0"/>
                <w:i w:val="0"/>
                <w:color w:val="0B2545"/>
                <w:sz w:val="17"/>
              </w:rPr>
              <w:t>1-328; 152-326</w:t>
            </w:r>
          </w:p>
        </w:tc>
        <w:tc>
          <w:tcPr>
            <w:tcW w:type="dxa" w:w="5760"/>
          </w:tcPr>
          <w:p>
            <w:pPr>
              <w:jc w:val="left"/>
            </w:pPr>
            <w:r>
              <w:rPr>
                <w:rFonts w:ascii="Calibri" w:hAnsi="Calibri"/>
                <w:b w:val="0"/>
                <w:i w:val="0"/>
                <w:color w:val="0B2545"/>
                <w:sz w:val="17"/>
              </w:rPr>
              <w:t>Clean development schema: physical channels, exact-change inventory, transaction header and lines, atomic reserve/change/finish RPCs. Purpose: authoritative, auditable machine data flow.</w:t>
            </w:r>
          </w:p>
        </w:tc>
      </w:tr>
      <w:tr>
        <w:tc>
          <w:tcPr>
            <w:tcW w:type="dxa" w:w="2250"/>
          </w:tcPr>
          <w:p>
            <w:pPr>
              <w:jc w:val="center"/>
            </w:pPr>
            <w:r>
              <w:rPr>
                <w:rFonts w:ascii="Calibri" w:hAnsi="Calibri"/>
                <w:b w:val="0"/>
                <w:i w:val="0"/>
                <w:color w:val="0B2545"/>
                <w:sz w:val="17"/>
              </w:rPr>
              <w:t>updated_arduino_mega.ino</w:t>
            </w:r>
          </w:p>
        </w:tc>
        <w:tc>
          <w:tcPr>
            <w:tcW w:type="dxa" w:w="1350"/>
          </w:tcPr>
          <w:p>
            <w:pPr>
              <w:jc w:val="left"/>
            </w:pPr>
            <w:r>
              <w:rPr>
                <w:rFonts w:ascii="Calibri" w:hAnsi="Calibri"/>
                <w:b w:val="0"/>
                <w:i w:val="0"/>
                <w:color w:val="0B2545"/>
                <w:sz w:val="17"/>
              </w:rPr>
              <w:t>20-36; 178-226; 571-693; 949-1258</w:t>
            </w:r>
          </w:p>
        </w:tc>
        <w:tc>
          <w:tcPr>
            <w:tcW w:type="dxa" w:w="5760"/>
          </w:tcPr>
          <w:p>
            <w:pPr>
              <w:jc w:val="left"/>
            </w:pPr>
            <w:r>
              <w:rPr>
                <w:rFonts w:ascii="Calibri" w:hAnsi="Calibri"/>
                <w:b w:val="0"/>
                <w:i w:val="0"/>
                <w:color w:val="0B2545"/>
                <w:sz w:val="17"/>
              </w:rPr>
              <w:t>Added paper/hopper/coin-inhibit pins, brand selection, matching local display prices, whole-cart reservation, verified change, physical paper and pen sensor routines, and FINISH results. Purpose: stable credit snapshot, change before dispense, and sensor-confirmed machine flow.</w:t>
            </w:r>
          </w:p>
        </w:tc>
      </w:tr>
      <w:tr>
        <w:tc>
          <w:tcPr>
            <w:tcW w:type="dxa" w:w="2250"/>
          </w:tcPr>
          <w:p>
            <w:pPr>
              <w:jc w:val="center"/>
            </w:pPr>
            <w:r>
              <w:rPr>
                <w:rFonts w:ascii="Calibri" w:hAnsi="Calibri"/>
                <w:b w:val="0"/>
                <w:i w:val="0"/>
                <w:color w:val="0B2545"/>
                <w:sz w:val="17"/>
              </w:rPr>
              <w:t>production_esp32.ino</w:t>
            </w:r>
          </w:p>
        </w:tc>
        <w:tc>
          <w:tcPr>
            <w:tcW w:type="dxa" w:w="1350"/>
          </w:tcPr>
          <w:p>
            <w:pPr>
              <w:jc w:val="left"/>
            </w:pPr>
            <w:r>
              <w:rPr>
                <w:rFonts w:ascii="Calibri" w:hAnsi="Calibri"/>
                <w:b w:val="0"/>
                <w:i w:val="0"/>
                <w:color w:val="0B2545"/>
                <w:sz w:val="17"/>
              </w:rPr>
              <w:t>1-229; 125-212</w:t>
            </w:r>
          </w:p>
        </w:tc>
        <w:tc>
          <w:tcPr>
            <w:tcW w:type="dxa" w:w="5760"/>
          </w:tcPr>
          <w:p>
            <w:pPr>
              <w:jc w:val="left"/>
            </w:pPr>
            <w:r>
              <w:rPr>
                <w:rFonts w:ascii="Calibri" w:hAnsi="Calibri"/>
                <w:b w:val="0"/>
                <w:i w:val="0"/>
                <w:color w:val="0B2545"/>
                <w:sz w:val="17"/>
              </w:rPr>
              <w:t>New gateway protocol and Supabase RPC calls. Purpose: translate serial cart/result messages into database state changes.</w:t>
            </w:r>
          </w:p>
        </w:tc>
      </w:tr>
      <w:tr>
        <w:tc>
          <w:tcPr>
            <w:tcW w:type="dxa" w:w="2250"/>
          </w:tcPr>
          <w:p>
            <w:pPr>
              <w:jc w:val="center"/>
            </w:pPr>
            <w:r>
              <w:rPr>
                <w:rFonts w:ascii="Calibri" w:hAnsi="Calibri"/>
                <w:b w:val="0"/>
                <w:i w:val="0"/>
                <w:color w:val="0B2545"/>
                <w:sz w:val="17"/>
              </w:rPr>
              <w:t>backend/routes/machine.js</w:t>
            </w:r>
          </w:p>
        </w:tc>
        <w:tc>
          <w:tcPr>
            <w:tcW w:type="dxa" w:w="1350"/>
          </w:tcPr>
          <w:p>
            <w:pPr>
              <w:jc w:val="left"/>
            </w:pPr>
            <w:r>
              <w:rPr>
                <w:rFonts w:ascii="Calibri" w:hAnsi="Calibri"/>
                <w:b w:val="0"/>
                <w:i w:val="0"/>
                <w:color w:val="0B2545"/>
                <w:sz w:val="17"/>
              </w:rPr>
              <w:t>1-276; 102-257</w:t>
            </w:r>
          </w:p>
        </w:tc>
        <w:tc>
          <w:tcPr>
            <w:tcW w:type="dxa" w:w="5760"/>
          </w:tcPr>
          <w:p>
            <w:pPr>
              <w:jc w:val="left"/>
            </w:pPr>
            <w:r>
              <w:rPr>
                <w:rFonts w:ascii="Calibri" w:hAnsi="Calibri"/>
                <w:b w:val="0"/>
                <w:i w:val="0"/>
                <w:color w:val="0B2545"/>
                <w:sz w:val="17"/>
              </w:rPr>
              <w:t>Flattens stored transaction lines, returns units and physical output, updates physical inventories, and calculates analytics from completed stored units. Purpose: stop frontend inference.</w:t>
            </w:r>
          </w:p>
        </w:tc>
      </w:tr>
      <w:tr>
        <w:tc>
          <w:tcPr>
            <w:tcW w:type="dxa" w:w="2250"/>
          </w:tcPr>
          <w:p>
            <w:pPr>
              <w:jc w:val="center"/>
            </w:pPr>
            <w:r>
              <w:rPr>
                <w:rFonts w:ascii="Calibri" w:hAnsi="Calibri"/>
                <w:b w:val="0"/>
                <w:i w:val="0"/>
                <w:color w:val="0B2545"/>
                <w:sz w:val="17"/>
              </w:rPr>
              <w:t>frontend/src/pages/Transactions.jsx</w:t>
            </w:r>
          </w:p>
        </w:tc>
        <w:tc>
          <w:tcPr>
            <w:tcW w:type="dxa" w:w="1350"/>
          </w:tcPr>
          <w:p>
            <w:pPr>
              <w:jc w:val="left"/>
            </w:pPr>
            <w:r>
              <w:rPr>
                <w:rFonts w:ascii="Calibri" w:hAnsi="Calibri"/>
                <w:b w:val="0"/>
                <w:i w:val="0"/>
                <w:color w:val="0B2545"/>
                <w:sz w:val="17"/>
              </w:rPr>
              <w:t>1-72; 59-60</w:t>
            </w:r>
          </w:p>
        </w:tc>
        <w:tc>
          <w:tcPr>
            <w:tcW w:type="dxa" w:w="5760"/>
          </w:tcPr>
          <w:p>
            <w:pPr>
              <w:jc w:val="left"/>
            </w:pPr>
            <w:r>
              <w:rPr>
                <w:rFonts w:ascii="Calibri" w:hAnsi="Calibri"/>
                <w:b w:val="0"/>
                <w:i w:val="0"/>
                <w:color w:val="0B2545"/>
                <w:sz w:val="17"/>
              </w:rPr>
              <w:t>Displays stored units, expected/actual output, snapshots, and line status. Purpose: transaction auditability.</w:t>
            </w:r>
          </w:p>
        </w:tc>
      </w:tr>
      <w:tr>
        <w:tc>
          <w:tcPr>
            <w:tcW w:type="dxa" w:w="2250"/>
          </w:tcPr>
          <w:p>
            <w:pPr>
              <w:jc w:val="center"/>
            </w:pPr>
            <w:r>
              <w:rPr>
                <w:rFonts w:ascii="Calibri" w:hAnsi="Calibri"/>
                <w:b w:val="0"/>
                <w:i w:val="0"/>
                <w:color w:val="0B2545"/>
                <w:sz w:val="17"/>
              </w:rPr>
              <w:t>frontend/src/pages/Reports.jsx</w:t>
            </w:r>
          </w:p>
        </w:tc>
        <w:tc>
          <w:tcPr>
            <w:tcW w:type="dxa" w:w="1350"/>
          </w:tcPr>
          <w:p>
            <w:pPr>
              <w:jc w:val="left"/>
            </w:pPr>
            <w:r>
              <w:rPr>
                <w:rFonts w:ascii="Calibri" w:hAnsi="Calibri"/>
                <w:b w:val="0"/>
                <w:i w:val="0"/>
                <w:color w:val="0B2545"/>
                <w:sz w:val="17"/>
              </w:rPr>
              <w:t>56-145; 319-340</w:t>
            </w:r>
          </w:p>
        </w:tc>
        <w:tc>
          <w:tcPr>
            <w:tcW w:type="dxa" w:w="5760"/>
          </w:tcPr>
          <w:p>
            <w:pPr>
              <w:jc w:val="left"/>
            </w:pPr>
            <w:r>
              <w:rPr>
                <w:rFonts w:ascii="Calibri" w:hAnsi="Calibri"/>
                <w:b w:val="0"/>
                <w:i w:val="0"/>
                <w:color w:val="0B2545"/>
                <w:sz w:val="17"/>
              </w:rPr>
              <w:t>Uses units_requested and stored product snapshots in reports/exports. Purpose: correct historical reports after settings change.</w:t>
            </w:r>
          </w:p>
        </w:tc>
      </w:tr>
      <w:tr>
        <w:tc>
          <w:tcPr>
            <w:tcW w:type="dxa" w:w="2250"/>
          </w:tcPr>
          <w:p>
            <w:pPr>
              <w:jc w:val="center"/>
            </w:pPr>
            <w:r>
              <w:rPr>
                <w:rFonts w:ascii="Calibri" w:hAnsi="Calibri"/>
                <w:b w:val="0"/>
                <w:i w:val="0"/>
                <w:color w:val="0B2545"/>
                <w:sz w:val="17"/>
              </w:rPr>
              <w:t>backend/routes/auth.js</w:t>
            </w:r>
          </w:p>
        </w:tc>
        <w:tc>
          <w:tcPr>
            <w:tcW w:type="dxa" w:w="1350"/>
          </w:tcPr>
          <w:p>
            <w:pPr>
              <w:jc w:val="left"/>
            </w:pPr>
            <w:r>
              <w:rPr>
                <w:rFonts w:ascii="Calibri" w:hAnsi="Calibri"/>
                <w:b w:val="0"/>
                <w:i w:val="0"/>
                <w:color w:val="0B2545"/>
                <w:sz w:val="17"/>
              </w:rPr>
              <w:t>30-42</w:t>
            </w:r>
          </w:p>
        </w:tc>
        <w:tc>
          <w:tcPr>
            <w:tcW w:type="dxa" w:w="5760"/>
          </w:tcPr>
          <w:p>
            <w:pPr>
              <w:jc w:val="left"/>
            </w:pPr>
            <w:r>
              <w:rPr>
                <w:rFonts w:ascii="Calibri" w:hAnsi="Calibri"/>
                <w:b w:val="0"/>
                <w:i w:val="0"/>
                <w:color w:val="0B2545"/>
                <w:sz w:val="17"/>
              </w:rPr>
              <w:t>Removes plaintext password fallback. Purpose: database seed and login use bcrypt only.</w:t>
            </w:r>
          </w:p>
        </w:tc>
      </w:tr>
    </w:tbl>
    <w:p>
      <w:pPr>
        <w:spacing w:after="60"/>
      </w:pPr>
    </w:p>
    <w:p>
      <w:pPr>
        <w:pStyle w:val="Heading1"/>
      </w:pPr>
      <w:r>
        <w:t>Deployment and calibration checklist</w:t>
      </w:r>
    </w:p>
    <w:p>
      <w:pPr>
        <w:pStyle w:val="ListBullet"/>
        <w:spacing w:after="80" w:line="276" w:lineRule="auto"/>
      </w:pPr>
      <w:r>
        <w:rPr>
          <w:rFonts w:ascii="Calibri" w:hAnsi="Calibri"/>
          <w:b w:val="0"/>
          <w:i w:val="0"/>
          <w:color w:val="0B2545"/>
          <w:sz w:val="22"/>
        </w:rPr>
        <w:t>Back up any real Supabase data. Cloud_Paper_Vendo.sql is a clean-reset development script and drops the listed tables.</w:t>
      </w:r>
    </w:p>
    <w:p>
      <w:pPr>
        <w:pStyle w:val="ListBullet"/>
        <w:spacing w:after="80" w:line="276" w:lineRule="auto"/>
      </w:pPr>
      <w:r>
        <w:rPr>
          <w:rFonts w:ascii="Calibri" w:hAnsi="Calibri"/>
          <w:b w:val="0"/>
          <w:i w:val="0"/>
          <w:color w:val="0B2545"/>
          <w:sz w:val="22"/>
        </w:rPr>
        <w:t>Run the SQL on the target development database, then enter real stock, prices, sheets per unit, and change-hopper coin count.</w:t>
      </w:r>
    </w:p>
    <w:p>
      <w:pPr>
        <w:pStyle w:val="ListBullet"/>
        <w:spacing w:after="80" w:line="276" w:lineRule="auto"/>
      </w:pPr>
      <w:r>
        <w:rPr>
          <w:rFonts w:ascii="Calibri" w:hAnsi="Calibri"/>
          <w:b w:val="0"/>
          <w:i w:val="0"/>
          <w:color w:val="0B2545"/>
          <w:sz w:val="22"/>
        </w:rPr>
        <w:t>Place the real Wi-Fi and Supabase values in production_esp32.ino. Do not place credentials in the guide or source control.</w:t>
      </w:r>
    </w:p>
    <w:p>
      <w:pPr>
        <w:pStyle w:val="ListBullet"/>
        <w:spacing w:after="80" w:line="276" w:lineRule="auto"/>
      </w:pPr>
      <w:r>
        <w:rPr>
          <w:rFonts w:ascii="Calibri" w:hAnsi="Calibri"/>
          <w:b w:val="0"/>
          <w:i w:val="0"/>
          <w:color w:val="0B2545"/>
          <w:sz w:val="22"/>
        </w:rPr>
        <w:t>Install four paper modules and calibrate each driver direction, step timing, separator, and exit sensor. A paper sheet counts only on clear -&gt; blocked -&gt; clear.</w:t>
      </w:r>
    </w:p>
    <w:p>
      <w:pPr>
        <w:pStyle w:val="ListBullet"/>
        <w:spacing w:after="80" w:line="276" w:lineRule="auto"/>
      </w:pPr>
      <w:r>
        <w:rPr>
          <w:rFonts w:ascii="Calibri" w:hAnsi="Calibri"/>
          <w:b w:val="0"/>
          <w:i w:val="0"/>
          <w:color w:val="0B2545"/>
          <w:sz w:val="22"/>
        </w:rPr>
        <w:t>Install a motor driver between Mega D14 and the hopper motor; never drive the motor from a Mega pin. Adjust active level if the module is active-low.</w:t>
      </w:r>
    </w:p>
    <w:p>
      <w:pPr>
        <w:pStyle w:val="ListBullet"/>
        <w:spacing w:after="80" w:line="276" w:lineRule="auto"/>
      </w:pPr>
      <w:r>
        <w:rPr>
          <w:rFonts w:ascii="Calibri" w:hAnsi="Calibri"/>
          <w:b w:val="0"/>
          <w:i w:val="0"/>
          <w:color w:val="0B2545"/>
          <w:sz w:val="22"/>
        </w:rPr>
        <w:t>Test each exact-change case with empty, low, jammed, and normal hopper states before customer testing.</w:t>
      </w:r>
    </w:p>
    <w:p>
      <w:pPr>
        <w:pStyle w:val="ListBullet"/>
        <w:spacing w:after="80" w:line="276" w:lineRule="auto"/>
      </w:pPr>
      <w:r>
        <w:rPr>
          <w:rFonts w:ascii="Calibri" w:hAnsi="Calibri"/>
          <w:b w:val="0"/>
          <w:i w:val="0"/>
          <w:color w:val="0B2545"/>
          <w:sz w:val="22"/>
        </w:rPr>
        <w:t>Run full-path tests: one pen, one paper unit with multiple sheets, mixed cart, zero change, valid change, no exact change, paper sensor failure, pen IR failure, Wi-Fi loss before reserve, and Wi-Fi loss after change payment.</w:t>
      </w:r>
    </w:p>
    <w:p>
      <w:pPr>
        <w:pStyle w:val="Heading1"/>
      </w:pPr>
      <w:r>
        <w:t>Verification completed in this refactor</w:t>
      </w:r>
    </w:p>
    <w:p>
      <w:pPr>
        <w:pStyle w:val="ListBullet"/>
        <w:spacing w:after="80" w:line="276" w:lineRule="auto"/>
      </w:pPr>
      <w:r>
        <w:rPr>
          <w:rFonts w:ascii="Calibri" w:hAnsi="Calibri"/>
          <w:b w:val="0"/>
          <w:i w:val="0"/>
          <w:color w:val="0B2545"/>
          <w:sz w:val="22"/>
        </w:rPr>
        <w:t>Backend JavaScript syntax checked with Node.</w:t>
      </w:r>
    </w:p>
    <w:p>
      <w:pPr>
        <w:pStyle w:val="ListBullet"/>
        <w:spacing w:after="80" w:line="276" w:lineRule="auto"/>
      </w:pPr>
      <w:r>
        <w:rPr>
          <w:rFonts w:ascii="Calibri" w:hAnsi="Calibri"/>
          <w:b w:val="0"/>
          <w:i w:val="0"/>
          <w:color w:val="0B2545"/>
          <w:sz w:val="22"/>
        </w:rPr>
        <w:t>Frontend production build completed successfully with Vite.</w:t>
      </w:r>
    </w:p>
    <w:p>
      <w:pPr>
        <w:pStyle w:val="ListBullet"/>
        <w:spacing w:after="80" w:line="276" w:lineRule="auto"/>
      </w:pPr>
      <w:r>
        <w:rPr>
          <w:rFonts w:ascii="Calibri" w:hAnsi="Calibri"/>
          <w:b w:val="0"/>
          <w:i w:val="0"/>
          <w:color w:val="0B2545"/>
          <w:sz w:val="22"/>
        </w:rPr>
        <w:t>Mega sketch structure checked for balanced braces. Hardware compilation and physical tests remain required because this workspace does not include Arduino CLI/hardware access.</w:t>
      </w:r>
    </w:p>
    <w:p>
      <w:pPr>
        <w:pStyle w:val="ListBullet"/>
        <w:spacing w:after="80" w:line="276" w:lineRule="auto"/>
      </w:pPr>
      <w:r>
        <w:rPr>
          <w:rFonts w:ascii="Calibri" w:hAnsi="Calibri"/>
          <w:b w:val="0"/>
          <w:i w:val="0"/>
          <w:color w:val="0B2545"/>
          <w:sz w:val="22"/>
        </w:rPr>
        <w:t>DOCX and PDF are rendered and visually inspected before delivery.</w:t>
      </w:r>
    </w:p>
    <w:p>
      <w:pPr>
        <w:pStyle w:val="Heading1"/>
      </w:pPr>
      <w:r>
        <w:t>Operator acceptance criteria</w:t>
      </w:r>
    </w:p>
    <w:p>
      <w:pPr>
        <w:pStyle w:val="ListBullet"/>
        <w:spacing w:after="80" w:line="276" w:lineRule="auto"/>
      </w:pPr>
      <w:r>
        <w:rPr>
          <w:rFonts w:ascii="Calibri" w:hAnsi="Calibri"/>
          <w:b w:val="0"/>
          <w:i w:val="0"/>
          <w:color w:val="0B2545"/>
          <w:sz w:val="22"/>
        </w:rPr>
        <w:t>No good is released unless the database reservation succeeds and the change sensor has verified the change due.</w:t>
      </w:r>
    </w:p>
    <w:p>
      <w:pPr>
        <w:pStyle w:val="ListBullet"/>
        <w:spacing w:after="80" w:line="276" w:lineRule="auto"/>
      </w:pPr>
      <w:r>
        <w:rPr>
          <w:rFonts w:ascii="Calibri" w:hAnsi="Calibri"/>
          <w:b w:val="0"/>
          <w:i w:val="0"/>
          <w:color w:val="0B2545"/>
          <w:sz w:val="22"/>
        </w:rPr>
        <w:t>A website transaction shows the user-selected units, actual physical output, price snapshot, status, and timestamp without recomputing them.</w:t>
      </w:r>
    </w:p>
    <w:p>
      <w:pPr>
        <w:pStyle w:val="ListBullet"/>
        <w:spacing w:after="80" w:line="276" w:lineRule="auto"/>
      </w:pPr>
      <w:r>
        <w:rPr>
          <w:rFonts w:ascii="Calibri" w:hAnsi="Calibri"/>
          <w:b w:val="0"/>
          <w:i w:val="0"/>
          <w:color w:val="0B2545"/>
          <w:sz w:val="22"/>
        </w:rPr>
        <w:t>Paper inventory reduces by confirmed physical sheets; pen inventory reduces by confirmed pens.</w:t>
      </w:r>
    </w:p>
    <w:p>
      <w:pPr>
        <w:pStyle w:val="ListBullet"/>
        <w:spacing w:after="80" w:line="276" w:lineRule="auto"/>
      </w:pPr>
      <w:r>
        <w:rPr>
          <w:rFonts w:ascii="Calibri" w:hAnsi="Calibri"/>
          <w:b w:val="0"/>
          <w:i w:val="0"/>
          <w:color w:val="0B2545"/>
          <w:sz w:val="22"/>
        </w:rPr>
        <w:t>A sensor-short dispense is visible as a failed line and failed transaction, rather than silently recorded as success.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6"/>
      </w:rPr>
      <w:t>PAPER VENDO MACHINE | REFACTOR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300" w:lineRule="auto"/>
    </w:pPr>
    <w:rPr>
      <w:rFonts w:asciiTheme="majorHAnsi" w:eastAsiaTheme="majorEastAsia" w:hAnsiTheme="majorHAnsi" w:cstheme="majorBidi" w:ascii="Calibri" w:hAnsi="Calibr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