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346179f5c4498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0.17.4.0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0.17.4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49223d94974f12" /><Relationship Type="http://schemas.microsoft.com/office/2007/relationships/stylesWithEffects" Target="/word/stylesWithEffects.xml" Id="R178410cc127243a7" /><Relationship Type="http://schemas.openxmlformats.org/officeDocument/2006/relationships/fontTable" Target="/word/fontTable.xml" Id="R949953251bc047a5" /><Relationship Type="http://schemas.openxmlformats.org/officeDocument/2006/relationships/settings" Target="/word/settings.xml" Id="Rfb4a6222d5d54ca5" /><Relationship Type="http://schemas.openxmlformats.org/officeDocument/2006/relationships/header" Target="/word/header.xml" Id="R0be22d3fb319432e" /><Relationship Type="http://schemas.openxmlformats.org/officeDocument/2006/relationships/footer" Target="/word/footer.xml" Id="Raa93496d70c04f6b" /></Relationships>
</file>