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eb37749924bd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0.18.2.0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de681c6d694ba4" /><Relationship Type="http://schemas.microsoft.com/office/2007/relationships/stylesWithEffects" Target="/word/stylesWithEffects.xml" Id="Rfb14601ac900422b" /><Relationship Type="http://schemas.openxmlformats.org/officeDocument/2006/relationships/fontTable" Target="/word/fontTable.xml" Id="R22e3cfbaf6fe4064" /><Relationship Type="http://schemas.openxmlformats.org/officeDocument/2006/relationships/settings" Target="/word/settings.xml" Id="Rcee3f57d5a404e43" /><Relationship Type="http://schemas.openxmlformats.org/officeDocument/2006/relationships/header" Target="/word/header.xml" Id="R6da4844c78174357" /><Relationship Type="http://schemas.openxmlformats.org/officeDocument/2006/relationships/footer" Target="/word/footer.xml" Id="R8c927c6607574822" /></Relationships>
</file>