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Pr="00B863FB" w:rsidR="6A36C4BF" w:rsidP="20A33AB4" w:rsidRDefault="00D73BBB" w14:paraId="26A1E605" w14:textId="1341AD0E">
      <w:pPr>
        <w:pStyle w:val="Title"/>
        <w:rPr>
          <w:sz w:val="28"/>
          <w:szCs w:val="28"/>
        </w:rPr>
      </w:pPr>
      <w:r w:rsidRPr="20A33AB4" w:rsidR="697F0B48">
        <w:rPr>
          <w:sz w:val="28"/>
          <w:szCs w:val="28"/>
        </w:rPr>
        <w:t>Advances in Renewable Energy Technology in 2024</w:t>
      </w:r>
    </w:p>
    <w:p w:rsidR="201D26C8" w:rsidP="002C79E6" w:rsidRDefault="00D73BBB" w14:paraId="78326B0D" w14:noSpellErr="1" w14:textId="18D65E48">
      <w:pPr>
        <w:pStyle w:val="Subtitle"/>
      </w:pPr>
    </w:p>
    <w:p w:rsidR="00A417C1" w:rsidP="002C79E6" w:rsidRDefault="00D73BBB" w14:paraId="24B93ED6" w14:textId="1900EADF">
      <w:pPr>
        <w:pStyle w:val="Subtitle"/>
      </w:pPr>
      <w:r w:rsidR="697F0B48">
        <w:rPr/>
        <w:t>Author: Jami A. Carroll</w:t>
      </w:r>
    </w:p>
    <w:p w:rsidR="002C79E6" w:rsidP="002C79E6" w:rsidRDefault="00D73BBB" w14:paraId="5C39436A" w14:textId="077CDD65">
      <w:pPr>
        <w:pStyle w:val="Subtitle"/>
      </w:pPr>
      <w:r w:rsidR="697F0B48">
        <w:rPr/>
        <w:t>NorQuest</w:t>
      </w:r>
      <w:r w:rsidR="697F0B48">
        <w:rPr/>
        <w:t xml:space="preserve"> College</w:t>
      </w:r>
    </w:p>
    <w:p w:rsidR="002C79E6" w:rsidP="002C79E6" w:rsidRDefault="00D73BBB" w14:paraId="66AA88B4" w14:textId="4F8A1319">
      <w:pPr>
        <w:pStyle w:val="Subtitle"/>
      </w:pPr>
      <w:r w:rsidR="697F0B48">
        <w:rPr/>
        <w:t>XCMP-1560:</w:t>
      </w:r>
      <w:r w:rsidR="56A87AAC">
        <w:rPr/>
        <w:t xml:space="preserve"> </w:t>
      </w:r>
      <w:r w:rsidR="02920875">
        <w:rPr/>
        <w:t>Microsoft Office 365</w:t>
      </w:r>
    </w:p>
    <w:p w:rsidR="002C79E6" w:rsidP="002C79E6" w:rsidRDefault="00D73BBB" w14:paraId="401C8AC4" w14:textId="7F954D32">
      <w:pPr>
        <w:pStyle w:val="Subtitle"/>
      </w:pPr>
      <w:r w:rsidR="02920875">
        <w:rPr/>
        <w:t xml:space="preserve">Instructor: </w:t>
      </w:r>
      <w:r w:rsidR="02920875">
        <w:rPr/>
        <w:t>Nazmus</w:t>
      </w:r>
      <w:r w:rsidR="02920875">
        <w:rPr/>
        <w:t xml:space="preserve"> Sakeef</w:t>
      </w:r>
    </w:p>
    <w:p w:rsidR="201D26C8" w:rsidP="002C79E6" w:rsidRDefault="00D73BBB" w14:paraId="468EEC2B" w14:textId="4959F830">
      <w:pPr>
        <w:pStyle w:val="Subtitle"/>
      </w:pPr>
      <w:r w:rsidR="02920875">
        <w:rPr/>
        <w:t>Friday, May 17</w:t>
      </w:r>
      <w:r w:rsidRPr="20A33AB4" w:rsidR="02920875">
        <w:rPr>
          <w:vertAlign w:val="superscript"/>
        </w:rPr>
        <w:t>th</w:t>
      </w:r>
      <w:r w:rsidR="02920875">
        <w:rPr/>
        <w:t>, 2024</w:t>
      </w:r>
    </w:p>
    <w:p w:rsidR="201D26C8" w:rsidP="014CA2B6" w:rsidRDefault="201D26C8" w14:paraId="68FD7A87" w14:textId="442B5588">
      <w:pPr>
        <w:pStyle w:val="Title2"/>
        <w:rPr>
          <w:rFonts w:ascii="Calibri" w:hAnsi="Calibri" w:eastAsia="Calibri" w:cs="Calibri"/>
          <w:szCs w:val="22"/>
        </w:rPr>
      </w:pPr>
    </w:p>
    <w:p w:rsidR="000D4642" w:rsidRDefault="000D4642" w14:paraId="26886B7F" w14:textId="422F47F9">
      <w:pPr/>
      <w:r>
        <w:br w:type="page"/>
      </w:r>
    </w:p>
    <w:p w:rsidR="000D4642" w:rsidP="20A33AB4" w:rsidRDefault="000D4642" w14:paraId="4A328F3A" w14:textId="2F1425E4">
      <w:pPr>
        <w:pStyle w:val="Heading1"/>
      </w:pPr>
      <w:bookmarkStart w:name="_Toc307672334" w:id="932441857"/>
      <w:r w:rsidR="1491AE47">
        <w:rPr/>
        <w:t>Table of Contents</w:t>
      </w:r>
      <w:bookmarkEnd w:id="932441857"/>
    </w:p>
    <w:p w:rsidR="20A33AB4" w:rsidP="20A33AB4" w:rsidRDefault="20A33AB4" w14:paraId="4D09AF6D" w14:textId="698010D0">
      <w:pPr>
        <w:pStyle w:val="Normal"/>
      </w:pPr>
    </w:p>
    <w:sdt>
      <w:sdtPr>
        <w:id w:val="334270684"/>
        <w:docPartObj>
          <w:docPartGallery w:val="Table of Contents"/>
          <w:docPartUnique/>
        </w:docPartObj>
      </w:sdtPr>
      <w:sdtContent>
        <w:p w:rsidR="20A33AB4" w:rsidP="20A33AB4" w:rsidRDefault="20A33AB4" w14:paraId="73BF28B6" w14:textId="53B29097">
          <w:pPr>
            <w:pStyle w:val="TOC1"/>
            <w:tabs>
              <w:tab w:val="right" w:leader="dot" w:pos="9360"/>
            </w:tabs>
            <w:bidi w:val="0"/>
            <w:rPr>
              <w:rStyle w:val="Hyperlink"/>
            </w:rPr>
          </w:pPr>
          <w:r>
            <w:fldChar w:fldCharType="begin"/>
          </w:r>
          <w:r>
            <w:instrText xml:space="preserve">TOC \o \z \u \h</w:instrText>
          </w:r>
          <w:r>
            <w:fldChar w:fldCharType="separate"/>
          </w:r>
          <w:hyperlink w:anchor="_Toc307672334">
            <w:r w:rsidRPr="20A33AB4" w:rsidR="20A33AB4">
              <w:rPr>
                <w:rStyle w:val="Hyperlink"/>
              </w:rPr>
              <w:t>Table of Contents</w:t>
            </w:r>
            <w:r>
              <w:tab/>
            </w:r>
            <w:r>
              <w:fldChar w:fldCharType="begin"/>
            </w:r>
            <w:r>
              <w:instrText xml:space="preserve">PAGEREF _Toc307672334 \h</w:instrText>
            </w:r>
            <w:r>
              <w:fldChar w:fldCharType="separate"/>
            </w:r>
            <w:r w:rsidRPr="20A33AB4" w:rsidR="20A33AB4">
              <w:rPr>
                <w:rStyle w:val="Hyperlink"/>
              </w:rPr>
              <w:t>1</w:t>
            </w:r>
            <w:r>
              <w:fldChar w:fldCharType="end"/>
            </w:r>
          </w:hyperlink>
        </w:p>
        <w:p w:rsidR="20A33AB4" w:rsidP="20A33AB4" w:rsidRDefault="20A33AB4" w14:paraId="76C1010B" w14:textId="3DB45E45">
          <w:pPr>
            <w:pStyle w:val="TOC1"/>
            <w:tabs>
              <w:tab w:val="right" w:leader="dot" w:pos="9360"/>
            </w:tabs>
            <w:bidi w:val="0"/>
            <w:rPr>
              <w:rStyle w:val="Hyperlink"/>
            </w:rPr>
          </w:pPr>
          <w:hyperlink w:anchor="_Toc1819674003">
            <w:r w:rsidRPr="20A33AB4" w:rsidR="20A33AB4">
              <w:rPr>
                <w:rStyle w:val="Hyperlink"/>
              </w:rPr>
              <w:t>ADVANCES IN RENEWABLE ENERGY TECHNOLOGY IN 2024</w:t>
            </w:r>
            <w:r>
              <w:tab/>
            </w:r>
            <w:r>
              <w:fldChar w:fldCharType="begin"/>
            </w:r>
            <w:r>
              <w:instrText xml:space="preserve">PAGEREF _Toc1819674003 \h</w:instrText>
            </w:r>
            <w:r>
              <w:fldChar w:fldCharType="separate"/>
            </w:r>
            <w:r w:rsidRPr="20A33AB4" w:rsidR="20A33AB4">
              <w:rPr>
                <w:rStyle w:val="Hyperlink"/>
              </w:rPr>
              <w:t>2</w:t>
            </w:r>
            <w:r>
              <w:fldChar w:fldCharType="end"/>
            </w:r>
          </w:hyperlink>
        </w:p>
        <w:p w:rsidR="20A33AB4" w:rsidP="20A33AB4" w:rsidRDefault="20A33AB4" w14:paraId="4374164E" w14:textId="5D00387A">
          <w:pPr>
            <w:pStyle w:val="TOC1"/>
            <w:tabs>
              <w:tab w:val="right" w:leader="dot" w:pos="9360"/>
            </w:tabs>
            <w:bidi w:val="0"/>
            <w:rPr>
              <w:rStyle w:val="Hyperlink"/>
            </w:rPr>
          </w:pPr>
          <w:hyperlink w:anchor="_Toc643213911">
            <w:r w:rsidRPr="20A33AB4" w:rsidR="20A33AB4">
              <w:rPr>
                <w:rStyle w:val="Hyperlink"/>
              </w:rPr>
              <w:t>Introduction</w:t>
            </w:r>
            <w:r>
              <w:tab/>
            </w:r>
            <w:r>
              <w:fldChar w:fldCharType="begin"/>
            </w:r>
            <w:r>
              <w:instrText xml:space="preserve">PAGEREF _Toc643213911 \h</w:instrText>
            </w:r>
            <w:r>
              <w:fldChar w:fldCharType="separate"/>
            </w:r>
            <w:r w:rsidRPr="20A33AB4" w:rsidR="20A33AB4">
              <w:rPr>
                <w:rStyle w:val="Hyperlink"/>
              </w:rPr>
              <w:t>3</w:t>
            </w:r>
            <w:r>
              <w:fldChar w:fldCharType="end"/>
            </w:r>
          </w:hyperlink>
        </w:p>
        <w:p w:rsidR="20A33AB4" w:rsidP="20A33AB4" w:rsidRDefault="20A33AB4" w14:paraId="6CFBEC96" w14:textId="05146756">
          <w:pPr>
            <w:pStyle w:val="TOC1"/>
            <w:tabs>
              <w:tab w:val="right" w:leader="dot" w:pos="9360"/>
            </w:tabs>
            <w:bidi w:val="0"/>
            <w:rPr>
              <w:rStyle w:val="Hyperlink"/>
            </w:rPr>
          </w:pPr>
          <w:hyperlink w:anchor="_Toc377565107">
            <w:r w:rsidRPr="20A33AB4" w:rsidR="20A33AB4">
              <w:rPr>
                <w:rStyle w:val="Hyperlink"/>
              </w:rPr>
              <w:t>World Energy Data</w:t>
            </w:r>
            <w:r>
              <w:tab/>
            </w:r>
            <w:r>
              <w:fldChar w:fldCharType="begin"/>
            </w:r>
            <w:r>
              <w:instrText xml:space="preserve">PAGEREF _Toc377565107 \h</w:instrText>
            </w:r>
            <w:r>
              <w:fldChar w:fldCharType="separate"/>
            </w:r>
            <w:r w:rsidRPr="20A33AB4" w:rsidR="20A33AB4">
              <w:rPr>
                <w:rStyle w:val="Hyperlink"/>
              </w:rPr>
              <w:t>3</w:t>
            </w:r>
            <w:r>
              <w:fldChar w:fldCharType="end"/>
            </w:r>
          </w:hyperlink>
        </w:p>
        <w:p w:rsidR="20A33AB4" w:rsidP="20A33AB4" w:rsidRDefault="20A33AB4" w14:paraId="08476D4A" w14:textId="76D01D78">
          <w:pPr>
            <w:pStyle w:val="TOC1"/>
            <w:tabs>
              <w:tab w:val="right" w:leader="dot" w:pos="9360"/>
            </w:tabs>
            <w:bidi w:val="0"/>
            <w:rPr>
              <w:rStyle w:val="Hyperlink"/>
            </w:rPr>
          </w:pPr>
          <w:hyperlink w:anchor="_Toc1617088751">
            <w:r w:rsidRPr="20A33AB4" w:rsidR="20A33AB4">
              <w:rPr>
                <w:rStyle w:val="Hyperlink"/>
              </w:rPr>
              <w:t>Government Regulations</w:t>
            </w:r>
            <w:r>
              <w:tab/>
            </w:r>
            <w:r>
              <w:fldChar w:fldCharType="begin"/>
            </w:r>
            <w:r>
              <w:instrText xml:space="preserve">PAGEREF _Toc1617088751 \h</w:instrText>
            </w:r>
            <w:r>
              <w:fldChar w:fldCharType="separate"/>
            </w:r>
            <w:r w:rsidRPr="20A33AB4" w:rsidR="20A33AB4">
              <w:rPr>
                <w:rStyle w:val="Hyperlink"/>
              </w:rPr>
              <w:t>4</w:t>
            </w:r>
            <w:r>
              <w:fldChar w:fldCharType="end"/>
            </w:r>
          </w:hyperlink>
        </w:p>
        <w:p w:rsidR="20A33AB4" w:rsidP="20A33AB4" w:rsidRDefault="20A33AB4" w14:paraId="4126A641" w14:textId="5ECAFB3A">
          <w:pPr>
            <w:pStyle w:val="TOC1"/>
            <w:tabs>
              <w:tab w:val="right" w:leader="dot" w:pos="9360"/>
            </w:tabs>
            <w:bidi w:val="0"/>
            <w:rPr>
              <w:rStyle w:val="Hyperlink"/>
            </w:rPr>
          </w:pPr>
          <w:hyperlink w:anchor="_Toc1032838357">
            <w:r w:rsidRPr="20A33AB4" w:rsidR="20A33AB4">
              <w:rPr>
                <w:rStyle w:val="Hyperlink"/>
              </w:rPr>
              <w:t>Recent Advancements</w:t>
            </w:r>
            <w:r>
              <w:tab/>
            </w:r>
            <w:r>
              <w:fldChar w:fldCharType="begin"/>
            </w:r>
            <w:r>
              <w:instrText xml:space="preserve">PAGEREF _Toc1032838357 \h</w:instrText>
            </w:r>
            <w:r>
              <w:fldChar w:fldCharType="separate"/>
            </w:r>
            <w:r w:rsidRPr="20A33AB4" w:rsidR="20A33AB4">
              <w:rPr>
                <w:rStyle w:val="Hyperlink"/>
              </w:rPr>
              <w:t>4</w:t>
            </w:r>
            <w:r>
              <w:fldChar w:fldCharType="end"/>
            </w:r>
          </w:hyperlink>
        </w:p>
        <w:p w:rsidR="20A33AB4" w:rsidP="20A33AB4" w:rsidRDefault="20A33AB4" w14:paraId="1F24675C" w14:textId="460485F2">
          <w:pPr>
            <w:pStyle w:val="TOC1"/>
            <w:tabs>
              <w:tab w:val="right" w:leader="dot" w:pos="9360"/>
            </w:tabs>
            <w:bidi w:val="0"/>
            <w:rPr>
              <w:rStyle w:val="Hyperlink"/>
            </w:rPr>
          </w:pPr>
          <w:hyperlink w:anchor="_Toc57791068">
            <w:r w:rsidRPr="20A33AB4" w:rsidR="20A33AB4">
              <w:rPr>
                <w:rStyle w:val="Hyperlink"/>
              </w:rPr>
              <w:t>Conclusion</w:t>
            </w:r>
            <w:r>
              <w:tab/>
            </w:r>
            <w:r>
              <w:fldChar w:fldCharType="begin"/>
            </w:r>
            <w:r>
              <w:instrText xml:space="preserve">PAGEREF _Toc57791068 \h</w:instrText>
            </w:r>
            <w:r>
              <w:fldChar w:fldCharType="separate"/>
            </w:r>
            <w:r w:rsidRPr="20A33AB4" w:rsidR="20A33AB4">
              <w:rPr>
                <w:rStyle w:val="Hyperlink"/>
              </w:rPr>
              <w:t>4</w:t>
            </w:r>
            <w:r>
              <w:fldChar w:fldCharType="end"/>
            </w:r>
          </w:hyperlink>
          <w:r>
            <w:fldChar w:fldCharType="end"/>
          </w:r>
        </w:p>
      </w:sdtContent>
    </w:sdt>
    <w:p w:rsidR="20A33AB4" w:rsidP="20A33AB4" w:rsidRDefault="20A33AB4" w14:paraId="09AD1895" w14:textId="27781109">
      <w:pPr>
        <w:pStyle w:val="Normal"/>
      </w:pPr>
    </w:p>
    <w:p w:rsidRPr="00B863FB" w:rsidR="00A417C1" w:rsidP="20A33AB4" w:rsidRDefault="00D73BBB" w14:paraId="7FEAC86B" w14:textId="4B2DD96F">
      <w:pPr>
        <w:pStyle w:val="SectionTitle"/>
      </w:pPr>
      <w:bookmarkStart w:name="_Toc1819674003" w:id="1635182197"/>
      <w:r w:rsidR="38DC170F">
        <w:rPr/>
        <w:t>ADVANCES IN RENEWABLE ENERGY TECHNOLOGY IN 2024</w:t>
      </w:r>
      <w:bookmarkEnd w:id="1635182197"/>
    </w:p>
    <w:p w:rsidR="37F7DA98" w:rsidP="20A33AB4" w:rsidRDefault="37F7DA98" w14:paraId="424BD8E5" w14:textId="678B0A33">
      <w:pPr>
        <w:pStyle w:val="Heading1"/>
      </w:pPr>
      <w:bookmarkStart w:name="_Toc643213911" w:id="1771829853"/>
      <w:r w:rsidR="37F7DA98">
        <w:rPr/>
        <w:t>Introduction</w:t>
      </w:r>
      <w:bookmarkEnd w:id="1771829853"/>
    </w:p>
    <w:p w:rsidR="2CE19ACA" w:rsidP="20A33AB4" w:rsidRDefault="2CE19ACA" w14:paraId="2CF00C26" w14:textId="0A062EDC">
      <w:pPr>
        <w:pStyle w:val="Normal"/>
        <w:rPr>
          <w:rStyle w:val="FootnoteReference"/>
        </w:rPr>
      </w:pPr>
      <w:r w:rsidR="2CE19ACA">
        <w:rPr/>
        <w:t>Due to the pressing need to address climate change, the world continues to push the energy sector towards cleaner, renewable sources of energy that will have less impact on nature and our environment. For this reason, the research in energy technologies continues to make impressive advancements in how energy is collected, processed, and stored. In 2024 we will continue to see this trend in greater momentum, with more consumers choosing renewable energy to sustain their homes and businesses, driving forward more research and developments in technologies such as Solar and Wind</w:t>
      </w:r>
      <w:r w:rsidR="31224704">
        <w:rPr/>
        <w:t>.</w:t>
      </w:r>
    </w:p>
    <w:p w:rsidR="31224704" w:rsidP="20A33AB4" w:rsidRDefault="31224704" w14:paraId="232796F0" w14:textId="7FA61410">
      <w:pPr>
        <w:pStyle w:val="Heading1"/>
      </w:pPr>
      <w:bookmarkStart w:name="_Toc377565107" w:id="26393598"/>
      <w:r w:rsidR="31224704">
        <w:rPr/>
        <w:t>World Energy Data</w:t>
      </w:r>
      <w:bookmarkEnd w:id="26393598"/>
    </w:p>
    <w:p w:rsidR="2CE19ACA" w:rsidRDefault="2CE19ACA" w14:paraId="4545C486" w14:textId="256FEB11">
      <w:r w:rsidR="2CE19ACA">
        <w:rPr/>
        <w:t>By evaluating world energy data, we can see that renewable energy's power and consumption has increased significantly over the past few years. While fossil fuels continue to have the highest share in primary energy consumption, renewable energy consumption continues to increase and spread across the globe.</w:t>
      </w:r>
      <w:r w:rsidRPr="20A33AB4">
        <w:rPr>
          <w:rStyle w:val="FootnoteReference"/>
        </w:rPr>
        <w:footnoteReference w:id="3264"/>
      </w:r>
      <w:r w:rsidR="2CE19ACA">
        <w:rPr/>
        <w:t xml:space="preserve"> This </w:t>
      </w:r>
      <w:r w:rsidR="2CE19ACA">
        <w:rPr/>
        <w:t>indicates</w:t>
      </w:r>
      <w:r w:rsidR="2CE19ACA">
        <w:rPr/>
        <w:t xml:space="preserve"> that renewable energy consumption is </w:t>
      </w:r>
      <w:r w:rsidR="4438FB58">
        <w:rPr/>
        <w:t>gaining</w:t>
      </w:r>
      <w:r w:rsidR="2CE19ACA">
        <w:rPr/>
        <w:t xml:space="preserve"> momentum for consumers, and with that comes the need for technologies that can sustain this global trend.</w:t>
      </w:r>
    </w:p>
    <w:tbl>
      <w:tblPr>
        <w:tblStyle w:val="TableGrid"/>
        <w:tblW w:w="0" w:type="auto"/>
        <w:tblBorders>
          <w:top w:val="single" w:color="000000" w:themeColor="text2" w:sz="12"/>
          <w:left w:val="single" w:color="000000" w:themeColor="text2" w:sz="12"/>
          <w:bottom w:val="single" w:color="000000" w:themeColor="text2" w:sz="12"/>
          <w:right w:val="single" w:color="000000" w:themeColor="text2" w:sz="12"/>
          <w:insideH w:val="none" w:color="000000" w:themeColor="text2" w:sz="12"/>
          <w:insideV w:val="none" w:color="000000" w:themeColor="text2" w:sz="12"/>
        </w:tblBorders>
        <w:tblLayout w:type="fixed"/>
        <w:tblLook w:val="06A0" w:firstRow="1" w:lastRow="0" w:firstColumn="1" w:lastColumn="0" w:noHBand="1" w:noVBand="1"/>
      </w:tblPr>
      <w:tblGrid>
        <w:gridCol w:w="990"/>
        <w:gridCol w:w="750"/>
        <w:gridCol w:w="870"/>
        <w:gridCol w:w="870"/>
        <w:gridCol w:w="870"/>
        <w:gridCol w:w="870"/>
        <w:gridCol w:w="870"/>
        <w:gridCol w:w="870"/>
        <w:gridCol w:w="870"/>
        <w:gridCol w:w="870"/>
        <w:gridCol w:w="870"/>
      </w:tblGrid>
      <w:tr w:rsidR="20A33AB4" w:rsidTr="20A33AB4" w14:paraId="5CD9792D">
        <w:trPr>
          <w:trHeight w:val="300"/>
        </w:trPr>
        <w:tc>
          <w:tcPr>
            <w:tcW w:w="990" w:type="dxa"/>
            <w:tcMar/>
          </w:tcPr>
          <w:p w:rsidR="20A33AB4" w:rsidP="20A33AB4" w:rsidRDefault="20A33AB4" w14:paraId="2EA9D481" w14:textId="5DAFB184">
            <w:pPr>
              <w:pStyle w:val="Normal"/>
              <w:ind w:firstLine="0"/>
            </w:pPr>
          </w:p>
        </w:tc>
        <w:tc>
          <w:tcPr>
            <w:tcW w:w="750" w:type="dxa"/>
            <w:shd w:val="clear" w:color="auto" w:fill="DDDDDD" w:themeFill="accent1"/>
            <w:tcMar/>
          </w:tcPr>
          <w:p w:rsidR="7A493403" w:rsidP="20A33AB4" w:rsidRDefault="7A493403" w14:paraId="59B483AD" w14:textId="3E4B2612">
            <w:pPr>
              <w:pStyle w:val="Normal"/>
              <w:ind w:firstLine="0"/>
            </w:pPr>
            <w:r w:rsidR="7A493403">
              <w:rPr/>
              <w:t>2012</w:t>
            </w:r>
          </w:p>
        </w:tc>
        <w:tc>
          <w:tcPr>
            <w:tcW w:w="870" w:type="dxa"/>
            <w:shd w:val="clear" w:color="auto" w:fill="DDDDDD" w:themeFill="accent1"/>
            <w:tcMar/>
          </w:tcPr>
          <w:p w:rsidR="7A493403" w:rsidP="20A33AB4" w:rsidRDefault="7A493403" w14:paraId="6D7387CD" w14:textId="2E4AB83F">
            <w:pPr>
              <w:pStyle w:val="Normal"/>
              <w:ind w:firstLine="0"/>
            </w:pPr>
            <w:r w:rsidR="7A493403">
              <w:rPr/>
              <w:t>2013</w:t>
            </w:r>
          </w:p>
        </w:tc>
        <w:tc>
          <w:tcPr>
            <w:tcW w:w="870" w:type="dxa"/>
            <w:shd w:val="clear" w:color="auto" w:fill="DDDDDD" w:themeFill="accent1"/>
            <w:tcMar/>
          </w:tcPr>
          <w:p w:rsidR="7A493403" w:rsidP="20A33AB4" w:rsidRDefault="7A493403" w14:paraId="547CAB1A" w14:textId="485B841C">
            <w:pPr>
              <w:pStyle w:val="Normal"/>
              <w:ind w:firstLine="0"/>
            </w:pPr>
            <w:r w:rsidR="7A493403">
              <w:rPr/>
              <w:t>2014</w:t>
            </w:r>
          </w:p>
        </w:tc>
        <w:tc>
          <w:tcPr>
            <w:tcW w:w="870" w:type="dxa"/>
            <w:shd w:val="clear" w:color="auto" w:fill="DDDDDD" w:themeFill="accent1"/>
            <w:tcMar/>
          </w:tcPr>
          <w:p w:rsidR="7A493403" w:rsidP="20A33AB4" w:rsidRDefault="7A493403" w14:paraId="0DE927E4" w14:textId="23D8DB9D">
            <w:pPr>
              <w:pStyle w:val="Normal"/>
              <w:ind w:firstLine="0"/>
            </w:pPr>
            <w:r w:rsidR="7A493403">
              <w:rPr/>
              <w:t>2015</w:t>
            </w:r>
          </w:p>
        </w:tc>
        <w:tc>
          <w:tcPr>
            <w:tcW w:w="870" w:type="dxa"/>
            <w:shd w:val="clear" w:color="auto" w:fill="DDDDDD" w:themeFill="accent1"/>
            <w:tcMar/>
          </w:tcPr>
          <w:p w:rsidR="7A493403" w:rsidP="20A33AB4" w:rsidRDefault="7A493403" w14:paraId="272F2497" w14:textId="317905FB">
            <w:pPr>
              <w:pStyle w:val="Normal"/>
              <w:ind w:firstLine="0"/>
            </w:pPr>
            <w:r w:rsidR="7A493403">
              <w:rPr/>
              <w:t>2016</w:t>
            </w:r>
          </w:p>
        </w:tc>
        <w:tc>
          <w:tcPr>
            <w:tcW w:w="870" w:type="dxa"/>
            <w:shd w:val="clear" w:color="auto" w:fill="DDDDDD" w:themeFill="accent1"/>
            <w:tcMar/>
          </w:tcPr>
          <w:p w:rsidR="7A493403" w:rsidP="20A33AB4" w:rsidRDefault="7A493403" w14:paraId="589C8CA7" w14:textId="6C0979DF">
            <w:pPr>
              <w:pStyle w:val="Normal"/>
              <w:ind w:firstLine="0"/>
            </w:pPr>
            <w:r w:rsidR="7A493403">
              <w:rPr/>
              <w:t>2017</w:t>
            </w:r>
          </w:p>
        </w:tc>
        <w:tc>
          <w:tcPr>
            <w:tcW w:w="870" w:type="dxa"/>
            <w:shd w:val="clear" w:color="auto" w:fill="DDDDDD" w:themeFill="accent1"/>
            <w:tcMar/>
          </w:tcPr>
          <w:p w:rsidR="7A493403" w:rsidP="20A33AB4" w:rsidRDefault="7A493403" w14:paraId="178D8AEE" w14:textId="744FB72E">
            <w:pPr>
              <w:pStyle w:val="Normal"/>
              <w:ind w:firstLine="0"/>
            </w:pPr>
            <w:r w:rsidR="7A493403">
              <w:rPr/>
              <w:t>2018</w:t>
            </w:r>
          </w:p>
        </w:tc>
        <w:tc>
          <w:tcPr>
            <w:tcW w:w="870" w:type="dxa"/>
            <w:shd w:val="clear" w:color="auto" w:fill="DDDDDD" w:themeFill="accent1"/>
            <w:tcMar/>
          </w:tcPr>
          <w:p w:rsidR="7A493403" w:rsidP="20A33AB4" w:rsidRDefault="7A493403" w14:paraId="4563B8D5" w14:textId="7B16254E">
            <w:pPr>
              <w:pStyle w:val="Normal"/>
              <w:ind w:firstLine="0"/>
            </w:pPr>
            <w:r w:rsidR="7A493403">
              <w:rPr/>
              <w:t>2019</w:t>
            </w:r>
          </w:p>
        </w:tc>
        <w:tc>
          <w:tcPr>
            <w:tcW w:w="870" w:type="dxa"/>
            <w:shd w:val="clear" w:color="auto" w:fill="DDDDDD" w:themeFill="accent1"/>
            <w:tcMar/>
          </w:tcPr>
          <w:p w:rsidR="7A493403" w:rsidP="20A33AB4" w:rsidRDefault="7A493403" w14:paraId="524F3AF8" w14:textId="7FF6C962">
            <w:pPr>
              <w:pStyle w:val="Normal"/>
              <w:ind w:firstLine="0"/>
            </w:pPr>
            <w:r w:rsidR="7A493403">
              <w:rPr/>
              <w:t>2020</w:t>
            </w:r>
          </w:p>
        </w:tc>
        <w:tc>
          <w:tcPr>
            <w:tcW w:w="870" w:type="dxa"/>
            <w:shd w:val="clear" w:color="auto" w:fill="DDDDDD" w:themeFill="accent1"/>
            <w:tcMar/>
          </w:tcPr>
          <w:p w:rsidR="7A493403" w:rsidP="20A33AB4" w:rsidRDefault="7A493403" w14:paraId="49F0FCFA" w14:textId="62B7DA4C">
            <w:pPr>
              <w:pStyle w:val="Normal"/>
              <w:suppressLineNumbers w:val="0"/>
              <w:bidi w:val="0"/>
              <w:spacing w:before="0" w:beforeAutospacing="off" w:after="0" w:afterAutospacing="off" w:line="240" w:lineRule="auto"/>
              <w:ind w:left="0" w:right="0" w:firstLine="0"/>
              <w:jc w:val="left"/>
            </w:pPr>
            <w:r w:rsidR="7A493403">
              <w:rPr/>
              <w:t>2021</w:t>
            </w:r>
          </w:p>
        </w:tc>
      </w:tr>
      <w:tr w:rsidR="20A33AB4" w:rsidTr="20A33AB4" w14:paraId="701F7A3C">
        <w:trPr>
          <w:trHeight w:val="300"/>
        </w:trPr>
        <w:tc>
          <w:tcPr>
            <w:tcW w:w="990" w:type="dxa"/>
            <w:tcMar/>
          </w:tcPr>
          <w:p w:rsidR="296F8124" w:rsidP="20A33AB4" w:rsidRDefault="296F8124" w14:paraId="150AC551" w14:textId="6030CD37">
            <w:pPr>
              <w:pStyle w:val="Normal"/>
              <w:ind w:firstLine="0"/>
            </w:pPr>
            <w:r w:rsidR="296F8124">
              <w:rPr/>
              <w:t>OECD</w:t>
            </w:r>
          </w:p>
        </w:tc>
        <w:tc>
          <w:tcPr>
            <w:tcW w:w="750" w:type="dxa"/>
            <w:tcMar/>
          </w:tcPr>
          <w:p w:rsidR="20A33AB4" w:rsidP="20A33AB4" w:rsidRDefault="20A33AB4" w14:paraId="147E6310" w14:textId="7F0C7738">
            <w:pPr>
              <w:pStyle w:val="Normal"/>
              <w:ind w:firstLine="0"/>
            </w:pPr>
            <w:r w:rsidR="20A33AB4">
              <w:rPr/>
              <w:t>0.17</w:t>
            </w:r>
          </w:p>
        </w:tc>
        <w:tc>
          <w:tcPr>
            <w:tcW w:w="870" w:type="dxa"/>
            <w:tcMar/>
          </w:tcPr>
          <w:p w:rsidR="20A33AB4" w:rsidP="20A33AB4" w:rsidRDefault="20A33AB4" w14:paraId="72E41285" w14:textId="3BFEDE13">
            <w:pPr>
              <w:pStyle w:val="Normal"/>
              <w:ind w:firstLine="0"/>
            </w:pPr>
            <w:r w:rsidR="20A33AB4">
              <w:rPr/>
              <w:t>0.20</w:t>
            </w:r>
          </w:p>
        </w:tc>
        <w:tc>
          <w:tcPr>
            <w:tcW w:w="870" w:type="dxa"/>
            <w:tcMar/>
          </w:tcPr>
          <w:p w:rsidR="20A33AB4" w:rsidP="20A33AB4" w:rsidRDefault="20A33AB4" w14:paraId="0E06841A" w14:textId="0248A1DC">
            <w:pPr>
              <w:pStyle w:val="Normal"/>
              <w:ind w:firstLine="0"/>
            </w:pPr>
            <w:r w:rsidR="20A33AB4">
              <w:rPr/>
              <w:t>0.22</w:t>
            </w:r>
          </w:p>
        </w:tc>
        <w:tc>
          <w:tcPr>
            <w:tcW w:w="870" w:type="dxa"/>
            <w:tcMar/>
          </w:tcPr>
          <w:p w:rsidR="20A33AB4" w:rsidP="20A33AB4" w:rsidRDefault="20A33AB4" w14:paraId="2BCE5FA8" w14:textId="091E2577">
            <w:pPr>
              <w:pStyle w:val="Normal"/>
              <w:ind w:firstLine="0"/>
            </w:pPr>
            <w:r w:rsidR="20A33AB4">
              <w:rPr/>
              <w:t>0.25</w:t>
            </w:r>
          </w:p>
        </w:tc>
        <w:tc>
          <w:tcPr>
            <w:tcW w:w="870" w:type="dxa"/>
            <w:tcMar/>
          </w:tcPr>
          <w:p w:rsidR="20A33AB4" w:rsidP="20A33AB4" w:rsidRDefault="20A33AB4" w14:paraId="504E96DF" w14:textId="6401BD12">
            <w:pPr>
              <w:pStyle w:val="Normal"/>
              <w:ind w:firstLine="0"/>
            </w:pPr>
            <w:r w:rsidR="20A33AB4">
              <w:rPr/>
              <w:t>0.27</w:t>
            </w:r>
          </w:p>
        </w:tc>
        <w:tc>
          <w:tcPr>
            <w:tcW w:w="870" w:type="dxa"/>
            <w:tcMar/>
          </w:tcPr>
          <w:p w:rsidR="20A33AB4" w:rsidP="20A33AB4" w:rsidRDefault="20A33AB4" w14:paraId="0293BB0F" w14:textId="7F0D4904">
            <w:pPr>
              <w:pStyle w:val="Normal"/>
              <w:ind w:firstLine="0"/>
            </w:pPr>
            <w:r w:rsidR="20A33AB4">
              <w:rPr/>
              <w:t>0.30</w:t>
            </w:r>
          </w:p>
        </w:tc>
        <w:tc>
          <w:tcPr>
            <w:tcW w:w="870" w:type="dxa"/>
            <w:tcMar/>
          </w:tcPr>
          <w:p w:rsidR="20A33AB4" w:rsidP="20A33AB4" w:rsidRDefault="20A33AB4" w14:paraId="67EB2253" w14:textId="19D35727">
            <w:pPr>
              <w:pStyle w:val="Normal"/>
              <w:ind w:firstLine="0"/>
            </w:pPr>
            <w:r w:rsidR="20A33AB4">
              <w:rPr/>
              <w:t>0.33</w:t>
            </w:r>
          </w:p>
        </w:tc>
        <w:tc>
          <w:tcPr>
            <w:tcW w:w="870" w:type="dxa"/>
            <w:tcMar/>
          </w:tcPr>
          <w:p w:rsidR="20A33AB4" w:rsidP="20A33AB4" w:rsidRDefault="20A33AB4" w14:paraId="45B3D668" w14:textId="189EB081">
            <w:pPr>
              <w:pStyle w:val="Normal"/>
              <w:ind w:firstLine="0"/>
            </w:pPr>
            <w:r w:rsidR="20A33AB4">
              <w:rPr/>
              <w:t>0.40</w:t>
            </w:r>
          </w:p>
        </w:tc>
        <w:tc>
          <w:tcPr>
            <w:tcW w:w="870" w:type="dxa"/>
            <w:tcMar/>
          </w:tcPr>
          <w:p w:rsidR="20A33AB4" w:rsidP="20A33AB4" w:rsidRDefault="20A33AB4" w14:paraId="6645E93B" w14:textId="4B3894A0">
            <w:pPr>
              <w:pStyle w:val="Normal"/>
              <w:ind w:firstLine="0"/>
            </w:pPr>
            <w:r w:rsidR="20A33AB4">
              <w:rPr/>
              <w:t>0.43</w:t>
            </w:r>
          </w:p>
        </w:tc>
        <w:tc>
          <w:tcPr>
            <w:tcW w:w="870" w:type="dxa"/>
            <w:tcMar/>
          </w:tcPr>
          <w:p w:rsidR="20A33AB4" w:rsidP="20A33AB4" w:rsidRDefault="20A33AB4" w14:paraId="5D5A0456" w14:textId="66BA18CC">
            <w:pPr>
              <w:pStyle w:val="Normal"/>
              <w:ind w:firstLine="0"/>
            </w:pPr>
            <w:r w:rsidR="20A33AB4">
              <w:rPr/>
              <w:t>0.50</w:t>
            </w:r>
          </w:p>
        </w:tc>
      </w:tr>
      <w:tr w:rsidR="20A33AB4" w:rsidTr="20A33AB4" w14:paraId="3A88706C">
        <w:trPr>
          <w:trHeight w:val="570"/>
        </w:trPr>
        <w:tc>
          <w:tcPr>
            <w:tcW w:w="990" w:type="dxa"/>
            <w:tcMar/>
          </w:tcPr>
          <w:p w:rsidR="6CAD7A1B" w:rsidP="20A33AB4" w:rsidRDefault="6CAD7A1B" w14:paraId="33032D1F" w14:textId="6A2495AF">
            <w:pPr>
              <w:pStyle w:val="Normal"/>
              <w:ind w:firstLine="0"/>
            </w:pPr>
            <w:r w:rsidR="6CAD7A1B">
              <w:rPr/>
              <w:t>NON-OECDD</w:t>
            </w:r>
          </w:p>
        </w:tc>
        <w:tc>
          <w:tcPr>
            <w:tcW w:w="750" w:type="dxa"/>
            <w:tcMar/>
          </w:tcPr>
          <w:p w:rsidR="20A33AB4" w:rsidP="20A33AB4" w:rsidRDefault="20A33AB4" w14:paraId="48DC50DD" w14:textId="1F316929">
            <w:pPr>
              <w:pStyle w:val="Normal"/>
              <w:ind w:firstLine="0"/>
            </w:pPr>
            <w:r w:rsidR="20A33AB4">
              <w:rPr/>
              <w:t>0.07</w:t>
            </w:r>
          </w:p>
        </w:tc>
        <w:tc>
          <w:tcPr>
            <w:tcW w:w="870" w:type="dxa"/>
            <w:tcMar/>
          </w:tcPr>
          <w:p w:rsidR="20A33AB4" w:rsidP="20A33AB4" w:rsidRDefault="20A33AB4" w14:paraId="5B792732" w14:textId="7E01A93A">
            <w:pPr>
              <w:pStyle w:val="Normal"/>
              <w:ind w:firstLine="0"/>
            </w:pPr>
            <w:r w:rsidR="20A33AB4">
              <w:rPr/>
              <w:t>0.09</w:t>
            </w:r>
          </w:p>
        </w:tc>
        <w:tc>
          <w:tcPr>
            <w:tcW w:w="870" w:type="dxa"/>
            <w:tcMar/>
          </w:tcPr>
          <w:p w:rsidR="20A33AB4" w:rsidP="20A33AB4" w:rsidRDefault="20A33AB4" w14:paraId="2A8ECA70" w14:textId="1176875C">
            <w:pPr>
              <w:pStyle w:val="Normal"/>
              <w:ind w:firstLine="0"/>
            </w:pPr>
            <w:r w:rsidR="20A33AB4">
              <w:rPr/>
              <w:t>0.10</w:t>
            </w:r>
          </w:p>
        </w:tc>
        <w:tc>
          <w:tcPr>
            <w:tcW w:w="870" w:type="dxa"/>
            <w:tcMar/>
          </w:tcPr>
          <w:p w:rsidR="20A33AB4" w:rsidP="20A33AB4" w:rsidRDefault="20A33AB4" w14:paraId="39173ECE" w14:textId="0941BB1D">
            <w:pPr>
              <w:pStyle w:val="Normal"/>
              <w:ind w:firstLine="0"/>
            </w:pPr>
            <w:r w:rsidR="20A33AB4">
              <w:rPr/>
              <w:t>0.12</w:t>
            </w:r>
          </w:p>
        </w:tc>
        <w:tc>
          <w:tcPr>
            <w:tcW w:w="870" w:type="dxa"/>
            <w:tcMar/>
          </w:tcPr>
          <w:p w:rsidR="20A33AB4" w:rsidP="20A33AB4" w:rsidRDefault="20A33AB4" w14:paraId="3575FA01" w14:textId="629B9B0B">
            <w:pPr>
              <w:pStyle w:val="Normal"/>
              <w:ind w:firstLine="0"/>
            </w:pPr>
            <w:r w:rsidR="20A33AB4">
              <w:rPr/>
              <w:t>0.15</w:t>
            </w:r>
          </w:p>
        </w:tc>
        <w:tc>
          <w:tcPr>
            <w:tcW w:w="870" w:type="dxa"/>
            <w:tcMar/>
          </w:tcPr>
          <w:p w:rsidR="20A33AB4" w:rsidP="20A33AB4" w:rsidRDefault="20A33AB4" w14:paraId="743C6EA3" w14:textId="671DC121">
            <w:pPr>
              <w:pStyle w:val="Normal"/>
              <w:ind w:firstLine="0"/>
            </w:pPr>
            <w:r w:rsidR="20A33AB4">
              <w:rPr/>
              <w:t>0.19</w:t>
            </w:r>
          </w:p>
        </w:tc>
        <w:tc>
          <w:tcPr>
            <w:tcW w:w="870" w:type="dxa"/>
            <w:tcMar/>
          </w:tcPr>
          <w:p w:rsidR="20A33AB4" w:rsidP="20A33AB4" w:rsidRDefault="20A33AB4" w14:paraId="0F2ACF2C" w14:textId="63DCB705">
            <w:pPr>
              <w:pStyle w:val="Normal"/>
              <w:ind w:firstLine="0"/>
            </w:pPr>
            <w:r w:rsidR="20A33AB4">
              <w:rPr/>
              <w:t>0.23</w:t>
            </w:r>
          </w:p>
        </w:tc>
        <w:tc>
          <w:tcPr>
            <w:tcW w:w="870" w:type="dxa"/>
            <w:tcMar/>
          </w:tcPr>
          <w:p w:rsidR="20A33AB4" w:rsidP="20A33AB4" w:rsidRDefault="20A33AB4" w14:paraId="7C4DAB42" w14:textId="21547878">
            <w:pPr>
              <w:pStyle w:val="Normal"/>
              <w:ind w:firstLine="0"/>
            </w:pPr>
            <w:r w:rsidR="20A33AB4">
              <w:rPr/>
              <w:t>0.29</w:t>
            </w:r>
          </w:p>
        </w:tc>
        <w:tc>
          <w:tcPr>
            <w:tcW w:w="870" w:type="dxa"/>
            <w:tcMar/>
          </w:tcPr>
          <w:p w:rsidR="20A33AB4" w:rsidP="20A33AB4" w:rsidRDefault="20A33AB4" w14:paraId="3E1520AC" w14:textId="544581CA">
            <w:pPr>
              <w:pStyle w:val="Normal"/>
              <w:ind w:firstLine="0"/>
            </w:pPr>
            <w:r w:rsidR="20A33AB4">
              <w:rPr/>
              <w:t>0.33</w:t>
            </w:r>
          </w:p>
        </w:tc>
        <w:tc>
          <w:tcPr>
            <w:tcW w:w="870" w:type="dxa"/>
            <w:tcMar/>
          </w:tcPr>
          <w:p w:rsidR="20A33AB4" w:rsidP="20A33AB4" w:rsidRDefault="20A33AB4" w14:paraId="6626CF6D" w14:textId="5C4C6773">
            <w:pPr>
              <w:pStyle w:val="Normal"/>
              <w:ind w:firstLine="0"/>
            </w:pPr>
            <w:r w:rsidR="20A33AB4">
              <w:rPr/>
              <w:t>0.45</w:t>
            </w:r>
          </w:p>
        </w:tc>
      </w:tr>
      <w:tr w:rsidR="20A33AB4" w:rsidTr="20A33AB4" w14:paraId="66AC2D4B">
        <w:trPr>
          <w:trHeight w:val="300"/>
        </w:trPr>
        <w:tc>
          <w:tcPr>
            <w:tcW w:w="990" w:type="dxa"/>
            <w:tcMar/>
          </w:tcPr>
          <w:p w:rsidR="4D5012F7" w:rsidP="20A33AB4" w:rsidRDefault="4D5012F7" w14:paraId="31ACCA92" w14:textId="2609B7FE">
            <w:pPr>
              <w:pStyle w:val="Normal"/>
              <w:ind w:firstLine="0"/>
            </w:pPr>
            <w:r w:rsidR="4D5012F7">
              <w:rPr/>
              <w:t>EU</w:t>
            </w:r>
          </w:p>
        </w:tc>
        <w:tc>
          <w:tcPr>
            <w:tcW w:w="750" w:type="dxa"/>
            <w:tcMar/>
          </w:tcPr>
          <w:p w:rsidR="20A33AB4" w:rsidP="20A33AB4" w:rsidRDefault="20A33AB4" w14:paraId="47F81441" w14:textId="78BF8CC2">
            <w:pPr>
              <w:pStyle w:val="Normal"/>
              <w:ind w:firstLine="0"/>
            </w:pPr>
            <w:r w:rsidR="20A33AB4">
              <w:rPr/>
              <w:t>0.10</w:t>
            </w:r>
          </w:p>
        </w:tc>
        <w:tc>
          <w:tcPr>
            <w:tcW w:w="870" w:type="dxa"/>
            <w:tcMar/>
          </w:tcPr>
          <w:p w:rsidR="20A33AB4" w:rsidP="20A33AB4" w:rsidRDefault="20A33AB4" w14:paraId="2D29345A" w14:textId="76786291">
            <w:pPr>
              <w:pStyle w:val="Normal"/>
              <w:ind w:firstLine="0"/>
            </w:pPr>
            <w:r w:rsidR="20A33AB4">
              <w:rPr/>
              <w:t>0.11</w:t>
            </w:r>
          </w:p>
        </w:tc>
        <w:tc>
          <w:tcPr>
            <w:tcW w:w="870" w:type="dxa"/>
            <w:tcMar/>
          </w:tcPr>
          <w:p w:rsidR="20A33AB4" w:rsidP="20A33AB4" w:rsidRDefault="20A33AB4" w14:paraId="5ED374EA" w14:textId="3BE39773">
            <w:pPr>
              <w:pStyle w:val="Normal"/>
              <w:ind w:firstLine="0"/>
            </w:pPr>
            <w:r w:rsidR="20A33AB4">
              <w:rPr/>
              <w:t>0.12</w:t>
            </w:r>
          </w:p>
        </w:tc>
        <w:tc>
          <w:tcPr>
            <w:tcW w:w="870" w:type="dxa"/>
            <w:tcMar/>
          </w:tcPr>
          <w:p w:rsidR="20A33AB4" w:rsidP="20A33AB4" w:rsidRDefault="20A33AB4" w14:paraId="041D3125" w14:textId="4B694542">
            <w:pPr>
              <w:pStyle w:val="Normal"/>
              <w:ind w:firstLine="0"/>
            </w:pPr>
            <w:r w:rsidR="20A33AB4">
              <w:rPr/>
              <w:t>0.13</w:t>
            </w:r>
          </w:p>
        </w:tc>
        <w:tc>
          <w:tcPr>
            <w:tcW w:w="870" w:type="dxa"/>
            <w:tcMar/>
          </w:tcPr>
          <w:p w:rsidR="20A33AB4" w:rsidP="20A33AB4" w:rsidRDefault="20A33AB4" w14:paraId="19FD8623" w14:textId="008F9205">
            <w:pPr>
              <w:pStyle w:val="Normal"/>
              <w:ind w:firstLine="0"/>
            </w:pPr>
            <w:r w:rsidR="20A33AB4">
              <w:rPr/>
              <w:t>0.14</w:t>
            </w:r>
          </w:p>
        </w:tc>
        <w:tc>
          <w:tcPr>
            <w:tcW w:w="870" w:type="dxa"/>
            <w:tcMar/>
          </w:tcPr>
          <w:p w:rsidR="20A33AB4" w:rsidP="20A33AB4" w:rsidRDefault="20A33AB4" w14:paraId="3A6FDA31" w14:textId="2D3A177A">
            <w:pPr>
              <w:pStyle w:val="Normal"/>
              <w:ind w:firstLine="0"/>
            </w:pPr>
            <w:r w:rsidR="20A33AB4">
              <w:rPr/>
              <w:t>0.15</w:t>
            </w:r>
          </w:p>
        </w:tc>
        <w:tc>
          <w:tcPr>
            <w:tcW w:w="870" w:type="dxa"/>
            <w:tcMar/>
          </w:tcPr>
          <w:p w:rsidR="20A33AB4" w:rsidP="20A33AB4" w:rsidRDefault="20A33AB4" w14:paraId="076D4D09" w14:textId="2730D67F">
            <w:pPr>
              <w:pStyle w:val="Normal"/>
              <w:ind w:firstLine="0"/>
            </w:pPr>
            <w:r w:rsidR="20A33AB4">
              <w:rPr/>
              <w:t>0.16</w:t>
            </w:r>
          </w:p>
        </w:tc>
        <w:tc>
          <w:tcPr>
            <w:tcW w:w="870" w:type="dxa"/>
            <w:tcMar/>
          </w:tcPr>
          <w:p w:rsidR="20A33AB4" w:rsidP="20A33AB4" w:rsidRDefault="20A33AB4" w14:paraId="4FE00C09" w14:textId="38A6FCF9">
            <w:pPr>
              <w:pStyle w:val="Normal"/>
              <w:ind w:firstLine="0"/>
            </w:pPr>
            <w:r w:rsidR="20A33AB4">
              <w:rPr/>
              <w:t>0.16</w:t>
            </w:r>
          </w:p>
        </w:tc>
        <w:tc>
          <w:tcPr>
            <w:tcW w:w="870" w:type="dxa"/>
            <w:tcMar/>
          </w:tcPr>
          <w:p w:rsidR="20A33AB4" w:rsidP="20A33AB4" w:rsidRDefault="20A33AB4" w14:paraId="56590905" w14:textId="086E48A8">
            <w:pPr>
              <w:pStyle w:val="Normal"/>
              <w:ind w:firstLine="0"/>
            </w:pPr>
            <w:r w:rsidR="20A33AB4">
              <w:rPr/>
              <w:t>0.17</w:t>
            </w:r>
          </w:p>
        </w:tc>
        <w:tc>
          <w:tcPr>
            <w:tcW w:w="870" w:type="dxa"/>
            <w:tcMar/>
          </w:tcPr>
          <w:p w:rsidR="20A33AB4" w:rsidP="20A33AB4" w:rsidRDefault="20A33AB4" w14:paraId="36F78C12" w14:textId="30E9F7FC">
            <w:pPr>
              <w:pStyle w:val="Normal"/>
              <w:ind w:firstLine="0"/>
            </w:pPr>
            <w:r w:rsidR="20A33AB4">
              <w:rPr/>
              <w:t>0.19</w:t>
            </w:r>
          </w:p>
        </w:tc>
      </w:tr>
      <w:tr w:rsidR="20A33AB4" w:rsidTr="20A33AB4" w14:paraId="2498DB16">
        <w:trPr>
          <w:trHeight w:val="300"/>
        </w:trPr>
        <w:tc>
          <w:tcPr>
            <w:tcW w:w="990" w:type="dxa"/>
            <w:tcMar/>
          </w:tcPr>
          <w:p w:rsidR="66498681" w:rsidP="20A33AB4" w:rsidRDefault="66498681" w14:paraId="5157CAA2" w14:textId="7D35B544">
            <w:pPr>
              <w:pStyle w:val="Normal"/>
              <w:ind w:firstLine="0"/>
            </w:pPr>
            <w:r w:rsidR="66498681">
              <w:rPr/>
              <w:t>WORLD</w:t>
            </w:r>
          </w:p>
        </w:tc>
        <w:tc>
          <w:tcPr>
            <w:tcW w:w="750" w:type="dxa"/>
            <w:tcMar/>
          </w:tcPr>
          <w:p w:rsidR="7597235A" w:rsidP="20A33AB4" w:rsidRDefault="7597235A" w14:paraId="4004BBA7" w14:textId="69D29419">
            <w:pPr>
              <w:pStyle w:val="Normal"/>
              <w:ind w:firstLine="0"/>
            </w:pPr>
            <w:r w:rsidR="7597235A">
              <w:rPr/>
              <w:t>0.24</w:t>
            </w:r>
          </w:p>
        </w:tc>
        <w:tc>
          <w:tcPr>
            <w:tcW w:w="870" w:type="dxa"/>
            <w:tcMar/>
          </w:tcPr>
          <w:p w:rsidR="7597235A" w:rsidP="20A33AB4" w:rsidRDefault="7597235A" w14:paraId="4BEDC81B" w14:textId="44ACEB38">
            <w:pPr>
              <w:pStyle w:val="Normal"/>
              <w:ind w:firstLine="0"/>
            </w:pPr>
            <w:r w:rsidR="7597235A">
              <w:rPr/>
              <w:t>0.28</w:t>
            </w:r>
          </w:p>
        </w:tc>
        <w:tc>
          <w:tcPr>
            <w:tcW w:w="870" w:type="dxa"/>
            <w:tcMar/>
          </w:tcPr>
          <w:p w:rsidR="7597235A" w:rsidP="20A33AB4" w:rsidRDefault="7597235A" w14:paraId="692F351B" w14:textId="14CF986C">
            <w:pPr>
              <w:pStyle w:val="Normal"/>
              <w:ind w:firstLine="0"/>
            </w:pPr>
            <w:r w:rsidR="7597235A">
              <w:rPr/>
              <w:t>0.32</w:t>
            </w:r>
          </w:p>
        </w:tc>
        <w:tc>
          <w:tcPr>
            <w:tcW w:w="870" w:type="dxa"/>
            <w:tcMar/>
          </w:tcPr>
          <w:p w:rsidR="7597235A" w:rsidP="20A33AB4" w:rsidRDefault="7597235A" w14:paraId="17A03ADF" w14:textId="5B8829AC">
            <w:pPr>
              <w:pStyle w:val="Normal"/>
              <w:ind w:firstLine="0"/>
            </w:pPr>
            <w:r w:rsidR="7597235A">
              <w:rPr/>
              <w:t>0.37</w:t>
            </w:r>
          </w:p>
        </w:tc>
        <w:tc>
          <w:tcPr>
            <w:tcW w:w="870" w:type="dxa"/>
            <w:tcMar/>
          </w:tcPr>
          <w:p w:rsidR="7597235A" w:rsidP="20A33AB4" w:rsidRDefault="7597235A" w14:paraId="4B698BB3" w14:textId="2EEE530F">
            <w:pPr>
              <w:pStyle w:val="Normal"/>
              <w:ind w:firstLine="0"/>
            </w:pPr>
            <w:r w:rsidR="7597235A">
              <w:rPr/>
              <w:t>0.42</w:t>
            </w:r>
          </w:p>
        </w:tc>
        <w:tc>
          <w:tcPr>
            <w:tcW w:w="870" w:type="dxa"/>
            <w:tcMar/>
          </w:tcPr>
          <w:p w:rsidR="7597235A" w:rsidP="20A33AB4" w:rsidRDefault="7597235A" w14:paraId="11E041A1" w14:textId="054AEF37">
            <w:pPr>
              <w:pStyle w:val="Normal"/>
              <w:ind w:firstLine="0"/>
            </w:pPr>
            <w:r w:rsidR="7597235A">
              <w:rPr/>
              <w:t>0.49</w:t>
            </w:r>
          </w:p>
        </w:tc>
        <w:tc>
          <w:tcPr>
            <w:tcW w:w="870" w:type="dxa"/>
            <w:tcMar/>
          </w:tcPr>
          <w:p w:rsidR="7597235A" w:rsidP="20A33AB4" w:rsidRDefault="7597235A" w14:paraId="7213E1AD" w14:textId="1E8C3126">
            <w:pPr>
              <w:pStyle w:val="Normal"/>
              <w:ind w:firstLine="0"/>
            </w:pPr>
            <w:r w:rsidR="7597235A">
              <w:rPr/>
              <w:t>0.56</w:t>
            </w:r>
          </w:p>
        </w:tc>
        <w:tc>
          <w:tcPr>
            <w:tcW w:w="870" w:type="dxa"/>
            <w:tcMar/>
          </w:tcPr>
          <w:p w:rsidR="7597235A" w:rsidP="20A33AB4" w:rsidRDefault="7597235A" w14:paraId="0A10E3EE" w14:textId="26EE17FB">
            <w:pPr>
              <w:pStyle w:val="Normal"/>
              <w:ind w:firstLine="0"/>
            </w:pPr>
            <w:r w:rsidR="7597235A">
              <w:rPr/>
              <w:t>0.69</w:t>
            </w:r>
          </w:p>
        </w:tc>
        <w:tc>
          <w:tcPr>
            <w:tcW w:w="870" w:type="dxa"/>
            <w:tcMar/>
          </w:tcPr>
          <w:p w:rsidR="7597235A" w:rsidP="20A33AB4" w:rsidRDefault="7597235A" w14:paraId="49944784" w14:textId="42698AF5">
            <w:pPr>
              <w:pStyle w:val="Normal"/>
              <w:ind w:firstLine="0"/>
            </w:pPr>
            <w:r w:rsidR="7597235A">
              <w:rPr/>
              <w:t>0.76</w:t>
            </w:r>
          </w:p>
        </w:tc>
        <w:tc>
          <w:tcPr>
            <w:tcW w:w="870" w:type="dxa"/>
            <w:tcMar/>
          </w:tcPr>
          <w:p w:rsidR="7597235A" w:rsidP="20A33AB4" w:rsidRDefault="7597235A" w14:paraId="6C7C8DD3" w14:textId="2C0CAAB5">
            <w:pPr>
              <w:pStyle w:val="Normal"/>
              <w:ind w:firstLine="0"/>
            </w:pPr>
            <w:r w:rsidR="7597235A">
              <w:rPr/>
              <w:t>0.95</w:t>
            </w:r>
          </w:p>
        </w:tc>
      </w:tr>
    </w:tbl>
    <w:p w:rsidR="79DA6E51" w:rsidP="20A33AB4" w:rsidRDefault="79DA6E51" w14:paraId="2A4D382B" w14:textId="6E4C7084">
      <w:pPr>
        <w:rPr>
          <w:i w:val="1"/>
          <w:iCs w:val="1"/>
        </w:rPr>
      </w:pPr>
      <w:r w:rsidRPr="20A33AB4" w:rsidR="79DA6E51">
        <w:rPr>
          <w:i w:val="1"/>
          <w:iCs w:val="1"/>
        </w:rPr>
        <w:t xml:space="preserve">Table </w:t>
      </w:r>
      <w:r w:rsidRPr="20A33AB4" w:rsidR="05539720">
        <w:rPr>
          <w:i w:val="1"/>
          <w:iCs w:val="1"/>
        </w:rPr>
        <w:t xml:space="preserve">1: Renewable energy consumption in </w:t>
      </w:r>
      <w:r w:rsidRPr="20A33AB4" w:rsidR="05539720">
        <w:rPr>
          <w:i w:val="1"/>
          <w:iCs w:val="1"/>
        </w:rPr>
        <w:t>Gtoe</w:t>
      </w:r>
      <w:r w:rsidRPr="20A33AB4" w:rsidR="05539720">
        <w:rPr>
          <w:i w:val="1"/>
          <w:iCs w:val="1"/>
        </w:rPr>
        <w:t xml:space="preserve"> (</w:t>
      </w:r>
      <w:r w:rsidRPr="20A33AB4" w:rsidR="05539720">
        <w:rPr>
          <w:i w:val="1"/>
          <w:iCs w:val="1"/>
        </w:rPr>
        <w:t>Gigatonne</w:t>
      </w:r>
      <w:r w:rsidRPr="20A33AB4" w:rsidR="05539720">
        <w:rPr>
          <w:i w:val="1"/>
          <w:iCs w:val="1"/>
        </w:rPr>
        <w:t xml:space="preserve"> of oil </w:t>
      </w:r>
      <w:r w:rsidRPr="20A33AB4" w:rsidR="646D2CFD">
        <w:rPr>
          <w:i w:val="1"/>
          <w:iCs w:val="1"/>
        </w:rPr>
        <w:t>equivalent</w:t>
      </w:r>
      <w:r w:rsidRPr="20A33AB4" w:rsidR="2603FE46">
        <w:rPr>
          <w:i w:val="1"/>
          <w:iCs w:val="1"/>
        </w:rPr>
        <w:t>)</w:t>
      </w:r>
    </w:p>
    <w:p w:rsidRPr="00B863FB" w:rsidR="00A417C1" w:rsidP="00B863FB" w:rsidRDefault="00D73BBB" w14:paraId="52FC110D" w14:textId="550ED313">
      <w:r w:rsidR="2603FE46">
        <w:rPr/>
        <w:t>As can be seen in Table 1, the amount of renewable energy in primary energy consumption has increased significantly over the course of ten years as bio-power, solar power, geothermal power, photovoltaic power, and wind power technologies have become more efficient and advanced. As our knowledge o</w:t>
      </w:r>
      <w:r w:rsidR="540E1B3B">
        <w:rPr/>
        <w:t>f</w:t>
      </w:r>
      <w:r w:rsidR="2603FE46">
        <w:rPr/>
        <w:t xml:space="preserve"> climate change and </w:t>
      </w:r>
      <w:r w:rsidR="472F3AEC">
        <w:rPr/>
        <w:t>its</w:t>
      </w:r>
      <w:r w:rsidR="2603FE46">
        <w:rPr/>
        <w:t xml:space="preserve"> </w:t>
      </w:r>
      <w:r w:rsidR="2603FE46">
        <w:rPr/>
        <w:t>subsequent</w:t>
      </w:r>
      <w:r w:rsidR="2603FE46">
        <w:rPr/>
        <w:t xml:space="preserve"> negative impacts </w:t>
      </w:r>
      <w:r w:rsidR="5C0D69BA">
        <w:rPr/>
        <w:t>continue</w:t>
      </w:r>
      <w:r w:rsidR="2603FE46">
        <w:rPr/>
        <w:t xml:space="preserve"> to develop, </w:t>
      </w:r>
      <w:r w:rsidR="006DF27A">
        <w:rPr/>
        <w:t xml:space="preserve">these sources of power </w:t>
      </w:r>
      <w:r w:rsidR="494CBBC5">
        <w:rPr/>
        <w:t>continue</w:t>
      </w:r>
      <w:r w:rsidR="2603FE46">
        <w:rPr/>
        <w:t xml:space="preserve"> to be at the forefront of energy research.</w:t>
      </w:r>
      <w:r w:rsidRPr="20A33AB4">
        <w:rPr>
          <w:rStyle w:val="FootnoteReference"/>
        </w:rPr>
        <w:footnoteReference w:id="2605"/>
      </w:r>
    </w:p>
    <w:p w:rsidRPr="00B863FB" w:rsidR="00A417C1" w:rsidP="20A33AB4" w:rsidRDefault="00D73BBB" w14:paraId="3560F97D" w14:textId="24F4B3DC">
      <w:pPr>
        <w:pStyle w:val="Heading1"/>
      </w:pPr>
      <w:bookmarkStart w:name="_Toc1617088751" w:id="929432493"/>
      <w:r w:rsidR="1952ED9E">
        <w:rPr/>
        <w:t>Government Regulations</w:t>
      </w:r>
      <w:bookmarkEnd w:id="929432493"/>
    </w:p>
    <w:p w:rsidR="00A417C1" w:rsidP="20A33AB4" w:rsidRDefault="00D73BBB" w14:paraId="0CC126C3" w14:textId="0B113DE3">
      <w:pPr>
        <w:rPr>
          <w:rFonts w:ascii="Calibri" w:hAnsi="Calibri" w:eastAsia="Calibri" w:cs="Calibri"/>
        </w:rPr>
      </w:pPr>
      <w:r w:rsidRPr="20A33AB4" w:rsidR="1952ED9E">
        <w:rPr>
          <w:rFonts w:ascii="Calibri" w:hAnsi="Calibri" w:eastAsia="Calibri" w:cs="Calibri"/>
        </w:rPr>
        <w:t xml:space="preserve">We are also beginning to see an increasing number of industrialized countries providing public financing of renewable energies. With government regulations changing around oil-based energy in favor of renewable energy, the creation of jobs surrounding these technologies continues to drive forward advancements in the systems that provide businesses and consumers with energy that does not </w:t>
      </w:r>
      <w:r w:rsidRPr="20A33AB4" w:rsidR="1952ED9E">
        <w:rPr>
          <w:rFonts w:ascii="Calibri" w:hAnsi="Calibri" w:eastAsia="Calibri" w:cs="Calibri"/>
        </w:rPr>
        <w:t>impact</w:t>
      </w:r>
      <w:r w:rsidRPr="20A33AB4" w:rsidR="1952ED9E">
        <w:rPr>
          <w:rFonts w:ascii="Calibri" w:hAnsi="Calibri" w:eastAsia="Calibri" w:cs="Calibri"/>
        </w:rPr>
        <w:t xml:space="preserve"> our planet.</w:t>
      </w:r>
      <w:r w:rsidRPr="20A33AB4" w:rsidR="53F9B009">
        <w:rPr>
          <w:rFonts w:ascii="Calibri" w:hAnsi="Calibri" w:eastAsia="Calibri" w:cs="Calibri"/>
        </w:rPr>
        <w:t xml:space="preserve"> </w:t>
      </w:r>
      <w:r w:rsidRPr="20A33AB4">
        <w:rPr>
          <w:rStyle w:val="FootnoteReference"/>
          <w:rFonts w:ascii="Calibri" w:hAnsi="Calibri" w:eastAsia="Calibri" w:cs="Calibri"/>
        </w:rPr>
        <w:footnoteReference w:id="7436"/>
      </w:r>
    </w:p>
    <w:p w:rsidR="240ECFA8" w:rsidP="20A33AB4" w:rsidRDefault="240ECFA8" w14:paraId="6DB1CCFA" w14:textId="12FBE7A4">
      <w:pPr>
        <w:pStyle w:val="Heading1"/>
        <w:bidi w:val="0"/>
      </w:pPr>
      <w:bookmarkStart w:name="_Toc1032838357" w:id="321412404"/>
      <w:r w:rsidR="240ECFA8">
        <w:rPr/>
        <w:t>Recent Advancements</w:t>
      </w:r>
      <w:bookmarkEnd w:id="321412404"/>
      <w:r w:rsidR="240ECFA8">
        <w:rPr/>
        <w:t xml:space="preserve"> </w:t>
      </w:r>
    </w:p>
    <w:p w:rsidR="240ECFA8" w:rsidP="20A33AB4" w:rsidRDefault="240ECFA8" w14:paraId="290E81AD" w14:textId="595C7E1F">
      <w:pPr>
        <w:pStyle w:val="Normal"/>
      </w:pPr>
      <w:r w:rsidR="240ECFA8">
        <w:rPr/>
        <w:t xml:space="preserve">Other improvements in technology, such as artificial intelligence, are being used to improve renewable energy technologies such as solar-based circuits. </w:t>
      </w:r>
      <w:r w:rsidR="6AA4EE75">
        <w:rPr/>
        <w:t>Fabrication of transparent solar cells can be used in many applications, as these solar cells have more than one layer of light-capturing materials and have a higher efficiency than traditional solar cells.</w:t>
      </w:r>
      <w:r w:rsidR="240ECFA8">
        <w:rPr/>
        <w:t xml:space="preserve"> Innovative photovoltaic modules can be laid on roads and can power LED lamps and melt snow</w:t>
      </w:r>
      <w:r w:rsidR="236F40F5">
        <w:rPr/>
        <w:t>. This is</w:t>
      </w:r>
      <w:r w:rsidR="240ECFA8">
        <w:rPr/>
        <w:t xml:space="preserve"> another of the </w:t>
      </w:r>
      <w:r w:rsidR="2D7F5209">
        <w:rPr/>
        <w:t>innovative</w:t>
      </w:r>
      <w:r w:rsidR="240ECFA8">
        <w:rPr/>
        <w:t xml:space="preserve"> technologies that continue</w:t>
      </w:r>
      <w:r w:rsidR="2760F8FD">
        <w:rPr/>
        <w:t xml:space="preserve"> to be </w:t>
      </w:r>
      <w:r w:rsidR="76FC4F51">
        <w:rPr/>
        <w:t xml:space="preserve">developed.</w:t>
      </w:r>
      <w:r w:rsidRPr="20A33AB4">
        <w:rPr>
          <w:rStyle w:val="FootnoteReference"/>
        </w:rPr>
        <w:footnoteReference w:id="14694"/>
      </w:r>
    </w:p>
    <w:p w:rsidR="2A73D6F7" w:rsidP="20A33AB4" w:rsidRDefault="2A73D6F7" w14:paraId="70A71816" w14:textId="4D30794F">
      <w:pPr>
        <w:pStyle w:val="Heading1"/>
      </w:pPr>
      <w:bookmarkStart w:name="_Toc57791068" w:id="2096533465"/>
      <w:r w:rsidR="2A73D6F7">
        <w:rPr/>
        <w:t>Conclusion</w:t>
      </w:r>
      <w:bookmarkEnd w:id="2096533465"/>
    </w:p>
    <w:p w:rsidR="2A73D6F7" w:rsidP="20A33AB4" w:rsidRDefault="2A73D6F7" w14:paraId="09C83484" w14:textId="5FCF39F8">
      <w:pPr>
        <w:pStyle w:val="Normal"/>
      </w:pPr>
      <w:r w:rsidR="2A73D6F7">
        <w:rPr/>
        <w:t xml:space="preserve">The potential for future advancements in renewable energy in 2024 can be seen in the growing number of advancements we see every year. It is unlikely that the world will focus its research on fossil fuel technologies as renewable energy becomes a global effort to save our planet from the </w:t>
      </w:r>
      <w:r w:rsidR="7B6DB6A5">
        <w:rPr/>
        <w:t>repercussions</w:t>
      </w:r>
      <w:r w:rsidR="2A73D6F7">
        <w:rPr/>
        <w:t xml:space="preserve"> of using these old energy systems.</w:t>
      </w:r>
    </w:p>
    <w:p w:rsidR="68E35553" w:rsidP="00B863FB" w:rsidRDefault="68E35553" w14:paraId="04030458" w14:textId="37D04CA5">
      <w:pPr>
        <w:rPr>
          <w:noProof/>
        </w:rPr>
      </w:pPr>
    </w:p>
    <w:p w:rsidR="67AE9998" w:rsidP="00B863FB" w:rsidRDefault="67AE9998" w14:paraId="1746C395" w14:textId="057B27BC">
      <w:pPr>
        <w:rPr>
          <w:noProof/>
        </w:rPr>
      </w:pPr>
    </w:p>
    <w:p w:rsidR="67AE9998" w:rsidP="00B863FB" w:rsidRDefault="67AE9998" w14:paraId="490E3261" w14:textId="0EA6320D">
      <w:pPr>
        <w:rPr>
          <w:noProof/>
        </w:rPr>
      </w:pPr>
    </w:p>
    <w:p w:rsidRPr="00B863FB" w:rsidR="67AE9998" w:rsidP="20A33AB4" w:rsidRDefault="00D73BBB" w14:paraId="7DEA9873" w14:noSpellErr="1" w14:textId="6E8750D9">
      <w:pPr>
        <w:pStyle w:val="TableFigure"/>
        <w:spacing w:after="160"/>
        <w:rPr>
          <w:noProof/>
          <w:color w:val="000000" w:themeColor="text2"/>
        </w:rPr>
      </w:pPr>
    </w:p>
    <w:sectPr w:rsidRPr="00B863FB" w:rsidR="67AE999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orient="portrait"/>
      <w:pgMar w:top="1440" w:right="1440" w:bottom="1440" w:left="1440" w:header="720" w:footer="720" w:gutter="0"/>
      <w:cols w:equalWidth="1" w:space="720" w:num="1"/>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89EFE91" w:rsidP="189EFE91" w:rsidRDefault="189EFE91" w14:paraId="3411EDDC" w14:textId="20262FED">
    <w:pPr>
      <w:pStyle w:val="Footer"/>
      <w:jc w:val="center"/>
    </w:pPr>
    <w:r>
      <w:fldChar w:fldCharType="begin"/>
    </w:r>
    <w:r>
      <w:instrText xml:space="preserve">PAGE</w:instrText>
    </w:r>
    <w:r>
      <w:fldChar w:fldCharType="separate"/>
    </w:r>
    <w:r>
      <w:fldChar w:fldCharType="end"/>
    </w:r>
  </w:p>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 w:id="3264">
    <w:p w:rsidR="20A33AB4" w:rsidP="20A33AB4" w:rsidRDefault="20A33AB4" w14:paraId="1E383A16" w14:textId="0EA90B0D">
      <w:pPr>
        <w:pStyle w:val="FootnoteText"/>
        <w:bidi w:val="0"/>
      </w:pPr>
      <w:r w:rsidRPr="20A33AB4">
        <w:rPr>
          <w:rStyle w:val="FootnoteReference"/>
        </w:rPr>
        <w:footnoteRef/>
      </w:r>
      <w:r w:rsidR="20A33AB4">
        <w:rPr/>
        <w:t xml:space="preserve"> </w:t>
      </w:r>
      <w:hyperlink r:id="Ree4c0c09d83248b1">
        <w:r w:rsidRPr="20A33AB4" w:rsidR="20A33AB4">
          <w:rPr>
            <w:rStyle w:val="Hyperlink"/>
          </w:rPr>
          <w:t xml:space="preserve">Oguz Ozan </w:t>
        </w:r>
        <w:r w:rsidRPr="20A33AB4" w:rsidR="20A33AB4">
          <w:rPr>
            <w:rStyle w:val="Hyperlink"/>
          </w:rPr>
          <w:t>Yolcan</w:t>
        </w:r>
        <w:r w:rsidRPr="20A33AB4" w:rsidR="20A33AB4">
          <w:rPr>
            <w:rStyle w:val="Hyperlink"/>
          </w:rPr>
          <w:t>, World Energy Outlook and State of Renewable Energy: 10 Year Evaluation, Innovation and Green Development, Vol. 2, Issue 4, December 2023</w:t>
        </w:r>
      </w:hyperlink>
    </w:p>
  </w:footnote>
  <w:footnote w:id="2605">
    <w:p w:rsidR="20A33AB4" w:rsidP="20A33AB4" w:rsidRDefault="20A33AB4" w14:paraId="440A3FBE" w14:textId="539994C7">
      <w:pPr>
        <w:pStyle w:val="FootnoteText"/>
        <w:bidi w:val="0"/>
      </w:pPr>
      <w:r w:rsidRPr="20A33AB4">
        <w:rPr>
          <w:rStyle w:val="FootnoteReference"/>
        </w:rPr>
        <w:footnoteRef/>
      </w:r>
      <w:r w:rsidR="20A33AB4">
        <w:rPr/>
        <w:t xml:space="preserve"> </w:t>
      </w:r>
      <w:hyperlink r:id="R43e5fd41e3f44f86">
        <w:r w:rsidRPr="20A33AB4" w:rsidR="20A33AB4">
          <w:rPr>
            <w:rStyle w:val="Hyperlink"/>
          </w:rPr>
          <w:t>Samuel Hitz, Estimating Global Impacts from Climate Change, Global Environmental Change, Vol 14, Issue 3, October 2004</w:t>
        </w:r>
      </w:hyperlink>
    </w:p>
  </w:footnote>
  <w:footnote w:id="7436">
    <w:p w:rsidR="20A33AB4" w:rsidP="20A33AB4" w:rsidRDefault="20A33AB4" w14:paraId="03A8E337" w14:textId="109D1B6C">
      <w:pPr>
        <w:pStyle w:val="FootnoteText"/>
        <w:bidi w:val="0"/>
      </w:pPr>
      <w:r w:rsidRPr="20A33AB4">
        <w:rPr>
          <w:rStyle w:val="FootnoteReference"/>
        </w:rPr>
        <w:footnoteRef/>
      </w:r>
      <w:r w:rsidR="20A33AB4">
        <w:rPr/>
        <w:t xml:space="preserve">  </w:t>
      </w:r>
      <w:hyperlink r:id="R35ff2ce2af584c6f">
        <w:r w:rsidRPr="20A33AB4" w:rsidR="20A33AB4">
          <w:rPr>
            <w:rStyle w:val="Hyperlink"/>
          </w:rPr>
          <w:t>Economic Impacts from the Promotion of Renewable Energy Technologies: The German Experience, Energy Policy, Vol. 38, Issue 8, August 2010</w:t>
        </w:r>
      </w:hyperlink>
    </w:p>
  </w:footnote>
  <w:footnote w:id="14694">
    <w:p w:rsidR="20A33AB4" w:rsidP="20A33AB4" w:rsidRDefault="20A33AB4" w14:paraId="352064F7" w14:textId="736A34DF">
      <w:pPr>
        <w:pStyle w:val="FootnoteText"/>
        <w:bidi w:val="0"/>
      </w:pPr>
      <w:r w:rsidRPr="20A33AB4">
        <w:rPr>
          <w:rStyle w:val="FootnoteReference"/>
        </w:rPr>
        <w:footnoteRef/>
      </w:r>
      <w:r w:rsidR="20A33AB4">
        <w:rPr/>
        <w:t xml:space="preserve"> </w:t>
      </w:r>
      <w:hyperlink r:id="Ra0a3a286d8e1447f">
        <w:r w:rsidRPr="20A33AB4" w:rsidR="20A33AB4">
          <w:rPr>
            <w:rStyle w:val="Hyperlink"/>
          </w:rPr>
          <w:t>Recent Developments and Future Advancements in Solar Panels Technology, Journal of Physics: Conference Series, Vol. 1495, December 2019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1F7176"/>
    <w:rsid w:val="002C79E6"/>
    <w:rsid w:val="002F3AE9"/>
    <w:rsid w:val="003804CC"/>
    <w:rsid w:val="00664C1A"/>
    <w:rsid w:val="006DF27A"/>
    <w:rsid w:val="0087407D"/>
    <w:rsid w:val="00A417C1"/>
    <w:rsid w:val="00B863FB"/>
    <w:rsid w:val="00B86440"/>
    <w:rsid w:val="00BB2D6F"/>
    <w:rsid w:val="00C00F8F"/>
    <w:rsid w:val="00C03068"/>
    <w:rsid w:val="00D620FD"/>
    <w:rsid w:val="00D73BBB"/>
    <w:rsid w:val="00D91044"/>
    <w:rsid w:val="00DE5178"/>
    <w:rsid w:val="00DF5915"/>
    <w:rsid w:val="00E67454"/>
    <w:rsid w:val="00EF55C5"/>
    <w:rsid w:val="00F42C3E"/>
    <w:rsid w:val="00F6242A"/>
    <w:rsid w:val="00FD0666"/>
    <w:rsid w:val="00FF55EC"/>
    <w:rsid w:val="01448A12"/>
    <w:rsid w:val="014CA2B6"/>
    <w:rsid w:val="028B2CE5"/>
    <w:rsid w:val="02920875"/>
    <w:rsid w:val="02FF10C7"/>
    <w:rsid w:val="031DA4D3"/>
    <w:rsid w:val="039EBC74"/>
    <w:rsid w:val="03D77AA8"/>
    <w:rsid w:val="04AFF69D"/>
    <w:rsid w:val="05539720"/>
    <w:rsid w:val="06304CC4"/>
    <w:rsid w:val="0BD07300"/>
    <w:rsid w:val="0C6FDFC4"/>
    <w:rsid w:val="0CC744C6"/>
    <w:rsid w:val="0D6E5604"/>
    <w:rsid w:val="0DC33995"/>
    <w:rsid w:val="12EB7C69"/>
    <w:rsid w:val="1491AE47"/>
    <w:rsid w:val="189EFE91"/>
    <w:rsid w:val="1952ED9E"/>
    <w:rsid w:val="1B41DB07"/>
    <w:rsid w:val="1B6A005E"/>
    <w:rsid w:val="1C0665C1"/>
    <w:rsid w:val="1DBBE775"/>
    <w:rsid w:val="1DDE05CC"/>
    <w:rsid w:val="1DDE05CC"/>
    <w:rsid w:val="1E84F322"/>
    <w:rsid w:val="1F4929B1"/>
    <w:rsid w:val="201D26C8"/>
    <w:rsid w:val="20A33AB4"/>
    <w:rsid w:val="212F006F"/>
    <w:rsid w:val="228BCDEF"/>
    <w:rsid w:val="236F40F5"/>
    <w:rsid w:val="240ECFA8"/>
    <w:rsid w:val="2493DAB6"/>
    <w:rsid w:val="2603FE46"/>
    <w:rsid w:val="26C96256"/>
    <w:rsid w:val="2760F8FD"/>
    <w:rsid w:val="27BF4F6D"/>
    <w:rsid w:val="28875C77"/>
    <w:rsid w:val="296F8124"/>
    <w:rsid w:val="2A73D6F7"/>
    <w:rsid w:val="2CCDFC8D"/>
    <w:rsid w:val="2CE19ACA"/>
    <w:rsid w:val="2D7F5209"/>
    <w:rsid w:val="2DDB41D1"/>
    <w:rsid w:val="2EF2BBFA"/>
    <w:rsid w:val="3070B2D6"/>
    <w:rsid w:val="31224704"/>
    <w:rsid w:val="321ECCF7"/>
    <w:rsid w:val="3236C9DF"/>
    <w:rsid w:val="32D5B508"/>
    <w:rsid w:val="34E886FD"/>
    <w:rsid w:val="3660B96E"/>
    <w:rsid w:val="37D9B033"/>
    <w:rsid w:val="37F7DA98"/>
    <w:rsid w:val="38BC153C"/>
    <w:rsid w:val="38DC170F"/>
    <w:rsid w:val="3C57E205"/>
    <w:rsid w:val="3D0A9892"/>
    <w:rsid w:val="3D28FB3B"/>
    <w:rsid w:val="3D28FB3B"/>
    <w:rsid w:val="3E192C66"/>
    <w:rsid w:val="3FB4A901"/>
    <w:rsid w:val="3FB4A901"/>
    <w:rsid w:val="3FD79D39"/>
    <w:rsid w:val="41B8FCBB"/>
    <w:rsid w:val="422DA82B"/>
    <w:rsid w:val="42913652"/>
    <w:rsid w:val="4438FB58"/>
    <w:rsid w:val="45883576"/>
    <w:rsid w:val="472F3AEC"/>
    <w:rsid w:val="474BA47E"/>
    <w:rsid w:val="494CBBC5"/>
    <w:rsid w:val="49B72D9D"/>
    <w:rsid w:val="4A446072"/>
    <w:rsid w:val="4B5059E5"/>
    <w:rsid w:val="4D5012F7"/>
    <w:rsid w:val="4D996546"/>
    <w:rsid w:val="4E933E2F"/>
    <w:rsid w:val="4EE09F2F"/>
    <w:rsid w:val="512A032A"/>
    <w:rsid w:val="52694629"/>
    <w:rsid w:val="53F9B009"/>
    <w:rsid w:val="540E1B3B"/>
    <w:rsid w:val="555D2581"/>
    <w:rsid w:val="56A87AAC"/>
    <w:rsid w:val="578A76B9"/>
    <w:rsid w:val="593F41A5"/>
    <w:rsid w:val="5A1CFD60"/>
    <w:rsid w:val="5A7AB5F2"/>
    <w:rsid w:val="5C0D69BA"/>
    <w:rsid w:val="5CEA1AB9"/>
    <w:rsid w:val="5D68E123"/>
    <w:rsid w:val="5DA4B223"/>
    <w:rsid w:val="5DA4B223"/>
    <w:rsid w:val="5E108C08"/>
    <w:rsid w:val="5F290E25"/>
    <w:rsid w:val="5FB2DD95"/>
    <w:rsid w:val="610E9CF5"/>
    <w:rsid w:val="62BE22CC"/>
    <w:rsid w:val="63921918"/>
    <w:rsid w:val="6451CACF"/>
    <w:rsid w:val="646D2CFD"/>
    <w:rsid w:val="66498681"/>
    <w:rsid w:val="66EB105D"/>
    <w:rsid w:val="6773744B"/>
    <w:rsid w:val="67AE9998"/>
    <w:rsid w:val="67F38C3E"/>
    <w:rsid w:val="6853DDF6"/>
    <w:rsid w:val="689E33FC"/>
    <w:rsid w:val="68E35553"/>
    <w:rsid w:val="697F0B48"/>
    <w:rsid w:val="6A238F52"/>
    <w:rsid w:val="6A36C4BF"/>
    <w:rsid w:val="6AA4EE75"/>
    <w:rsid w:val="6B2B2D00"/>
    <w:rsid w:val="6CAD7A1B"/>
    <w:rsid w:val="6CE48FF0"/>
    <w:rsid w:val="6D563170"/>
    <w:rsid w:val="6FC1FE60"/>
    <w:rsid w:val="6FE1609C"/>
    <w:rsid w:val="7050BCB6"/>
    <w:rsid w:val="71773301"/>
    <w:rsid w:val="7597235A"/>
    <w:rsid w:val="76FC4F51"/>
    <w:rsid w:val="775D492F"/>
    <w:rsid w:val="77E7B4A6"/>
    <w:rsid w:val="782BB991"/>
    <w:rsid w:val="782BB991"/>
    <w:rsid w:val="78D73298"/>
    <w:rsid w:val="79AD6DEF"/>
    <w:rsid w:val="79DA6E51"/>
    <w:rsid w:val="7A493403"/>
    <w:rsid w:val="7B6DB6A5"/>
    <w:rsid w:val="7B712D45"/>
    <w:rsid w:val="7CCA2D81"/>
    <w:rsid w:val="7F11E2EC"/>
    <w:rsid w:val="7FD84FFC"/>
    <w:rsid w:val="7FE5B7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1FE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s>
</file>

<file path=word/_rels/footnotes.xml.rels>&#65279;<?xml version="1.0" encoding="utf-8"?><Relationships xmlns="http://schemas.openxmlformats.org/package/2006/relationships"><Relationship Type="http://schemas.openxmlformats.org/officeDocument/2006/relationships/hyperlink" Target="https://www.sciencedirect.com/science/article/pii/S2949753123000383" TargetMode="External" Id="Ree4c0c09d83248b1" /><Relationship Type="http://schemas.openxmlformats.org/officeDocument/2006/relationships/hyperlink" Target="https://www.sciencedirect.com/science/article/abs/pii/S0959378004000378" TargetMode="External" Id="R43e5fd41e3f44f86" /><Relationship Type="http://schemas.openxmlformats.org/officeDocument/2006/relationships/hyperlink" Target="https://www.sciencedirect.com/science/article/abs/pii/S0301421510001928" TargetMode="External" Id="R35ff2ce2af584c6f" /><Relationship Type="http://schemas.openxmlformats.org/officeDocument/2006/relationships/hyperlink" Target="https://iopscience.iop.org/article/10.1088/1742-6596/1495/1/012018/meta" TargetMode="External" Id="Ra0a3a286d8e1447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1F7176"/>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Jami Carroll</dc:creator>
  <keywords/>
  <dc:description/>
  <lastModifiedBy>Jami Carroll</lastModifiedBy>
  <revision>6</revision>
  <dcterms:created xsi:type="dcterms:W3CDTF">2024-05-16T03:15:00.0000000Z</dcterms:created>
  <dcterms:modified xsi:type="dcterms:W3CDTF">2024-05-18T04:09:56.9048177Z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724e6ac5-0e84-491c-8838-b11844917f54_Enabled">
    <vt:lpwstr>true</vt:lpwstr>
  </property>
  <property fmtid="{D5CDD505-2E9C-101B-9397-08002B2CF9AE}" pid="4" name="MSIP_Label_724e6ac5-0e84-491c-8838-b11844917f54_SetDate">
    <vt:lpwstr>2024-05-16T03:15:25Z</vt:lpwstr>
  </property>
  <property fmtid="{D5CDD505-2E9C-101B-9397-08002B2CF9AE}" pid="5" name="MSIP_Label_724e6ac5-0e84-491c-8838-b11844917f54_Method">
    <vt:lpwstr>Standard</vt:lpwstr>
  </property>
  <property fmtid="{D5CDD505-2E9C-101B-9397-08002B2CF9AE}" pid="6" name="MSIP_Label_724e6ac5-0e84-491c-8838-b11844917f54_Name">
    <vt:lpwstr>Protected</vt:lpwstr>
  </property>
  <property fmtid="{D5CDD505-2E9C-101B-9397-08002B2CF9AE}" pid="7" name="MSIP_Label_724e6ac5-0e84-491c-8838-b11844917f54_SiteId">
    <vt:lpwstr>2ba011f1-f50a-44f3-a200-db3ea74e29b7</vt:lpwstr>
  </property>
  <property fmtid="{D5CDD505-2E9C-101B-9397-08002B2CF9AE}" pid="8" name="MSIP_Label_724e6ac5-0e84-491c-8838-b11844917f54_ActionId">
    <vt:lpwstr>790e4934-96ae-4aae-b34c-b1fd18fbd50c</vt:lpwstr>
  </property>
  <property fmtid="{D5CDD505-2E9C-101B-9397-08002B2CF9AE}" pid="9" name="MSIP_Label_724e6ac5-0e84-491c-8838-b11844917f54_ContentBits">
    <vt:lpwstr>0</vt:lpwstr>
  </property>
</Properties>
</file>