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图灵斑图赛题梳理与方向大纲</w:t>
      </w:r>
    </w:p>
    <w:p>
      <w:pPr/>
      <w:r>
        <w:t xml:space="preserve">Oct 17, 2026</w:t>
      </w:r>
      <w:r>
        <w:t xml:space="preserve"> · </w:t>
      </w:r>
      <w:r>
        <w:t xml:space="preserve">@JCjun1990</w:t>
      </w:r>
    </w:p>
    <w:p>
      <w:pPr/>
      <w:r>
        <w:t xml:space="preserve">推荐主线是方向 A「谱域求解器在环」：一个可微的曲面 IMEX 求解器做 PDE 核心，AI 负责加速生成、参数反演和力学调控，一套代码覆盖全部四个任务。</w:t>
      </w:r>
    </w:p>
    <w:p>
      <w:pPr>
        <w:pStyle w:val="Heading2"/>
      </w:pPr>
      <w:r>
        <w:t xml:space="preserve">1. 赛题速览</w:t>
      </w:r>
    </w:p>
    <w:p>
      <w:pPr/>
      <w:r>
        <w:t xml:space="preserve">赛题 AI-MECH-2026-002（江苏省力学学会命题），基准模型是曲面 Gray–Scott 方程，ΔΓ 为 Laplace–Beltrami 算子：</w:t>
      </w:r>
    </w:p>
    <w:p>
      <w:pPr/>
      <w:r>
        <w:rPr>
          <w:b/>
        </w:rPr>
        <w:t xml:space="preserve">∂u/∂t = Du·ΔΓu − uv² + F(1 − u)，∂v/∂t = Dv·ΔΓv + uv² − (F + k)v</w:t>
      </w:r>
    </w:p>
    <w:p>
      <w:pPr/>
      <w:r>
        <w:t xml:space="preserve">给定参数：斑点 F=0.028, k=0.062；条纹 F=0.054, k=0.063；Du=2.78×10⁻⁴，Dv=0.5·Du。建议初值 u₀ = 1 − exp[−6(z − 0.05cos6θ)²]，v₀ = ½·exp[−6(z − 0.05cos6θ)²]（θ、z 为柱坐标）。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4"/>
        <w:gridCol w:w="4920"/>
        <w:gridCol w:w="1235"/>
        <w:gridCol w:w="1411"/>
      </w:tblGrid>
      <w:tr>
        <w:trPr>
          <w:tblHeader/>
        </w:trPr>
        <w:tc>
          <w:tcPr>
            <w:tcW w:w="1794" w:type="dxa"/>
            <w:shd w:val="clear" w:color="auto" w:fill="F2F2F2"/>
          </w:tcPr>
          <w:p>
            <w:pPr/>
            <w:r>
              <w:t xml:space="preserve">任务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输入 → 输出</w:t>
            </w:r>
          </w:p>
        </w:tc>
        <w:tc>
          <w:tcPr>
            <w:tcW w:w="1235" w:type="dxa"/>
            <w:shd w:val="clear" w:color="auto" w:fill="F2F2F2"/>
          </w:tcPr>
          <w:p>
            <w:pPr/>
            <w:r>
              <w:t xml:space="preserve">轮次</w:t>
            </w:r>
          </w:p>
        </w:tc>
        <w:tc>
          <w:tcPr>
            <w:tcW w:w="1411" w:type="dxa"/>
            <w:shd w:val="clear" w:color="auto" w:fill="F2F2F2"/>
          </w:tcPr>
          <w:p>
            <w:pPr/>
            <w:r>
              <w:t xml:space="preserve">权重</w:t>
            </w:r>
          </w:p>
        </w:tc>
      </w:tr>
      <w:tr>
        <w:tc>
          <w:tcPr>
            <w:tcW w:w="1794" w:type="dxa"/>
          </w:tcPr>
          <w:p>
            <w:pPr/>
            <w:r>
              <w:t xml:space="preserve">1 基础生成</w:t>
            </w:r>
          </w:p>
        </w:tc>
        <w:tc>
          <w:tcPr>
            <w:tcW w:w="4920" w:type="dxa"/>
          </w:tcPr>
          <w:p>
            <w:pPr/>
            <w:r>
              <w:t xml:space="preserve">单位球面 + 给定参数 → 稳定斑图</w:t>
            </w:r>
          </w:p>
        </w:tc>
        <w:tc>
          <w:tcPr>
            <w:tcW w:w="1235" w:type="dxa"/>
          </w:tcPr>
          <w:p>
            <w:pPr/>
            <w:r>
              <w:t xml:space="preserve">初赛/复赛</w:t>
            </w:r>
          </w:p>
        </w:tc>
        <w:tc>
          <w:tcPr>
            <w:tcW w:w="1411" w:type="dxa"/>
          </w:tcPr>
          <w:p>
            <w:pPr/>
            <w:r>
              <w:t xml:space="preserve">生成质量 40%（任务 1、2 合计）</w:t>
            </w:r>
          </w:p>
        </w:tc>
      </w:tr>
      <w:tr>
        <w:tc>
          <w:tcPr>
            <w:tcW w:w="1794" w:type="dxa"/>
          </w:tcPr>
          <w:p>
            <w:pPr/>
            <w:r>
              <w:t xml:space="preserve">2 进阶生成</w:t>
            </w:r>
          </w:p>
        </w:tc>
        <w:tc>
          <w:tcPr>
            <w:tcW w:w="4920" w:type="dxa"/>
          </w:tcPr>
          <w:p>
            <w:pPr/>
            <w:r>
              <w:t xml:space="preserve">青蛙网格 frog.mat → 稳定斑图</w:t>
            </w:r>
          </w:p>
        </w:tc>
        <w:tc>
          <w:tcPr>
            <w:tcW w:w="1235" w:type="dxa"/>
          </w:tcPr>
          <w:p>
            <w:pPr/>
            <w:r>
              <w:t xml:space="preserve">初赛/复赛</w:t>
            </w:r>
          </w:p>
        </w:tc>
        <w:tc>
          <w:tcPr>
            <w:tcW w:w="1411" w:type="dxa"/>
          </w:tcPr>
          <w:p>
            <w:pPr/>
            <w:r>
              <w:t xml:space="preserve">同上</w:t>
            </w:r>
          </w:p>
        </w:tc>
      </w:tr>
      <w:tr>
        <w:tc>
          <w:tcPr>
            <w:tcW w:w="1794" w:type="dxa"/>
          </w:tcPr>
          <w:p>
            <w:pPr/>
            <w:r>
              <w:t xml:space="preserve">3 反演设计</w:t>
            </w:r>
          </w:p>
        </w:tc>
        <w:tc>
          <w:tcPr>
            <w:tcW w:w="4920" w:type="dxa"/>
          </w:tcPr>
          <w:p>
            <w:pPr/>
            <w:r>
              <w:t xml:space="preserve">目标斑图 Solution.mat → 反推 (F, k, …)；按类型、波长、方向、缺陷统计匹配，不要求逐点一致</w:t>
            </w:r>
          </w:p>
        </w:tc>
        <w:tc>
          <w:tcPr>
            <w:tcW w:w="1235" w:type="dxa"/>
          </w:tcPr>
          <w:p>
            <w:pPr/>
            <w:r>
              <w:t xml:space="preserve">初赛/复赛</w:t>
            </w:r>
          </w:p>
        </w:tc>
        <w:tc>
          <w:tcPr>
            <w:tcW w:w="1411" w:type="dxa"/>
          </w:tcPr>
          <w:p>
            <w:pPr/>
            <w:r>
              <w:t xml:space="preserve">30%</w:t>
            </w:r>
          </w:p>
        </w:tc>
      </w:tr>
      <w:tr>
        <w:tc>
          <w:tcPr>
            <w:tcW w:w="1794" w:type="dxa"/>
          </w:tcPr>
          <w:p>
            <w:pPr/>
            <w:r>
              <w:t xml:space="preserve">4 力学调控</w:t>
            </w:r>
          </w:p>
        </w:tc>
        <w:tc>
          <w:tcPr>
            <w:tcW w:w="4920" w:type="dxa"/>
          </w:tcPr>
          <w:p>
            <w:pPr/>
            <w:r>
              <w:t xml:space="preserve">引入曲率、生长变形 → 分析影响并设计调控方案达到目标形态</w:t>
            </w:r>
          </w:p>
        </w:tc>
        <w:tc>
          <w:tcPr>
            <w:tcW w:w="1235" w:type="dxa"/>
          </w:tcPr>
          <w:p>
            <w:pPr/>
            <w:r>
              <w:t xml:space="preserve">总决赛</w:t>
            </w:r>
          </w:p>
        </w:tc>
        <w:tc>
          <w:tcPr>
            <w:tcW w:w="1411" w:type="dxa"/>
          </w:tcPr>
          <w:p>
            <w:pPr/>
            <w:r>
              <w:t xml:space="preserve">20%</w:t>
            </w:r>
          </w:p>
        </w:tc>
      </w:tr>
      <w:tr>
        <w:tc>
          <w:tcPr>
            <w:tcW w:w="1794" w:type="dxa"/>
          </w:tcPr>
          <w:p>
            <w:pPr/>
            <w:r>
              <w:t xml:space="preserve">表达/效率/校核</w:t>
            </w:r>
          </w:p>
        </w:tc>
        <w:tc>
          <w:tcPr>
            <w:tcW w:w="4920" w:type="dxa"/>
          </w:tcPr>
          <w:p>
            <w:pPr/>
            <w:r>
              <w:t xml:space="preserve">报告、量纲检查、GPU/CPU 时间</w:t>
            </w:r>
          </w:p>
        </w:tc>
        <w:tc>
          <w:tcPr>
            <w:tcW w:w="1235" w:type="dxa"/>
          </w:tcPr>
          <w:p>
            <w:pPr/>
            <w:r>
              <w:t xml:space="preserve">全程</w:t>
            </w:r>
          </w:p>
        </w:tc>
        <w:tc>
          <w:tcPr>
            <w:tcW w:w="1411" w:type="dxa"/>
          </w:tcPr>
          <w:p>
            <w:pPr/>
            <w:r>
              <w:t xml:space="preserve">10%</w:t>
            </w:r>
          </w:p>
        </w:tc>
      </w:tr>
    </w:tbl>
    <w:p>
      <w:pPr/>
      <w:r>
        <w:t xml:space="preserve">硬约束：</w:t>
      </w:r>
    </w:p>
    <w:p>
      <w:pPr>
        <w:pStyle w:val="ListParagraph"/>
        <w:numPr>
          <w:ilvl w:val="0"/>
          <w:numId w:val="2"/>
        </w:numPr>
      </w:pPr>
      <w:r>
        <w:t xml:space="preserve">方案必须含 AI 方法；纯传统求解器不予采用，但可作基线、对比或融合组件。评分单列「是否与传统求解器耦合、是否有 PDE 残差约束」。</w:t>
      </w:r>
    </w:p>
    <w:p>
      <w:pPr>
        <w:pStyle w:val="ListParagraph"/>
        <w:numPr>
          <w:ilvl w:val="0"/>
          <w:numId w:val="2"/>
        </w:numPr>
      </w:pPr>
      <w:r>
        <w:t xml:space="preserve">只能用 frog.mat 和 Solution.mat；不得用外部标注数据，不得用预训练模型直接出图而不做 PDE 校验。</w:t>
      </w:r>
    </w:p>
    <w:p>
      <w:pPr>
        <w:pStyle w:val="ListParagraph"/>
        <w:numPr>
          <w:ilvl w:val="0"/>
          <w:numId w:val="2"/>
        </w:numPr>
      </w:pPr>
      <w:r>
        <w:t xml:space="preserve">每项必交：可视化、可复现代码、PDE 残差/稳定性/收敛记录、关键公式推导、单位与量纲检查。反演另交参数与对比误差，调控另交前后对比。</w:t>
      </w:r>
    </w:p>
    <w:p>
      <w:pPr>
        <w:pStyle w:val="ListParagraph"/>
        <w:numPr>
          <w:ilvl w:val="0"/>
          <w:numId w:val="2"/>
        </w:numPr>
      </w:pPr>
      <w:r>
        <w:t xml:space="preserve">初赛报告 ≤ 2 页；复赛/总决赛报告 ≥ 1000 字；总决赛 PPT ≤ 20 页。提交物命名 teamName_round_problemID_result.zip。</w:t>
      </w:r>
    </w:p>
    <w:p>
      <w:pPr>
        <w:pStyle w:val="Heading2"/>
      </w:pPr>
      <w:r>
        <w:t xml:space="preserve">2. 数据实测与关键发现</w:t>
      </w:r>
    </w:p>
    <w:p>
      <w:pPr/>
      <w:r>
        <w:t xml:space="preserve">目标斑图不是给定参数下的干净稳态，逐点反演会失败，反演必须走「形态统计 + 正向仿真在环」。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3"/>
        <w:gridCol w:w="7076"/>
      </w:tblGrid>
      <w:tr>
        <w:trPr>
          <w:tblHeader/>
        </w:trPr>
        <w:tc>
          <w:tcPr>
            <w:tcW w:w="2283" w:type="dxa"/>
            <w:shd w:val="clear" w:color="auto" w:fill="F2F2F2"/>
          </w:tcPr>
          <w:p>
            <w:pPr/>
            <w:r>
              <w:t xml:space="preserve">对象</w:t>
            </w:r>
          </w:p>
        </w:tc>
        <w:tc>
          <w:tcPr>
            <w:tcW w:w="7076" w:type="dxa"/>
            <w:shd w:val="clear" w:color="auto" w:fill="F2F2F2"/>
          </w:tcPr>
          <w:p>
            <w:pPr/>
            <w:r>
              <w:t xml:space="preserve">实测事实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frog.mat</w:t>
            </w:r>
          </w:p>
        </w:tc>
        <w:tc>
          <w:tcPr>
            <w:tcW w:w="7076" w:type="dxa"/>
          </w:tcPr>
          <w:p>
            <w:pPr/>
            <w:r>
              <w:t xml:space="preserve">29,010 顶点、29,008 个四边形面；闭合、亏格 0；z 轴朝上；面积 ≈ 6.96；包围盒 1.41 × 1.78 × 0.96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网格尺度</w:t>
            </w:r>
          </w:p>
        </w:tc>
        <w:tc>
          <w:tcPr>
            <w:tcW w:w="7076" w:type="dxa"/>
          </w:tcPr>
          <w:p>
            <w:pPr/>
            <w:r>
              <w:t xml:space="preserve">边长中位数 0.014、最小 0.0012（脚趾）；四边形沿短对角线拆三角后 cotan 有 3.4% 负权重（朴素拆分为 18.7%），robust Laplacian 为 0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量纲</w:t>
            </w:r>
          </w:p>
        </w:tc>
        <w:tc>
          <w:tcPr>
            <w:tcW w:w="7076" w:type="dxa"/>
          </w:tcPr>
          <w:p>
            <w:pPr/>
            <w:r>
              <w:t xml:space="preserve">特征长度 ℓ = √(Du/F) ≈ 0.1；单位球半径 ≈ 10ℓ；青蛙最长尺寸 ≈ 18ℓ、等效半径 ≈ 7.5ℓ；网格边长 ℓ/5～ℓ/6.5，分辨率够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步长</w:t>
            </w:r>
          </w:p>
        </w:tc>
        <w:tc>
          <w:tcPr>
            <w:tcW w:w="7076" w:type="dxa"/>
          </w:tcPr>
          <w:p>
            <w:pPr/>
            <w:r>
              <w:t xml:space="preserve">显式上限 ≈ h²/(4Du) ≈ 1×10⁻³ → 必须用 IMEX；dt = 1 时 CPU 跑 2 万步约 52 s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Solution.mat</w:t>
            </w:r>
          </w:p>
        </w:tc>
        <w:tc>
          <w:tcPr>
            <w:tcW w:w="7076" w:type="dxa"/>
          </w:tcPr>
          <w:p>
            <w:pPr/>
            <w:r>
              <w:t xml:space="preserve">18～21 个大斑块（随阈值），特征波长 λ ≈ 0.41；15% 顶点 v &lt; 0（最低 −0.17）</w:t>
            </w:r>
          </w:p>
        </w:tc>
      </w:tr>
    </w:tbl>
    <w:p>
      <w:pPr/>
      <w:r>
        <w:t xml:space="preserve">三个关键发现：</w:t>
      </w:r>
    </w:p>
    <w:p>
      <w:pPr>
        <w:pStyle w:val="ListParagraph"/>
        <w:numPr>
          <w:ilvl w:val="0"/>
          <w:numId w:val="3"/>
        </w:numPr>
      </w:pPr>
      <w:r>
        <w:t xml:space="preserve">目标斑图不是干净稳态。Gray–Scott 物理上 v ≥ 0，代入任一给定参数时稳态残差与反应项同量级。可能是瞬态快照，或出自不保正的求解器。</w:t>
      </w:r>
    </w:p>
    <w:p>
      <w:pPr>
        <w:pStyle w:val="ListParagraph"/>
        <w:numPr>
          <w:ilvl w:val="0"/>
          <w:numId w:val="3"/>
        </w:numPr>
      </w:pPr>
      <w:r>
        <w:t xml:space="preserve">「斑点参数 + 建议初值」会整体消亡（t ≈ 500 内 v → 0）。此时 F &lt; 4(F+k)²，不存在非平凡均匀平衡点，光滑初值会回落到 (1, 0)，需要局部扰动才能成斑。条纹参数得到 λ ≈ 0.50 的带状纹。</w:t>
      </w:r>
    </w:p>
    <w:p>
      <w:pPr>
        <w:pStyle w:val="ListParagraph"/>
        <w:numPr>
          <w:ilvl w:val="0"/>
          <w:numId w:val="3"/>
        </w:numPr>
      </w:pPr>
      <w:r>
        <w:t xml:space="preserve">逐点反演会失败。把稳态方程当线性回归（PDE-FIND 思路）得 F ≈ 0.035、k ≈ 0.060，但 Du 小了 5 倍；正向仿真得到 360 个小斑点（λ ≈ 0.10），与目标完全不像。</w:t>
      </w:r>
    </w:p>
    <w:p>
      <w:pPr>
        <w:pStyle w:val="Heading2"/>
      </w:pPr>
      <w:r>
        <w:t xml:space="preserve">3. 技术路线（方向 A）</w:t>
      </w:r>
    </w:p>
    <w:p>
      <w:pPr/>
      <w:r>
        <w:drawing>
          <wp:inline distT="0" distB="0" distL="0" distR="0">
            <wp:extent cx="5486400" cy="3518807"/>
            <wp:docPr id="1" name="image1" descr="方向 A 架构 · 几何层 → 求解器 → 三个 AI 模块 → 校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方向 A 架构 · 几何层 → 求解器 → 三个 AI 模块 → 校核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方向 A 架构 · 几何层 → 求解器 → 三个 AI 模块 → 校核</w:t>
      </w:r>
    </w:p>
    <w:p>
      <w:pPr/>
      <w:r>
        <w:t xml:space="preserve">求解器既是数据工厂也是裁判：AI 模块负责提速、反演和调控，候选解全部回到求解器校验后再提交。</w:t>
      </w:r>
    </w:p>
    <w:p>
      <w:pPr>
        <w:pStyle w:val="ListParagraph"/>
        <w:numPr>
          <w:ilvl w:val="0"/>
          <w:numId w:val="4"/>
        </w:numPr>
      </w:pPr>
      <w:r>
        <w:t xml:space="preserve">契合评分：每个 AI 输出都有 PDE 残差，直接对应「融合程度」和「PDE 残差」两项；网络加速求解器，拿效率分。</w:t>
      </w:r>
    </w:p>
    <w:p>
      <w:pPr>
        <w:pStyle w:val="ListParagraph"/>
        <w:numPr>
          <w:ilvl w:val="0"/>
          <w:numId w:val="4"/>
        </w:numPr>
      </w:pPr>
      <w:r>
        <w:t xml:space="preserve">反演对路：统计损失（LB 功率谱、斑点数与面积分布、取向、拓扑特征）对初值和多稳态不敏感，正对应「类型正确、特征匹配」。</w:t>
      </w:r>
    </w:p>
    <w:p>
      <w:pPr>
        <w:pStyle w:val="ListParagraph"/>
        <w:numPr>
          <w:ilvl w:val="0"/>
          <w:numId w:val="4"/>
        </w:numPr>
      </w:pPr>
      <w:r>
        <w:t xml:space="preserve">好解释：曲面上的图灵模态就是 LB 特征函数，色散关系里 k² 换成 LB 特征值；曲率、生长、各向异性的作用都能用线性稳定性讲清。</w:t>
      </w:r>
    </w:p>
    <w:p>
      <w:pPr>
        <w:pStyle w:val="ListParagraph"/>
        <w:numPr>
          <w:ilvl w:val="0"/>
          <w:numId w:val="4"/>
        </w:numPr>
      </w:pPr>
      <w:r>
        <w:t xml:space="preserve">风险可控：PINN 式残差只当损失与校核，不当主求解器，避开 PINN 在长时动力学上的已知短板。</w:t>
      </w:r>
    </w:p>
    <w:p>
      <w:pPr/>
      <w:r>
        <w:t xml:space="preserve">备选：B 以 PINN / Δ-PINN 为主，精度和耗时难保证，适合当反演的附加组件；C 以 Mesh NCA 为主，学到的是更新规则而不是 Gray–Scott 参数，论述不如 A 顺。</w:t>
      </w:r>
    </w:p>
    <w:p>
      <w:pPr>
        <w:pStyle w:val="Heading2"/>
      </w:pPr>
      <w:r>
        <w:t xml:space="preserve">4. 技术栈与硬件分工</w:t>
      </w:r>
    </w:p>
    <w:p>
      <w:pPr/>
      <w:r>
        <w:t xml:space="preserve">选 Python 3.11 + PyTorch：Windows 上原生 CUDA 可用（JAX 只能走 WSL2），Mac 上跑 CPU 版做校核，一套代码两端通用。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4896"/>
        <w:gridCol w:w="3348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层</w:t>
            </w:r>
          </w:p>
        </w:tc>
        <w:tc>
          <w:tcPr>
            <w:tcW w:w="4896" w:type="dxa"/>
            <w:shd w:val="clear" w:color="auto" w:fill="F2F2F2"/>
          </w:tcPr>
          <w:p>
            <w:pPr/>
            <w:r>
              <w:t xml:space="preserve">选择</w:t>
            </w:r>
          </w:p>
        </w:tc>
        <w:tc>
          <w:tcPr>
            <w:tcW w:w="3348" w:type="dxa"/>
            <w:shd w:val="clear" w:color="auto" w:fill="F2F2F2"/>
          </w:tcPr>
          <w:p>
            <w:pPr/>
            <w:r>
              <w:t xml:space="preserve">理由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几何</w:t>
            </w:r>
          </w:p>
        </w:tc>
        <w:tc>
          <w:tcPr>
            <w:tcW w:w="4896" w:type="dxa"/>
          </w:tcPr>
          <w:p>
            <w:pPr/>
            <w:r>
              <w:t xml:space="preserve">NumPy/SciPy；cotan 与 robust-laplacian（内蕴 Delaunay）两种离散</w:t>
            </w:r>
          </w:p>
        </w:tc>
        <w:tc>
          <w:tcPr>
            <w:tcW w:w="3348" w:type="dxa"/>
          </w:tcPr>
          <w:p>
            <w:pPr/>
            <w:r>
              <w:t xml:space="preserve">内蕴 Delaunay 保证权重非负，扩散步保正；也支持点云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线性求解</w:t>
            </w:r>
          </w:p>
        </w:tc>
        <w:tc>
          <w:tcPr>
            <w:tcW w:w="4896" w:type="dxa"/>
          </w:tcPr>
          <w:p>
            <w:pPr/>
            <w:r>
              <w:t xml:space="preserve">CPU：SciPy 稀疏 LU（float64）；GPU：PyTorch 预条件 CG（float32）</w:t>
            </w:r>
          </w:p>
        </w:tc>
        <w:tc>
          <w:tcPr>
            <w:tcW w:w="3348" w:type="dxa"/>
          </w:tcPr>
          <w:p>
            <w:pPr/>
            <w:r>
              <w:t xml:space="preserve">同一接口；LU 精确用于校核，CG 可批量、可上 GPU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可微性</w:t>
            </w:r>
          </w:p>
        </w:tc>
        <w:tc>
          <w:tcPr>
            <w:tcW w:w="4896" w:type="dxa"/>
          </w:tcPr>
          <w:p>
            <w:pPr/>
            <w:r>
              <w:t xml:space="preserve">自定义 autograd：反向再解一次对称系统；长时程用梯度检查点</w:t>
            </w:r>
          </w:p>
        </w:tc>
        <w:tc>
          <w:tcPr>
            <w:tcW w:w="3348" w:type="dxa"/>
          </w:tcPr>
          <w:p>
            <w:pPr/>
            <w:r>
              <w:t xml:space="preserve">对 F、k、Du、Dv 和初值都能求梯度，供反演与调控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可视化</w:t>
            </w:r>
          </w:p>
        </w:tc>
        <w:tc>
          <w:tcPr>
            <w:tcW w:w="4896" w:type="dxa"/>
          </w:tcPr>
          <w:p>
            <w:pPr/>
            <w:r>
              <w:t xml:space="preserve">matplotlib 出图；导出 .ply 给 MeshLab/ParaView</w:t>
            </w:r>
          </w:p>
        </w:tc>
        <w:tc>
          <w:tcPr>
            <w:tcW w:w="3348" w:type="dxa"/>
          </w:tcPr>
          <w:p>
            <w:pPr/>
            <w:r>
              <w:t xml:space="preserve">无额外依赖，跨平台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结果格式</w:t>
            </w:r>
          </w:p>
        </w:tc>
        <w:tc>
          <w:tcPr>
            <w:tcW w:w="4896" w:type="dxa"/>
          </w:tcPr>
          <w:p>
            <w:pPr/>
            <w:r>
              <w:t xml:space="preserve">.npz + 与官方同构的 .mat（Solution.u / Solution.v）</w:t>
            </w:r>
          </w:p>
        </w:tc>
        <w:tc>
          <w:tcPr>
            <w:tcW w:w="3348" w:type="dxa"/>
          </w:tcPr>
          <w:p>
            <w:pPr/>
            <w:r>
              <w:t xml:space="preserve">评委可直接用 MATLAB 打开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8"/>
        <w:gridCol w:w="3899"/>
        <w:gridCol w:w="2671"/>
      </w:tblGrid>
      <w:tr>
        <w:trPr>
          <w:tblHeader/>
        </w:trPr>
        <w:tc>
          <w:tcPr>
            <w:tcW w:w="2788" w:type="dxa"/>
            <w:shd w:val="clear" w:color="auto" w:fill="F2F2F2"/>
          </w:tcPr>
          <w:p>
            <w:pPr/>
            <w:r>
              <w:t xml:space="preserve">机器</w:t>
            </w:r>
          </w:p>
        </w:tc>
        <w:tc>
          <w:tcPr>
            <w:tcW w:w="3899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2671" w:type="dxa"/>
            <w:shd w:val="clear" w:color="auto" w:fill="F2F2F2"/>
          </w:tcPr>
          <w:p>
            <w:pPr/>
            <w:r>
              <w:t xml:space="preserve">精度</w:t>
            </w:r>
          </w:p>
        </w:tc>
      </w:tr>
      <w:tr>
        <w:tc>
          <w:tcPr>
            <w:tcW w:w="2788" w:type="dxa"/>
          </w:tcPr>
          <w:p>
            <w:pPr/>
            <w:r>
              <w:t xml:space="preserve">Mac（Apple M5，16 GB）</w:t>
            </w:r>
          </w:p>
        </w:tc>
        <w:tc>
          <w:tcPr>
            <w:tcW w:w="3899" w:type="dxa"/>
          </w:tcPr>
          <w:p>
            <w:pPr/>
            <w:r>
              <w:t xml:space="preserve">开发、单例校核、残差/稳定性/收敛报告</w:t>
            </w:r>
          </w:p>
        </w:tc>
        <w:tc>
          <w:tcPr>
            <w:tcW w:w="2671" w:type="dxa"/>
          </w:tcPr>
          <w:p>
            <w:pPr/>
            <w:r>
              <w:t xml:space="preserve">float64</w:t>
            </w:r>
          </w:p>
        </w:tc>
      </w:tr>
      <w:tr>
        <w:tc>
          <w:tcPr>
            <w:tcW w:w="2788" w:type="dxa"/>
          </w:tcPr>
          <w:p>
            <w:pPr/>
            <w:r>
              <w:t xml:space="preserve">Windows（RTX 4080，16 GB）</w:t>
            </w:r>
          </w:p>
        </w:tc>
        <w:tc>
          <w:tcPr>
            <w:tcW w:w="3899" w:type="dxa"/>
          </w:tcPr>
          <w:p>
            <w:pPr/>
            <w:r>
              <w:t xml:space="preserve">批量仿真生成训练数据、训练神经算子与反演网络</w:t>
            </w:r>
          </w:p>
        </w:tc>
        <w:tc>
          <w:tcPr>
            <w:tcW w:w="2671" w:type="dxa"/>
          </w:tcPr>
          <w:p>
            <w:pPr/>
            <w:r>
              <w:t xml:space="preserve">float32（4080 的 FP64 吞吐只有 FP32 的 1/64）</w:t>
            </w:r>
          </w:p>
        </w:tc>
      </w:tr>
    </w:tbl>
    <w:p>
      <w:pPr/>
      <w:r>
        <w:t xml:space="preserve">GPU 提速主要来自批量：同一组 Du、Dv 下不同 (F, k) 共用一个系数矩阵，可以多右端一起解。最终提交的残差统一在 float64 下重算。</w:t>
      </w:r>
    </w:p>
    <w:p>
      <w:pPr>
        <w:pStyle w:val="Heading2"/>
      </w:pPr>
      <w:r>
        <w:t xml:space="preserve">5. 分阶段任务清单</w:t>
      </w:r>
    </w:p>
    <w:p>
      <w:pPr/>
      <w:r>
        <w:t xml:space="preserve">阶段 1 正在进行；阶段 1–2 对应初赛/复赛，阶段 3 对应总决赛。</w:t>
      </w:r>
    </w:p>
    <w:p>
      <w:pPr/>
      <w:r>
        <w:t xml:space="preserve">阶段 0 · 梳理与数据实测</w:t>
      </w:r>
    </w:p>
    <w:p>
      <w:pPr>
        <w:pStyle w:val="ListParagraph"/>
        <w:numPr>
          <w:ilvl w:val="0"/>
          <w:numId w:val="5"/>
        </w:numPr>
      </w:pPr>
      <w:r>
        <w:t xml:space="preserve">☒ 读赛题规则、解析 frog.mat / Solution.mat</w:t>
      </w:r>
    </w:p>
    <w:p>
      <w:pPr>
        <w:pStyle w:val="ListParagraph"/>
        <w:numPr>
          <w:ilvl w:val="0"/>
          <w:numId w:val="5"/>
        </w:numPr>
      </w:pPr>
      <w:r>
        <w:t xml:space="preserve">☒ 用给定参数跑传统求解器基线，确认逐点反演失败</w:t>
      </w:r>
    </w:p>
    <w:p>
      <w:pPr/>
      <w:r>
        <w:t xml:space="preserve">阶段 1 · 求解器与基线生成</w:t>
      </w:r>
    </w:p>
    <w:p>
      <w:pPr>
        <w:pStyle w:val="ListParagraph"/>
        <w:numPr>
          <w:ilvl w:val="0"/>
          <w:numId w:val="6"/>
        </w:numPr>
      </w:pPr>
      <w:r>
        <w:t xml:space="preserve">☒ 离散几何层：网格读取、Laplacian、质量矩阵、曲率、LB 特征基</w:t>
      </w:r>
    </w:p>
    <w:p>
      <w:pPr>
        <w:pStyle w:val="ListParagraph"/>
        <w:numPr>
          <w:ilvl w:val="0"/>
          <w:numId w:val="6"/>
        </w:numPr>
      </w:pPr>
      <w:r>
        <w:t xml:space="preserve">☒ 几何校核：球面 LB 特征值对比 l(l+1)，曲率 H = K = 1</w:t>
      </w:r>
    </w:p>
    <w:p>
      <w:pPr>
        <w:pStyle w:val="ListParagraph"/>
        <w:numPr>
          <w:ilvl w:val="0"/>
          <w:numId w:val="6"/>
        </w:numPr>
      </w:pPr>
      <w:r>
        <w:t xml:space="preserve">☒ 可微 IMEX 求解器（一阶/二阶 SBDF，LU 与 CG 两个后端）</w:t>
      </w:r>
    </w:p>
    <w:p>
      <w:pPr>
        <w:pStyle w:val="ListParagraph"/>
        <w:numPr>
          <w:ilvl w:val="0"/>
          <w:numId w:val="6"/>
        </w:numPr>
      </w:pPr>
      <w:r>
        <w:t xml:space="preserve">☒ 求解器校核：时间收敛阶、梯度检查</w:t>
      </w:r>
    </w:p>
    <w:p>
      <w:pPr>
        <w:pStyle w:val="ListParagraph"/>
        <w:numPr>
          <w:ilvl w:val="0"/>
          <w:numId w:val="6"/>
        </w:numPr>
      </w:pPr>
      <w:r>
        <w:t xml:space="preserve">☒ 球面、青蛙 × 斑点、条纹四组基线：扰动初值、残差、收敛记录、线性稳定性</w:t>
      </w:r>
    </w:p>
    <w:p>
      <w:pPr/>
      <w:r>
        <w:t xml:space="preserve">阶段 2 · AI 生成与反演</w:t>
      </w:r>
    </w:p>
    <w:p>
      <w:pPr>
        <w:pStyle w:val="ListParagraph"/>
        <w:numPr>
          <w:ilvl w:val="0"/>
          <w:numId w:val="7"/>
        </w:numPr>
      </w:pPr>
      <w:r>
        <w:t xml:space="preserve">☐ 斑图统计特征：LB 功率谱、斑点数与面积分布、Minkowski 泛函（面积、周长、欧拉示性数）、取向</w:t>
      </w:r>
    </w:p>
    <w:p>
      <w:pPr>
        <w:pStyle w:val="ListParagraph"/>
        <w:numPr>
          <w:ilvl w:val="0"/>
          <w:numId w:val="7"/>
        </w:numPr>
      </w:pPr>
      <w:r>
        <w:t xml:space="preserve">☐ 在 4080 上批量仿真，生成 (F, k, Du, Dv) → 斑图数据集</w:t>
      </w:r>
    </w:p>
    <w:p>
      <w:pPr>
        <w:pStyle w:val="ListParagraph"/>
        <w:numPr>
          <w:ilvl w:val="0"/>
          <w:numId w:val="7"/>
        </w:numPr>
      </w:pPr>
      <w:r>
        <w:t xml:space="preserve">☐ 摊销反演网络：统计特征或 DiffusionNet → 参数</w:t>
      </w:r>
    </w:p>
    <w:p>
      <w:pPr>
        <w:pStyle w:val="ListParagraph"/>
        <w:numPr>
          <w:ilvl w:val="0"/>
          <w:numId w:val="7"/>
        </w:numPr>
      </w:pPr>
      <w:r>
        <w:t xml:space="preserve">☐ 精修：CMA-ES/贝叶斯优化或求解器梯度，配统计损失</w:t>
      </w:r>
    </w:p>
    <w:p>
      <w:pPr>
        <w:pStyle w:val="ListParagraph"/>
        <w:numPr>
          <w:ilvl w:val="0"/>
          <w:numId w:val="7"/>
        </w:numPr>
      </w:pPr>
      <w:r>
        <w:t xml:space="preserve">☐ AI 加速生成：LB 谱空间神经算子大步长预测 + 求解器精修，对比纯求解器耗时</w:t>
      </w:r>
    </w:p>
    <w:p>
      <w:pPr>
        <w:pStyle w:val="ListParagraph"/>
        <w:numPr>
          <w:ilvl w:val="0"/>
          <w:numId w:val="7"/>
        </w:numPr>
      </w:pPr>
      <w:r>
        <w:t xml:space="preserve">☐ 初赛 2 页报告 + 结果包</w:t>
      </w:r>
    </w:p>
    <w:p>
      <w:pPr/>
      <w:r>
        <w:t xml:space="preserve">阶段 3 · 力学调控</w:t>
      </w:r>
    </w:p>
    <w:p>
      <w:pPr>
        <w:pStyle w:val="ListParagraph"/>
        <w:numPr>
          <w:ilvl w:val="0"/>
          <w:numId w:val="8"/>
        </w:numPr>
      </w:pPr>
      <w:r>
        <w:t xml:space="preserve">☐ 曲率耦合：F、k 或 D 随平均/高斯曲率变化，分析类型、尺度、取向</w:t>
      </w:r>
    </w:p>
    <w:p>
      <w:pPr>
        <w:pStyle w:val="ListParagraph"/>
        <w:numPr>
          <w:ilvl w:val="0"/>
          <w:numId w:val="8"/>
        </w:numPr>
      </w:pPr>
      <w:r>
        <w:t xml:space="preserve">☐ 生长：演化曲面（稀释项 + 度量随时间变化），验证模态倍增</w:t>
      </w:r>
    </w:p>
    <w:p>
      <w:pPr>
        <w:pStyle w:val="ListParagraph"/>
        <w:numPr>
          <w:ilvl w:val="0"/>
          <w:numId w:val="8"/>
        </w:numPr>
      </w:pPr>
      <w:r>
        <w:t xml:space="preserve">☐ 各向异性扩散张量控制条纹取向</w:t>
      </w:r>
    </w:p>
    <w:p>
      <w:pPr>
        <w:pStyle w:val="ListParagraph"/>
        <w:numPr>
          <w:ilvl w:val="0"/>
          <w:numId w:val="8"/>
        </w:numPr>
      </w:pPr>
      <w:r>
        <w:t xml:space="preserve">☐ 以目标形态为损失优化调控参数，用 LB 色散关系解释</w:t>
      </w:r>
    </w:p>
    <w:p>
      <w:pPr>
        <w:pStyle w:val="ListParagraph"/>
        <w:numPr>
          <w:ilvl w:val="0"/>
          <w:numId w:val="8"/>
        </w:numPr>
      </w:pPr>
      <w:r>
        <w:t xml:space="preserve">☐ 总决赛 PPT（≤ 20 页）</w:t>
      </w:r>
    </w:p>
    <w:p>
      <w:pPr>
        <w:pStyle w:val="Heading2"/>
      </w:pPr>
      <w:r>
        <w:t xml:space="preserve">6. 待确认问题</w:t>
      </w:r>
    </w:p>
    <w:p>
      <w:pPr/>
      <w:r>
        <w:t xml:space="preserve">第一条决定反演是拟合稳态还是瞬态，建议尽快在 QQ 群（1015596166）问清。</w:t>
      </w:r>
    </w:p>
    <w:p>
      <w:pPr>
        <w:pStyle w:val="ListParagraph"/>
        <w:numPr>
          <w:ilvl w:val="0"/>
          <w:numId w:val="9"/>
        </w:numPr>
      </w:pPr>
      <w:r>
        <w:t xml:space="preserve">☐ Solution.mat 是怎么生成的：终止时间、初值、是否加噪、用了什么求解器？它对应斑点还是条纹目标？</w:t>
      </w:r>
    </w:p>
    <w:p>
      <w:pPr>
        <w:pStyle w:val="ListParagraph"/>
        <w:numPr>
          <w:ilvl w:val="0"/>
          <w:numId w:val="9"/>
        </w:numPr>
      </w:pPr>
      <w:r>
        <w:t xml:space="preserve">☐ 用自己的求解器生成训练数据是否算「外部数据」？（我们理解为允许）</w:t>
      </w:r>
    </w:p>
    <w:p>
      <w:pPr>
        <w:pStyle w:val="ListParagraph"/>
        <w:numPr>
          <w:ilvl w:val="0"/>
          <w:numId w:val="9"/>
        </w:numPr>
      </w:pPr>
      <w:r>
        <w:t xml:space="preserve">☐ 反演只反 (F, k)，还是连 Du、Dv 一起反？</w:t>
      </w:r>
    </w:p>
    <w:p>
      <w:pPr>
        <w:pStyle w:val="ListParagraph"/>
        <w:numPr>
          <w:ilvl w:val="0"/>
          <w:numId w:val="9"/>
        </w:numPr>
      </w:pPr>
      <w:r>
        <w:t xml:space="preserve">☐ 建议初值下斑点参数会消亡，加扰动是否符合要求？</w:t>
      </w:r>
    </w:p>
    <w:p>
      <w:pPr>
        <w:pStyle w:val="ListParagraph"/>
        <w:numPr>
          <w:ilvl w:val="0"/>
          <w:numId w:val="9"/>
        </w:numPr>
      </w:pPr>
      <w:r>
        <w:t xml:space="preserve">☐ 各轮截止日期与提交次数</w:t>
      </w:r>
    </w:p>
    <w:p>
      <w:pPr>
        <w:pStyle w:val="ListParagraph"/>
        <w:numPr>
          <w:ilvl w:val="0"/>
          <w:numId w:val="9"/>
        </w:numPr>
      </w:pPr>
      <w:r>
        <w:t xml:space="preserve">☐ 队内分工：求解器与校核 / AI 生成与反演 / 力学调控与报告</w:t>
      </w:r>
    </w:p>
    <w:p>
      <w:pPr>
        <w:pStyle w:val="Heading2"/>
      </w:pPr>
      <w:r>
        <w:t xml:space="preserve">7. 阶段 1 进展（2026-10-17）</w:t>
      </w:r>
    </w:p>
    <w:p>
      <w:pPr/>
      <w:r>
        <w:t xml:space="preserve">离散几何层、可微 IMEX 求解器和稳态精修已完成并通过校核；四组基线全部完成，球面条纹形态已稳定，只剩约 6e-6 的整体漂移。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5"/>
        <w:gridCol w:w="1017"/>
        <w:gridCol w:w="720"/>
        <w:gridCol w:w="888"/>
        <w:gridCol w:w="1116"/>
        <w:gridCol w:w="4124"/>
      </w:tblGrid>
      <w:tr>
        <w:trPr>
          <w:tblHeader/>
        </w:trPr>
        <w:tc>
          <w:tcPr>
            <w:tcW w:w="1495" w:type="dxa"/>
            <w:shd w:val="clear" w:color="auto" w:fill="F2F2F2"/>
          </w:tcPr>
          <w:p>
            <w:pPr/>
            <w:r>
              <w:t xml:space="preserve">曲面 · 参数</w:t>
            </w:r>
          </w:p>
        </w:tc>
        <w:tc>
          <w:tcPr>
            <w:tcW w:w="1017" w:type="dxa"/>
            <w:shd w:val="clear" w:color="auto" w:fill="F2F2F2"/>
          </w:tcPr>
          <w:p>
            <w:pPr/>
            <w:r>
              <w:t xml:space="preserve">斑图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数量</w:t>
            </w:r>
          </w:p>
        </w:tc>
        <w:tc>
          <w:tcPr>
            <w:tcW w:w="888" w:type="dxa"/>
            <w:shd w:val="clear" w:color="auto" w:fill="F2F2F2"/>
          </w:tcPr>
          <w:p>
            <w:pPr/>
            <w:r>
              <w:t xml:space="preserve">波长 λ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相对残差</w:t>
            </w:r>
          </w:p>
        </w:tc>
        <w:tc>
          <w:tcPr>
            <w:tcW w:w="4124" w:type="dxa"/>
            <w:shd w:val="clear" w:color="auto" w:fill="F2F2F2"/>
          </w:tcPr>
          <w:p>
            <w:pPr/>
            <w:r>
              <w:t xml:space="preserve">稳定性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青蛙 · 斑点</w:t>
            </w:r>
          </w:p>
        </w:tc>
        <w:tc>
          <w:tcPr>
            <w:tcW w:w="1017" w:type="dxa"/>
          </w:tcPr>
          <w:p>
            <w:pPr/>
            <w:r>
              <w:t xml:space="preserve">圆斑</w:t>
            </w:r>
          </w:p>
        </w:tc>
        <w:tc>
          <w:tcPr>
            <w:tcW w:w="720" w:type="dxa"/>
          </w:tcPr>
          <w:p>
            <w:pPr/>
            <w:r>
              <w:t xml:space="preserve">24</w:t>
            </w:r>
          </w:p>
        </w:tc>
        <w:tc>
          <w:tcPr>
            <w:tcW w:w="888" w:type="dxa"/>
          </w:tcPr>
          <w:p>
            <w:pPr/>
            <w:r>
              <w:t xml:space="preserve">0.461</w:t>
            </w:r>
          </w:p>
        </w:tc>
        <w:tc>
          <w:tcPr>
            <w:tcW w:w="1116" w:type="dxa"/>
          </w:tcPr>
          <w:p>
            <w:pPr/>
            <w:r>
              <w:t xml:space="preserve">1.1e-12</w:t>
            </w:r>
          </w:p>
        </w:tc>
        <w:tc>
          <w:tcPr>
            <w:tcW w:w="4124" w:type="dxa"/>
          </w:tcPr>
          <w:p>
            <w:pPr/>
            <w:r>
              <w:t xml:space="preserve">特征值全负，max −1.8e-4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青蛙 · 条纹</w:t>
            </w:r>
          </w:p>
        </w:tc>
        <w:tc>
          <w:tcPr>
            <w:tcW w:w="1017" w:type="dxa"/>
          </w:tcPr>
          <w:p>
            <w:pPr/>
            <w:r>
              <w:t xml:space="preserve">迷宫纹</w:t>
            </w:r>
          </w:p>
        </w:tc>
        <w:tc>
          <w:tcPr>
            <w:tcW w:w="720" w:type="dxa"/>
          </w:tcPr>
          <w:p>
            <w:pPr/>
            <w:r>
              <w:t xml:space="preserve">4 段</w:t>
            </w:r>
          </w:p>
        </w:tc>
        <w:tc>
          <w:tcPr>
            <w:tcW w:w="888" w:type="dxa"/>
          </w:tcPr>
          <w:p>
            <w:pPr/>
            <w:r>
              <w:t xml:space="preserve">0.496</w:t>
            </w:r>
          </w:p>
        </w:tc>
        <w:tc>
          <w:tcPr>
            <w:tcW w:w="1116" w:type="dxa"/>
          </w:tcPr>
          <w:p>
            <w:pPr/>
            <w:r>
              <w:t xml:space="preserve">3.9e-12</w:t>
            </w:r>
          </w:p>
        </w:tc>
        <w:tc>
          <w:tcPr>
            <w:tcW w:w="4124" w:type="dxa"/>
          </w:tcPr>
          <w:p>
            <w:pPr/>
            <w:r>
              <w:t xml:space="preserve">特征值全负，max −1.8e-4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球面 · 斑点</w:t>
            </w:r>
          </w:p>
        </w:tc>
        <w:tc>
          <w:tcPr>
            <w:tcW w:w="1017" w:type="dxa"/>
          </w:tcPr>
          <w:p>
            <w:pPr/>
            <w:r>
              <w:t xml:space="preserve">圆斑</w:t>
            </w:r>
          </w:p>
        </w:tc>
        <w:tc>
          <w:tcPr>
            <w:tcW w:w="720" w:type="dxa"/>
          </w:tcPr>
          <w:p>
            <w:pPr/>
            <w:r>
              <w:t xml:space="preserve">41</w:t>
            </w:r>
          </w:p>
        </w:tc>
        <w:tc>
          <w:tcPr>
            <w:tcW w:w="888" w:type="dxa"/>
          </w:tcPr>
          <w:p>
            <w:pPr/>
            <w:r>
              <w:t xml:space="preserve">0.493</w:t>
            </w:r>
          </w:p>
        </w:tc>
        <w:tc>
          <w:tcPr>
            <w:tcW w:w="1116" w:type="dxa"/>
          </w:tcPr>
          <w:p>
            <w:pPr/>
            <w:r>
              <w:t xml:space="preserve">4.1e-6</w:t>
            </w:r>
          </w:p>
        </w:tc>
        <w:tc>
          <w:tcPr>
            <w:tcW w:w="4124" w:type="dxa"/>
          </w:tcPr>
          <w:p>
            <w:pPr/>
            <w:r>
              <w:t xml:space="preserve">3 个近零旋转模（≈ −1e-5），其余 ≤ −2.7e-4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球面 · 条纹</w:t>
            </w:r>
          </w:p>
        </w:tc>
        <w:tc>
          <w:tcPr>
            <w:tcW w:w="1017" w:type="dxa"/>
          </w:tcPr>
          <w:p>
            <w:pPr/>
            <w:r>
              <w:t xml:space="preserve">迷宫纹，形态已稳定</w:t>
            </w:r>
          </w:p>
        </w:tc>
        <w:tc>
          <w:tcPr>
            <w:tcW w:w="720" w:type="dxa"/>
          </w:tcPr>
          <w:p>
            <w:pPr/>
            <w:r>
              <w:t xml:space="preserve">3 段</w:t>
            </w:r>
          </w:p>
        </w:tc>
        <w:tc>
          <w:tcPr>
            <w:tcW w:w="888" w:type="dxa"/>
          </w:tcPr>
          <w:p>
            <w:pPr/>
            <w:r>
              <w:t xml:space="preserve">0.467</w:t>
            </w:r>
          </w:p>
        </w:tc>
        <w:tc>
          <w:tcPr>
            <w:tcW w:w="1116" w:type="dxa"/>
          </w:tcPr>
          <w:p>
            <w:pPr/>
            <w:r>
              <w:t xml:space="preserve">2.0e-4</w:t>
            </w:r>
          </w:p>
        </w:tc>
        <w:tc>
          <w:tcPr>
            <w:tcW w:w="4124" w:type="dxa"/>
          </w:tcPr>
          <w:p>
            <w:pPr/>
            <w:r>
              <w:t xml:space="preserve">3 个近零旋转模，其余 ≤ −1.2e-4；t = 40 万时 |du/dt| 停在 6e-6，推测为整体缓慢转动</w:t>
            </w:r>
          </w:p>
        </w:tc>
      </w:tr>
    </w:tbl>
    <w:p>
      <w:pPr/>
      <w:r>
        <w:drawing>
          <wp:inline distT="0" distB="0" distL="0" distR="0">
            <wp:extent cx="5486400" cy="6035040"/>
            <wp:docPr id="2" name="image2" descr="球面与青蛙 × 斑点、条纹四组基线的 v 场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球面与青蛙 × 斑点、条纹四组基线的 v 场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</w:pPr>
      <w:r>
        <w:t xml:space="preserve">校核：球面 LB 特征值收敛阶 1.97；SBDF1 / SBDF2 时间收敛阶 1.04 / 1.99；LU 与 CG 一致到 1e-10；对 F、k、Du、Dv 和初值的梯度检查通过。</w:t>
      </w:r>
    </w:p>
    <w:p>
      <w:pPr>
        <w:pStyle w:val="ListParagraph"/>
        <w:numPr>
          <w:ilvl w:val="0"/>
          <w:numId w:val="10"/>
        </w:numPr>
      </w:pPr>
      <w:r>
        <w:t xml:space="preserve">初值：建议初值在斑点参数下整体消亡；青蛙 z 仅 ±0.48，条带覆盖全身。采用「z 按半高归一化 + 局部播种 + 5% 平滑噪声，固定种子」，3 个随机种子在两种曲面上都稳定成斑。</w:t>
      </w:r>
    </w:p>
    <w:p>
      <w:pPr>
        <w:pStyle w:val="ListParagraph"/>
        <w:numPr>
          <w:ilvl w:val="0"/>
          <w:numId w:val="10"/>
        </w:numPr>
      </w:pPr>
      <w:r>
        <w:t xml:space="preserve">目标对比：Solution.mat 同样判为斑点（18 个，λ = 0.408），但 v 峰值 0.68 远高于稳态的 0.38，在给定斑点参数下残差约为 1，不是该参数的稳态，是阶段 2 反演的起点。</w:t>
      </w:r>
    </w:p>
    <w:p>
      <w:pPr>
        <w:pStyle w:val="ListParagraph"/>
        <w:numPr>
          <w:ilvl w:val="0"/>
          <w:numId w:val="10"/>
        </w:numPr>
      </w:pPr>
      <w:r>
        <w:t xml:space="preserve">GPU：4080 上的批量 CG 速度尚未实测，对应命令见 README。</w:t>
      </w:r>
    </w:p>
    <w:p>
      <w:pPr>
        <w:pStyle w:val="ListParagraph"/>
        <w:numPr>
          <w:ilvl w:val="0"/>
          <w:numId w:val="10"/>
        </w:numPr>
      </w:pPr>
      <w:r>
        <w:t xml:space="preserve">代码在项目目录 turing_rd/ 与 scripts/，结果在 results/，方法与校核细节见 README.md。</w:t>
      </w:r>
    </w:p>
    <w:p>
      <w:pPr>
        <w:pStyle w:val="Heading2"/>
      </w:pPr>
      <w:r>
        <w:t xml:space="preserve">8. 文献地图</w:t>
      </w:r>
    </w:p>
    <w:p>
      <w:pPr/>
      <w:r>
        <w:t xml:space="preserve">★ 为必读，共 13 篇；先读 Pearson、Krause、Solver-in-the-Loop 和 Kazarnikov 四篇，对应方向 A 的四块。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4920"/>
        <w:gridCol w:w="3324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文献</w:t>
            </w:r>
          </w:p>
        </w:tc>
        <w:tc>
          <w:tcPr>
            <w:tcW w:w="3324" w:type="dxa"/>
            <w:shd w:val="clear" w:color="auto" w:fill="F2F2F2"/>
          </w:tcPr>
          <w:p>
            <w:pPr/>
            <w:r>
              <w:t xml:space="preserve">为什么读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理论</w:t>
            </w:r>
          </w:p>
        </w:tc>
        <w:tc>
          <w:tcPr>
            <w:tcW w:w="4920" w:type="dxa"/>
          </w:tcPr>
          <w:p>
            <w:pPr/>
            <w:r>
              <w:t xml:space="preserve">★ Turing (1952) Phil. Trans. R. Soc. B 237:37–72</w:t>
            </w:r>
          </w:p>
        </w:tc>
        <w:tc>
          <w:tcPr>
            <w:tcW w:w="3324" w:type="dxa"/>
          </w:tcPr>
          <w:p>
            <w:pPr/>
            <w:r>
              <w:t xml:space="preserve">扩散驱动失稳的起点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理论</w:t>
            </w:r>
          </w:p>
        </w:tc>
        <w:tc>
          <w:tcPr>
            <w:tcW w:w="4920" w:type="dxa"/>
          </w:tcPr>
          <w:p>
            <w:pPr/>
            <w:r>
              <w:t xml:space="preserve">★ Pearson (1993) Complex patterns in a simple system, Science 261:189</w:t>
            </w:r>
          </w:p>
        </w:tc>
        <w:tc>
          <w:tcPr>
            <w:tcW w:w="3324" w:type="dxa"/>
          </w:tcPr>
          <w:p>
            <w:pPr/>
            <w:r>
              <w:t xml:space="preserve">Gray–Scott 的 (F, k) 相图，反演的「地图」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理论</w:t>
            </w:r>
          </w:p>
        </w:tc>
        <w:tc>
          <w:tcPr>
            <w:tcW w:w="4920" w:type="dxa"/>
          </w:tcPr>
          <w:p>
            <w:pPr/>
            <w:r>
              <w:t xml:space="preserve">★ Kondo &amp; Miura (2010) Science 329:1616</w:t>
            </w:r>
          </w:p>
        </w:tc>
        <w:tc>
          <w:tcPr>
            <w:tcW w:w="3324" w:type="dxa"/>
          </w:tcPr>
          <w:p>
            <w:pPr/>
            <w:r>
              <w:t xml:space="preserve">生物图灵斑图综述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理论</w:t>
            </w:r>
          </w:p>
        </w:tc>
        <w:tc>
          <w:tcPr>
            <w:tcW w:w="4920" w:type="dxa"/>
          </w:tcPr>
          <w:p>
            <w:pPr/>
            <w:r>
              <w:t xml:space="preserve">Gierer &amp; Meinhardt (1972) Kybernetik 12:30</w:t>
            </w:r>
          </w:p>
        </w:tc>
        <w:tc>
          <w:tcPr>
            <w:tcW w:w="3324" w:type="dxa"/>
          </w:tcPr>
          <w:p>
            <w:pPr/>
            <w:r>
              <w:t xml:space="preserve">短程激活、长程抑制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理论</w:t>
            </w:r>
          </w:p>
        </w:tc>
        <w:tc>
          <w:tcPr>
            <w:tcW w:w="4920" w:type="dxa"/>
          </w:tcPr>
          <w:p>
            <w:pPr/>
            <w:r>
              <w:t xml:space="preserve">Cross &amp; Hohenberg (1993) Rev. Mod. Phys. 65:851</w:t>
            </w:r>
          </w:p>
        </w:tc>
        <w:tc>
          <w:tcPr>
            <w:tcW w:w="3324" w:type="dxa"/>
          </w:tcPr>
          <w:p>
            <w:pPr/>
            <w:r>
              <w:t xml:space="preserve">斑图类型、波长、缺陷的语言，对应评分指标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曲面数值</w:t>
            </w:r>
          </w:p>
        </w:tc>
        <w:tc>
          <w:tcPr>
            <w:tcW w:w="4920" w:type="dxa"/>
          </w:tcPr>
          <w:p>
            <w:pPr/>
            <w:r>
              <w:t xml:space="preserve">★ Turk (1991) SIGGRAPH</w:t>
            </w:r>
          </w:p>
        </w:tc>
        <w:tc>
          <w:tcPr>
            <w:tcW w:w="3324" w:type="dxa"/>
          </w:tcPr>
          <w:p>
            <w:pPr/>
            <w:r>
              <w:t xml:space="preserve">在任意网格上生成反应扩散纹理的开山之作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曲面数值</w:t>
            </w:r>
          </w:p>
        </w:tc>
        <w:tc>
          <w:tcPr>
            <w:tcW w:w="4920" w:type="dxa"/>
          </w:tcPr>
          <w:p>
            <w:pPr/>
            <w:r>
              <w:t xml:space="preserve">★ Dziuk &amp; Elliott (2013) Acta Numerica 22:289</w:t>
            </w:r>
          </w:p>
        </w:tc>
        <w:tc>
          <w:tcPr>
            <w:tcW w:w="3324" w:type="dxa"/>
          </w:tcPr>
          <w:p>
            <w:pPr/>
            <w:r>
              <w:t xml:space="preserve">曲面有限元权威综述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曲面数值</w:t>
            </w:r>
          </w:p>
        </w:tc>
        <w:tc>
          <w:tcPr>
            <w:tcW w:w="49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Shankar, Wright 等 (2015) J. Sci. Comput.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RBF-FD，用的就是 AIM@SHAPE 青蛙模型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曲面数值</w:t>
            </w:r>
          </w:p>
        </w:tc>
        <w:tc>
          <w:tcPr>
            <w:tcW w:w="4920" w:type="dxa"/>
          </w:tcPr>
          <w:p>
            <w:pPr/>
            <w:r>
              <w:t xml:space="preserve">Bunge 等 (2020) Polygon Laplacian Made Simple, CGF</w:t>
            </w:r>
          </w:p>
        </w:tc>
        <w:tc>
          <w:tcPr>
            <w:tcW w:w="3324" w:type="dxa"/>
          </w:tcPr>
          <w:p>
            <w:pPr/>
            <w:r>
              <w:t xml:space="preserve">四边形网格上的 Laplacian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曲面数值</w:t>
            </w:r>
          </w:p>
        </w:tc>
        <w:tc>
          <w:tcPr>
            <w:tcW w:w="4920" w:type="dxa"/>
          </w:tcPr>
          <w:p>
            <w:pPr/>
            <w:r>
              <w:t xml:space="preserve">Vallet &amp; Lévy (2008) Manifold Harmonics</w:t>
            </w:r>
          </w:p>
        </w:tc>
        <w:tc>
          <w:tcPr>
            <w:tcW w:w="3324" w:type="dxa"/>
          </w:tcPr>
          <w:p>
            <w:pPr/>
            <w:r>
              <w:t xml:space="preserve">LB 特征基，曲面上的「傅里叶基」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力学调控</w:t>
            </w:r>
          </w:p>
        </w:tc>
        <w:tc>
          <w:tcPr>
            <w:tcW w:w="4920" w:type="dxa"/>
          </w:tcPr>
          <w:p>
            <w:pPr/>
            <w:r>
              <w:t xml:space="preserve">★ </w:t>
            </w:r>
            <w:hyperlink r:id="rId6" w:history="1">
              <w:r>
                <w:rPr>
                  <w:rStyle w:val="Hyperlink"/>
                </w:rPr>
                <w:t xml:space="preserve">Krause, Ellis &amp; Van Gorder (2019) Bull. Math. Biol. 81:759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曲率、生长、各向异性对曲面斑图的影响，近乎任务 4 的题面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力学调控</w:t>
            </w:r>
          </w:p>
        </w:tc>
        <w:tc>
          <w:tcPr>
            <w:tcW w:w="4920" w:type="dxa"/>
          </w:tcPr>
          <w:p>
            <w:pPr/>
            <w:r>
              <w:t xml:space="preserve">★ Crampin, Gaffney &amp; Maini (1999) Bull. Math. Biol. 61:1093</w:t>
            </w:r>
          </w:p>
        </w:tc>
        <w:tc>
          <w:tcPr>
            <w:tcW w:w="3324" w:type="dxa"/>
          </w:tcPr>
          <w:p>
            <w:pPr/>
            <w:r>
              <w:t xml:space="preserve">区域生长导致模态倍增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力学调控</w:t>
            </w:r>
          </w:p>
        </w:tc>
        <w:tc>
          <w:tcPr>
            <w:tcW w:w="49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Nishide &amp; Ishihara (2022) PRL 128:224101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曲率驱动斑图移动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力学调控</w:t>
            </w:r>
          </w:p>
        </w:tc>
        <w:tc>
          <w:tcPr>
            <w:tcW w:w="4920" w:type="dxa"/>
          </w:tcPr>
          <w:p>
            <w:pPr/>
            <w:r>
              <w:t xml:space="preserve">Hiscock &amp; Megason (2015) Cell Systems 1:408</w:t>
            </w:r>
          </w:p>
        </w:tc>
        <w:tc>
          <w:tcPr>
            <w:tcW w:w="3324" w:type="dxa"/>
          </w:tcPr>
          <w:p>
            <w:pPr/>
            <w:r>
              <w:t xml:space="preserve">用各向异性控制条纹取向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力学调控</w:t>
            </w:r>
          </w:p>
        </w:tc>
        <w:tc>
          <w:tcPr>
            <w:tcW w:w="4920" w:type="dxa"/>
          </w:tcPr>
          <w:p>
            <w:pPr/>
            <w:r>
              <w:t xml:space="preserve">Barreira, Elliott &amp; Madzvamuse (2011) J. Math. Biol. 63:1095</w:t>
            </w:r>
          </w:p>
        </w:tc>
        <w:tc>
          <w:tcPr>
            <w:tcW w:w="3324" w:type="dxa"/>
          </w:tcPr>
          <w:p>
            <w:pPr/>
            <w:r>
              <w:t xml:space="preserve">演化曲面上的斑图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★ Raissi, Perdikaris &amp; Karniadakis (2019) PINNs, JCP 378:686</w:t>
            </w:r>
          </w:p>
        </w:tc>
        <w:tc>
          <w:tcPr>
            <w:tcW w:w="3324" w:type="dxa"/>
          </w:tcPr>
          <w:p>
            <w:pPr/>
            <w:r>
              <w:t xml:space="preserve">物理信息神经网络基础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★ Li 等 (2021) FNO, ICLR</w:t>
            </w:r>
          </w:p>
        </w:tc>
        <w:tc>
          <w:tcPr>
            <w:tcW w:w="3324" w:type="dxa"/>
          </w:tcPr>
          <w:p>
            <w:pPr/>
            <w:r>
              <w:t xml:space="preserve">神经算子基础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★ Um 等 (2020) Solver-in-the-Loop, NeurIPS</w:t>
            </w:r>
          </w:p>
        </w:tc>
        <w:tc>
          <w:tcPr>
            <w:tcW w:w="3324" w:type="dxa"/>
          </w:tcPr>
          <w:p>
            <w:pPr/>
            <w:r>
              <w:t xml:space="preserve">学习修正 + 传统求解器，方向 A 的范式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★ Sharp 等 (2022) DiffusionNet, ACM TOG</w:t>
            </w:r>
          </w:p>
        </w:tc>
        <w:tc>
          <w:tcPr>
            <w:tcW w:w="3324" w:type="dxa"/>
          </w:tcPr>
          <w:p>
            <w:pPr/>
            <w:r>
              <w:t xml:space="preserve">跨网格/点云的曲面网络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Pfaff 等 (2021) MeshGraphNets, ICLR</w:t>
            </w:r>
          </w:p>
        </w:tc>
        <w:tc>
          <w:tcPr>
            <w:tcW w:w="3324" w:type="dxa"/>
          </w:tcPr>
          <w:p>
            <w:pPr/>
            <w:r>
              <w:t xml:space="preserve">网格上学模拟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Chen 等 (2024) NORM, National Science Open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在 LB 特征子空间做神经算子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Sahli Costabal 等 (2024) Δ-PINNs, EAAI 127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LB 特征函数做 PINN 位置编码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Holl, Koltun &amp; Thuerey (2020) ICLR</w:t>
            </w:r>
          </w:p>
        </w:tc>
        <w:tc>
          <w:tcPr>
            <w:tcW w:w="3324" w:type="dxa"/>
          </w:tcPr>
          <w:p>
            <w:pPr/>
            <w:r>
              <w:t xml:space="preserve">用可微物理做 PDE 控制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AI-PDE</w:t>
            </w:r>
          </w:p>
        </w:tc>
        <w:tc>
          <w:tcPr>
            <w:tcW w:w="4920" w:type="dxa"/>
          </w:tcPr>
          <w:p>
            <w:pPr/>
            <w:r>
              <w:t xml:space="preserve">Krishnapriyan 等 (2021) NeurIPS；</w:t>
            </w:r>
            <w:hyperlink r:id="rId10" w:history="1">
              <w:r>
                <w:rPr>
                  <w:rStyle w:val="Hyperlink"/>
                </w:rPr>
                <w:t xml:space="preserve">Wang 等 Respecting causality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PINN 在长时动力学上的失效与对策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r>
              <w:t xml:space="preserve">★ Rudy 等 (2017) PDE-FIND, Sci. Adv. 3:e1602614</w:t>
            </w:r>
          </w:p>
        </w:tc>
        <w:tc>
          <w:tcPr>
            <w:tcW w:w="3324" w:type="dxa"/>
          </w:tcPr>
          <w:p>
            <w:pPr/>
            <w:r>
              <w:t xml:space="preserve">稀疏回归识别 PDE，作对照基线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r>
              <w:t xml:space="preserve">★ </w:t>
            </w:r>
            <w:hyperlink r:id="rId11" w:history="1">
              <w:r>
                <w:rPr>
                  <w:rStyle w:val="Hyperlink"/>
                </w:rPr>
                <w:t xml:space="preserve">Kazarnikov &amp; Haario (2020) J. Theor. Biol. 501:110319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相关积分似然，不依赖初值的统计反演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Schnörr &amp; Schnörr (2023) Machine Learning 112:3151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从单张斑图预测参数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Matas-Gil &amp; Endres (2024) iScience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PINN 反演图灵斑图，抗噪声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Mordvintsev 等 (2021) Differentiable Programming of RD Patterns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可微反应扩散 + 纹理损失做反向设计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Pajouheshgar 等 (2024) Mesh NCA, ACM TOG 43(4)</w:t>
              </w:r>
            </w:hyperlink>
          </w:p>
        </w:tc>
        <w:tc>
          <w:tcPr>
            <w:tcW w:w="3324" w:type="dxa"/>
          </w:tcPr>
          <w:p>
            <w:pPr/>
            <w:r>
              <w:t xml:space="preserve">网格上直接生成纹理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反演</w:t>
            </w:r>
          </w:p>
        </w:tc>
        <w:tc>
          <w:tcPr>
            <w:tcW w:w="4920" w:type="dxa"/>
          </w:tcPr>
          <w:p>
            <w:pPr/>
            <w:r>
              <w:t xml:space="preserve">McGuirl, Volkening &amp; Sandstede (2020) PNAS 117:5113</w:t>
            </w:r>
          </w:p>
        </w:tc>
        <w:tc>
          <w:tcPr>
            <w:tcW w:w="3324" w:type="dxa"/>
          </w:tcPr>
          <w:p>
            <w:pPr/>
            <w:r>
              <w:t xml:space="preserve">拓扑数据分析量化斑图缺陷</w:t>
            </w:r>
          </w:p>
        </w:tc>
      </w:tr>
    </w:tbl>
    <w:p>
      <w:pPr/>
      <w:r>
        <w:t xml:space="preserve">前沿预印本（未经同行评议）：</w:t>
      </w:r>
      <w:hyperlink r:id="rId16" w:history="1">
        <w:r>
          <w:rPr>
            <w:rStyle w:val="Hyperlink"/>
          </w:rPr>
          <w:t xml:space="preserve">IM-PINN, arXiv 2601.00834</w:t>
        </w:r>
      </w:hyperlink>
      <w:r>
        <w:t xml:space="preserve">，在黎曼流形上用 PINN 求 Gray–Scott 斑图。未加链接的条目为经典文献，按作者与年份检索即可。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arxiv.org/pdf/1404.0812" TargetMode="External"/><Relationship Id="rId6" Type="http://schemas.openxmlformats.org/officeDocument/2006/relationships/hyperlink" Target="https://www.ncbi.nlm.nih.gov/pmc/articles/PMC6373535/" TargetMode="External"/><Relationship Id="rId7" Type="http://schemas.openxmlformats.org/officeDocument/2006/relationships/hyperlink" Target="https://arxiv.org/pdf/2205.08064" TargetMode="External"/><Relationship Id="rId8" Type="http://schemas.openxmlformats.org/officeDocument/2006/relationships/hyperlink" Target="https://www.nso-journal.org/10.1360/nso/20240001" TargetMode="External"/><Relationship Id="rId9" Type="http://schemas.openxmlformats.org/officeDocument/2006/relationships/hyperlink" Target="https://arxiv.org/pdf/2209.03984" TargetMode="External"/><Relationship Id="rId10" Type="http://schemas.openxmlformats.org/officeDocument/2006/relationships/hyperlink" Target="https://arxiv.org/abs/2203.07404v1" TargetMode="External"/><Relationship Id="rId11" Type="http://schemas.openxmlformats.org/officeDocument/2006/relationships/hyperlink" Target="https://lutpub.lut.fi/handle/10024/161231" TargetMode="External"/><Relationship Id="rId12" Type="http://schemas.openxmlformats.org/officeDocument/2006/relationships/hyperlink" Target="https://www.ncbi.nlm.nih.gov/pmc/articles/PMC10415500/" TargetMode="External"/><Relationship Id="rId13" Type="http://schemas.openxmlformats.org/officeDocument/2006/relationships/hyperlink" Target="https://www.ncbi.nlm.nih.gov/pmc/articles/PMC11140185/" TargetMode="External"/><Relationship Id="rId14" Type="http://schemas.openxmlformats.org/officeDocument/2006/relationships/hyperlink" Target="https://arxiv.org/abs/2107.06862" TargetMode="External"/><Relationship Id="rId15" Type="http://schemas.openxmlformats.org/officeDocument/2006/relationships/hyperlink" Target="https://arxiv.org/abs/2311.02820v2" TargetMode="External"/><Relationship Id="rId16" Type="http://schemas.openxmlformats.org/officeDocument/2006/relationships/hyperlink" Target="https://arxiv.org/pdf/2601.0083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图灵斑图赛题梳理与方向大纲</dc:title>
  <dc:description>Claude Docs node/b62755d1-d076@20 docx-w7</dc:description>
  <cp:revision>20</cp:revision>
</cp:coreProperties>
</file>