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0CA3" w14:textId="71626FD2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>Universidad de San Carlos de Guatemala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   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José Pablo Colindres Orellana</w:t>
      </w:r>
    </w:p>
    <w:p w14:paraId="7CFDE327" w14:textId="68468462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 xml:space="preserve">Facultad de Ingeniería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   201602713</w:t>
      </w:r>
    </w:p>
    <w:p w14:paraId="72E8231D" w14:textId="2FB074CC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>Escuela de Ciencias y Sistemas</w:t>
      </w:r>
    </w:p>
    <w:p w14:paraId="743C3664" w14:textId="2CCE7408" w:rsidR="00F61944" w:rsidRPr="003C2F16" w:rsidRDefault="00F61944" w:rsidP="003C2F16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 xml:space="preserve">Teoría de Sistemas 2 – A </w:t>
      </w:r>
    </w:p>
    <w:p w14:paraId="1AC71F83" w14:textId="22CF829F" w:rsidR="00F61944" w:rsidRPr="00B248D7" w:rsidRDefault="00F61944" w:rsidP="00F61944">
      <w:pPr>
        <w:pStyle w:val="IntenseQuote"/>
        <w:rPr>
          <w:rStyle w:val="fontstyle01"/>
          <w:rFonts w:asciiTheme="minorHAnsi" w:hAnsiTheme="minorHAnsi"/>
          <w:color w:val="4472C4" w:themeColor="accent1"/>
        </w:rPr>
      </w:pPr>
      <w:r w:rsidRPr="00B248D7">
        <w:rPr>
          <w:rStyle w:val="fontstyle01"/>
          <w:rFonts w:asciiTheme="minorHAnsi" w:hAnsiTheme="minorHAnsi"/>
          <w:color w:val="4472C4" w:themeColor="accent1"/>
        </w:rPr>
        <w:t>Tarea No. 3</w:t>
      </w:r>
    </w:p>
    <w:p w14:paraId="5C736B3E" w14:textId="164D4E5E" w:rsidR="00F61944" w:rsidRPr="00B248D7" w:rsidRDefault="00F61944">
      <w:pPr>
        <w:rPr>
          <w:rStyle w:val="BookTitle"/>
        </w:rPr>
      </w:pPr>
      <w:r w:rsidRPr="00B248D7">
        <w:rPr>
          <w:rStyle w:val="BookTitle"/>
        </w:rPr>
        <w:t>Investigar sobre el plan de gestión de la configuración en un proyecto</w:t>
      </w:r>
    </w:p>
    <w:p w14:paraId="2CA74F86" w14:textId="117EAAD9" w:rsidR="00247F15" w:rsidRPr="00B248D7" w:rsidRDefault="00247F15" w:rsidP="003C2F16">
      <w:pPr>
        <w:pStyle w:val="NoSpacing"/>
        <w:jc w:val="both"/>
        <w:rPr>
          <w:noProof/>
          <w:lang w:val="es-GT"/>
        </w:rPr>
      </w:pPr>
      <w:r w:rsidRPr="00B248D7">
        <w:rPr>
          <w:noProof/>
          <w:lang w:val="es-GT"/>
        </w:rPr>
        <w:t>Describe la manera en que la información sobre los elementos del</w:t>
      </w:r>
      <w:r w:rsidRPr="00B248D7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proyecto, así como cuáles elementos,</w:t>
      </w:r>
      <w:r w:rsidRPr="00B248D7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serán registrados y actualizados de modo que el producto, servicio o</w:t>
      </w:r>
      <w:r w:rsidRPr="00B248D7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resultado del proyecto se mantenga</w:t>
      </w:r>
      <w:r w:rsidRPr="00B248D7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consistente y/u operativo.</w:t>
      </w:r>
      <w:r w:rsidR="003C2F16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Como regla general, el plan de gestión de la configuración de cada proyecto debería</w:t>
      </w:r>
      <w:r w:rsidRPr="00B248D7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definir qué objetos del proyecto deberían someterse al control de la configuración. Cualquier cambio en un elemento de</w:t>
      </w:r>
      <w:r w:rsidRPr="00B248D7">
        <w:rPr>
          <w:noProof/>
          <w:lang w:val="es-GT"/>
        </w:rPr>
        <w:t xml:space="preserve"> </w:t>
      </w:r>
      <w:r w:rsidRPr="00B248D7">
        <w:rPr>
          <w:noProof/>
          <w:lang w:val="es-GT"/>
        </w:rPr>
        <w:t>configuración debería controlarse formalmente y requerirá una solicitud de cambio.</w:t>
      </w:r>
    </w:p>
    <w:p w14:paraId="7A0504D7" w14:textId="306B2858" w:rsidR="00247F15" w:rsidRPr="00B248D7" w:rsidRDefault="00247F15" w:rsidP="003C2F16">
      <w:pPr>
        <w:jc w:val="both"/>
        <w:rPr>
          <w:rFonts w:cstheme="minorHAnsi"/>
          <w:color w:val="242021"/>
        </w:rPr>
      </w:pPr>
    </w:p>
    <w:p w14:paraId="19F778B6" w14:textId="24DE1AAF" w:rsidR="00652460" w:rsidRPr="00B248D7" w:rsidRDefault="00B248D7" w:rsidP="003C2F16">
      <w:p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Las actividades consideradas para la gestión de la configuración son las siguientes:</w:t>
      </w:r>
    </w:p>
    <w:p w14:paraId="77B283D6" w14:textId="63452CBE" w:rsidR="00B248D7" w:rsidRPr="00B248D7" w:rsidRDefault="00B248D7" w:rsidP="003C2F16">
      <w:pPr>
        <w:pStyle w:val="ListParagraph"/>
        <w:numPr>
          <w:ilvl w:val="0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 xml:space="preserve">Identificación: describe como identificar, nombrar y documentar las características físicas y funcionales de los componentes de configuración. Esta incorpora los siguientes componentes. </w:t>
      </w:r>
    </w:p>
    <w:p w14:paraId="3973AC16" w14:textId="3741C8D9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Identificación de componentes de configuración.</w:t>
      </w:r>
    </w:p>
    <w:p w14:paraId="71C2EE64" w14:textId="6FE78395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Nombres de componentes de configuración.</w:t>
      </w:r>
    </w:p>
    <w:p w14:paraId="1FAFEA22" w14:textId="36B4256B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Adquisición de componentes de configuración.</w:t>
      </w:r>
    </w:p>
    <w:p w14:paraId="380C4087" w14:textId="52A19F2D" w:rsidR="00B248D7" w:rsidRPr="00B248D7" w:rsidRDefault="00B248D7" w:rsidP="003C2F16">
      <w:pPr>
        <w:pStyle w:val="ListParagraph"/>
        <w:numPr>
          <w:ilvl w:val="0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Control: describe los procesos para gestión de cambios.</w:t>
      </w:r>
    </w:p>
    <w:p w14:paraId="1D647424" w14:textId="0575B3AA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Identificación de cambios.</w:t>
      </w:r>
    </w:p>
    <w:p w14:paraId="0F7A24F4" w14:textId="1B778F19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Evaluación de cambios.</w:t>
      </w:r>
    </w:p>
    <w:p w14:paraId="403FC25E" w14:textId="54B96B1A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Administración de cambios.</w:t>
      </w:r>
    </w:p>
    <w:p w14:paraId="684EA70C" w14:textId="005B62C1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Implantación de cambios.</w:t>
      </w:r>
    </w:p>
    <w:p w14:paraId="4CE84979" w14:textId="20EC1172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Comité de control de cambios.</w:t>
      </w:r>
    </w:p>
    <w:p w14:paraId="1B66142A" w14:textId="07B3F4E3" w:rsidR="00B248D7" w:rsidRPr="00B248D7" w:rsidRDefault="00B248D7" w:rsidP="003C2F16">
      <w:pPr>
        <w:pStyle w:val="ListParagraph"/>
        <w:numPr>
          <w:ilvl w:val="0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Reporte de estado: registro del estado de los componentes de configuración y reporte a las personas interesadas.</w:t>
      </w:r>
    </w:p>
    <w:p w14:paraId="6B5DD1B4" w14:textId="7BDFF9CA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Identificación de necesidades de información.</w:t>
      </w:r>
    </w:p>
    <w:p w14:paraId="5A7EA9BA" w14:textId="5B71CC4E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Mecanismo para obtener información.</w:t>
      </w:r>
    </w:p>
    <w:p w14:paraId="37B7B742" w14:textId="2B6CC561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Reporte, contenido y frecuencia.</w:t>
      </w:r>
    </w:p>
    <w:p w14:paraId="06DCE7DE" w14:textId="168BFDBA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Acceso a los datos para reporte de estado.</w:t>
      </w:r>
    </w:p>
    <w:p w14:paraId="13918078" w14:textId="3D3B417F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Método de difusión de la información de los reportes de estado.</w:t>
      </w:r>
    </w:p>
    <w:p w14:paraId="254C73AA" w14:textId="6230846F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Detalle de liberaciones.</w:t>
      </w:r>
    </w:p>
    <w:p w14:paraId="7A557EB2" w14:textId="29CD9FB8" w:rsidR="00B248D7" w:rsidRPr="00B248D7" w:rsidRDefault="00B248D7" w:rsidP="003C2F16">
      <w:pPr>
        <w:pStyle w:val="ListParagraph"/>
        <w:numPr>
          <w:ilvl w:val="0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Auditorías</w:t>
      </w:r>
      <w:r w:rsidRPr="00B248D7">
        <w:rPr>
          <w:rFonts w:cstheme="minorHAnsi"/>
          <w:color w:val="242021"/>
        </w:rPr>
        <w:t>: Describe los tipos de a</w:t>
      </w:r>
      <w:r w:rsidRPr="00B248D7">
        <w:rPr>
          <w:rFonts w:cstheme="minorHAnsi"/>
          <w:color w:val="242021"/>
        </w:rPr>
        <w:t xml:space="preserve">uditorías </w:t>
      </w:r>
      <w:r w:rsidRPr="00B248D7">
        <w:rPr>
          <w:rFonts w:cstheme="minorHAnsi"/>
          <w:color w:val="242021"/>
        </w:rPr>
        <w:t>que se realizan, su procedimiento, su frecuencia y su autoridad.</w:t>
      </w:r>
    </w:p>
    <w:p w14:paraId="79FE3AA5" w14:textId="7E6DFA66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Auditorías por realizar.</w:t>
      </w:r>
    </w:p>
    <w:p w14:paraId="46E092D3" w14:textId="77777777" w:rsidR="00B248D7" w:rsidRP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>Componentes de configuración por auditar.</w:t>
      </w:r>
    </w:p>
    <w:p w14:paraId="76689E40" w14:textId="0A3AE924" w:rsidR="00B248D7" w:rsidRDefault="00B248D7" w:rsidP="003C2F16">
      <w:pPr>
        <w:pStyle w:val="ListParagraph"/>
        <w:numPr>
          <w:ilvl w:val="1"/>
          <w:numId w:val="1"/>
        </w:numPr>
        <w:jc w:val="both"/>
        <w:rPr>
          <w:rFonts w:cstheme="minorHAnsi"/>
          <w:color w:val="242021"/>
        </w:rPr>
      </w:pPr>
      <w:r w:rsidRPr="00B248D7">
        <w:rPr>
          <w:rFonts w:cstheme="minorHAnsi"/>
          <w:color w:val="242021"/>
        </w:rPr>
        <w:t xml:space="preserve">Procedimientos de auditorías.  </w:t>
      </w:r>
    </w:p>
    <w:p w14:paraId="00D63A84" w14:textId="47A33E3A" w:rsidR="003C2F16" w:rsidRPr="00B248D7" w:rsidRDefault="003C2F16" w:rsidP="003C2F16">
      <w:pPr>
        <w:pStyle w:val="ListParagraph"/>
        <w:numPr>
          <w:ilvl w:val="1"/>
          <w:numId w:val="1"/>
        </w:numPr>
        <w:jc w:val="both"/>
        <w:rPr>
          <w:rStyle w:val="fontstyle01"/>
        </w:rPr>
      </w:pPr>
      <w:r w:rsidRPr="003C2F16">
        <w:rPr>
          <w:rFonts w:cstheme="minorHAnsi"/>
          <w:color w:val="242021"/>
        </w:rPr>
        <w:t xml:space="preserve">Actividades de seguimiento a </w:t>
      </w:r>
      <w:r w:rsidRPr="003C2F16">
        <w:rPr>
          <w:rFonts w:cstheme="minorHAnsi"/>
          <w:color w:val="242021"/>
          <w:lang w:val="es-ES"/>
        </w:rPr>
        <w:t>a</w:t>
      </w:r>
      <w:r w:rsidRPr="003C2F16">
        <w:rPr>
          <w:rFonts w:cstheme="minorHAnsi"/>
          <w:color w:val="242021"/>
          <w:lang w:val="es-ES"/>
        </w:rPr>
        <w:t>uditorías</w:t>
      </w:r>
      <w:r w:rsidRPr="003C2F16">
        <w:rPr>
          <w:rFonts w:cstheme="minorHAnsi"/>
          <w:color w:val="242021"/>
        </w:rPr>
        <w:t xml:space="preserve">. </w:t>
      </w:r>
    </w:p>
    <w:sectPr w:rsidR="003C2F16" w:rsidRPr="00B24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2D573" w14:textId="77777777" w:rsidR="000661B6" w:rsidRDefault="000661B6" w:rsidP="00F61944">
      <w:pPr>
        <w:spacing w:after="0" w:line="240" w:lineRule="auto"/>
      </w:pPr>
      <w:r>
        <w:separator/>
      </w:r>
    </w:p>
  </w:endnote>
  <w:endnote w:type="continuationSeparator" w:id="0">
    <w:p w14:paraId="7962B1F6" w14:textId="77777777" w:rsidR="000661B6" w:rsidRDefault="000661B6" w:rsidP="00F6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Condense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1E1D9" w14:textId="77777777" w:rsidR="00F61944" w:rsidRDefault="00F61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222A5" w14:textId="77777777" w:rsidR="00F61944" w:rsidRDefault="00F619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24AB0" w14:textId="77777777" w:rsidR="00F61944" w:rsidRDefault="00F61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9173A" w14:textId="77777777" w:rsidR="000661B6" w:rsidRDefault="000661B6" w:rsidP="00F61944">
      <w:pPr>
        <w:spacing w:after="0" w:line="240" w:lineRule="auto"/>
      </w:pPr>
      <w:r>
        <w:separator/>
      </w:r>
    </w:p>
  </w:footnote>
  <w:footnote w:type="continuationSeparator" w:id="0">
    <w:p w14:paraId="683F762A" w14:textId="77777777" w:rsidR="000661B6" w:rsidRDefault="000661B6" w:rsidP="00F6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47592" w14:textId="3D7FF7E8" w:rsidR="00F61944" w:rsidRDefault="00F61944">
    <w:pPr>
      <w:pStyle w:val="Header"/>
    </w:pPr>
    <w:r>
      <w:pict w14:anchorId="71565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4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9E5C" w14:textId="198BC197" w:rsidR="00F61944" w:rsidRDefault="00F61944">
    <w:pPr>
      <w:pStyle w:val="Header"/>
    </w:pPr>
    <w:r>
      <w:pict w14:anchorId="218E80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5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FC86F" w14:textId="5597E3BB" w:rsidR="00F61944" w:rsidRDefault="00F61944">
    <w:pPr>
      <w:pStyle w:val="Header"/>
    </w:pPr>
    <w:r>
      <w:pict w14:anchorId="3F085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3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26214"/>
    <w:multiLevelType w:val="hybridMultilevel"/>
    <w:tmpl w:val="E51E3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8"/>
    <w:rsid w:val="000661B6"/>
    <w:rsid w:val="00247F15"/>
    <w:rsid w:val="003C2F16"/>
    <w:rsid w:val="00652460"/>
    <w:rsid w:val="00827134"/>
    <w:rsid w:val="00B248D7"/>
    <w:rsid w:val="00C35808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C56A9"/>
  <w15:chartTrackingRefBased/>
  <w15:docId w15:val="{BF8A13BB-5A9C-4237-ADC1-2D0BC7D2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G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5808"/>
    <w:rPr>
      <w:rFonts w:ascii="HelveticaNeue-Condensed" w:hAnsi="HelveticaNeue-Condensed" w:hint="default"/>
      <w:b w:val="0"/>
      <w:bCs w:val="0"/>
      <w:i w:val="0"/>
      <w:iCs w:val="0"/>
      <w:color w:val="24202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paragraph" w:styleId="NoSpacing">
    <w:name w:val="No Spacing"/>
    <w:uiPriority w:val="1"/>
    <w:qFormat/>
    <w:rsid w:val="00F6194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4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6194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2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1</cp:revision>
  <dcterms:created xsi:type="dcterms:W3CDTF">2020-08-18T02:31:00Z</dcterms:created>
  <dcterms:modified xsi:type="dcterms:W3CDTF">2020-08-18T03:41:00Z</dcterms:modified>
</cp:coreProperties>
</file>