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(#tab:t)</w:t>
      </w:r>
    </w:p>
    <w:p>
      <w:pPr>
        <w:pStyle w:val="Compact"/>
      </w:pPr>
      <w:r>
        <w:rPr>
          <w:i/>
        </w:rPr>
        <w:t xml:space="preserve">Table 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left"/>
            </w:pPr>
            <w:r>
              <w:t xml:space="preserve">21.00</w:t>
            </w:r>
          </w:p>
        </w:tc>
        <w:tc>
          <w:p>
            <w:pPr>
              <w:pStyle w:val="Compact"/>
              <w:jc w:val="left"/>
            </w:pPr>
            <w:r>
              <w:t xml:space="preserve">6.00</w:t>
            </w:r>
          </w:p>
        </w:tc>
        <w:tc>
          <w:p>
            <w:pPr>
              <w:pStyle w:val="Compact"/>
              <w:jc w:val="left"/>
            </w:pPr>
            <w:r>
              <w:t xml:space="preserve">160.00</w:t>
            </w:r>
          </w:p>
        </w:tc>
        <w:tc>
          <w:p>
            <w:pPr>
              <w:pStyle w:val="Compact"/>
              <w:jc w:val="left"/>
            </w:pPr>
            <w:r>
              <w:t xml:space="preserve">110.00</w:t>
            </w:r>
          </w:p>
        </w:tc>
        <w:tc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p>
            <w:pPr>
              <w:pStyle w:val="Compact"/>
              <w:jc w:val="left"/>
            </w:pPr>
            <w:r>
              <w:t xml:space="preserve">2.62</w:t>
            </w:r>
          </w:p>
        </w:tc>
        <w:tc>
          <w:p>
            <w:pPr>
              <w:pStyle w:val="Compact"/>
              <w:jc w:val="left"/>
            </w:pPr>
            <w:r>
              <w:t xml:space="preserve">16.46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left"/>
            </w:pPr>
            <w:r>
              <w:t xml:space="preserve">21.00</w:t>
            </w:r>
          </w:p>
        </w:tc>
        <w:tc>
          <w:p>
            <w:pPr>
              <w:pStyle w:val="Compact"/>
              <w:jc w:val="left"/>
            </w:pPr>
            <w:r>
              <w:t xml:space="preserve">6.00</w:t>
            </w:r>
          </w:p>
        </w:tc>
        <w:tc>
          <w:p>
            <w:pPr>
              <w:pStyle w:val="Compact"/>
              <w:jc w:val="left"/>
            </w:pPr>
            <w:r>
              <w:t xml:space="preserve">160.00</w:t>
            </w:r>
          </w:p>
        </w:tc>
        <w:tc>
          <w:p>
            <w:pPr>
              <w:pStyle w:val="Compact"/>
              <w:jc w:val="left"/>
            </w:pPr>
            <w:r>
              <w:t xml:space="preserve">110.00</w:t>
            </w:r>
          </w:p>
        </w:tc>
        <w:tc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p>
            <w:pPr>
              <w:pStyle w:val="Compact"/>
              <w:jc w:val="left"/>
            </w:pPr>
            <w:r>
              <w:t xml:space="preserve">2.88</w:t>
            </w:r>
          </w:p>
        </w:tc>
        <w:tc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Datsun 710</w:t>
            </w:r>
          </w:p>
        </w:tc>
        <w:tc>
          <w:p>
            <w:pPr>
              <w:pStyle w:val="Compact"/>
              <w:jc w:val="left"/>
            </w:pPr>
            <w:r>
              <w:t xml:space="preserve">22.80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108.00</w:t>
            </w:r>
          </w:p>
        </w:tc>
        <w:tc>
          <w:p>
            <w:pPr>
              <w:pStyle w:val="Compact"/>
              <w:jc w:val="left"/>
            </w:pPr>
            <w:r>
              <w:t xml:space="preserve">93.00</w:t>
            </w:r>
          </w:p>
        </w:tc>
        <w:tc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p>
            <w:pPr>
              <w:pStyle w:val="Compact"/>
              <w:jc w:val="left"/>
            </w:pPr>
            <w:r>
              <w:t xml:space="preserve">2.32</w:t>
            </w:r>
          </w:p>
        </w:tc>
        <w:tc>
          <w:p>
            <w:pPr>
              <w:pStyle w:val="Compact"/>
              <w:jc w:val="left"/>
            </w:pPr>
            <w:r>
              <w:t xml:space="preserve">18.61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left"/>
            </w:pPr>
            <w:r>
              <w:t xml:space="preserve">21.40</w:t>
            </w:r>
          </w:p>
        </w:tc>
        <w:tc>
          <w:p>
            <w:pPr>
              <w:pStyle w:val="Compact"/>
              <w:jc w:val="left"/>
            </w:pPr>
            <w:r>
              <w:t xml:space="preserve">6.00</w:t>
            </w:r>
          </w:p>
        </w:tc>
        <w:tc>
          <w:p>
            <w:pPr>
              <w:pStyle w:val="Compact"/>
              <w:jc w:val="left"/>
            </w:pPr>
            <w:r>
              <w:t xml:space="preserve">258.00</w:t>
            </w:r>
          </w:p>
        </w:tc>
        <w:tc>
          <w:p>
            <w:pPr>
              <w:pStyle w:val="Compact"/>
              <w:jc w:val="left"/>
            </w:pPr>
            <w:r>
              <w:t xml:space="preserve">110.00</w:t>
            </w:r>
          </w:p>
        </w:tc>
        <w:tc>
          <w:p>
            <w:pPr>
              <w:pStyle w:val="Compact"/>
              <w:jc w:val="left"/>
            </w:pPr>
            <w:r>
              <w:t xml:space="preserve">3.08</w:t>
            </w:r>
          </w:p>
        </w:tc>
        <w:tc>
          <w:p>
            <w:pPr>
              <w:pStyle w:val="Compact"/>
              <w:jc w:val="left"/>
            </w:pPr>
            <w:r>
              <w:t xml:space="preserve">3.21</w:t>
            </w:r>
          </w:p>
        </w:tc>
        <w:tc>
          <w:p>
            <w:pPr>
              <w:pStyle w:val="Compact"/>
              <w:jc w:val="left"/>
            </w:pPr>
            <w:r>
              <w:t xml:space="preserve">19.44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left"/>
            </w:pPr>
            <w:r>
              <w:t xml:space="preserve">18.70</w:t>
            </w:r>
          </w:p>
        </w:tc>
        <w:tc>
          <w:p>
            <w:pPr>
              <w:pStyle w:val="Compact"/>
              <w:jc w:val="left"/>
            </w:pPr>
            <w:r>
              <w:t xml:space="preserve">8.00</w:t>
            </w:r>
          </w:p>
        </w:tc>
        <w:tc>
          <w:p>
            <w:pPr>
              <w:pStyle w:val="Compact"/>
              <w:jc w:val="left"/>
            </w:pPr>
            <w:r>
              <w:t xml:space="preserve">360.00</w:t>
            </w:r>
          </w:p>
        </w:tc>
        <w:tc>
          <w:p>
            <w:pPr>
              <w:pStyle w:val="Compact"/>
              <w:jc w:val="left"/>
            </w:pPr>
            <w:r>
              <w:t xml:space="preserve">175.00</w:t>
            </w:r>
          </w:p>
        </w:tc>
        <w:tc>
          <w:p>
            <w:pPr>
              <w:pStyle w:val="Compact"/>
              <w:jc w:val="left"/>
            </w:pPr>
            <w:r>
              <w:t xml:space="preserve">3.15</w:t>
            </w:r>
          </w:p>
        </w:tc>
        <w:tc>
          <w:p>
            <w:pPr>
              <w:pStyle w:val="Compact"/>
              <w:jc w:val="left"/>
            </w:pPr>
            <w:r>
              <w:t xml:space="preserve">3.44</w:t>
            </w:r>
          </w:p>
        </w:tc>
        <w:tc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p>
            <w:pPr>
              <w:pStyle w:val="Compact"/>
              <w:jc w:val="left"/>
            </w:pPr>
            <w:r>
              <w:t xml:space="preserve">2.00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</w:p>
    <w:p>
      <w:pPr>
        <w:pStyle w:val="Compact"/>
      </w:pPr>
      <w:r>
        <w:t xml:space="preserve">(#tab:t)</w:t>
      </w:r>
    </w:p>
    <w:p>
      <w:pPr>
        <w:pStyle w:val="Compact"/>
      </w:pPr>
      <w:r>
        <w:rPr>
          <w:i/>
        </w:rPr>
        <w:t xml:space="preserve">Table 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5.10</w:t>
            </w:r>
          </w:p>
        </w:tc>
        <w:tc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p>
            <w:pPr>
              <w:pStyle w:val="Compact"/>
              <w:jc w:val="left"/>
            </w:pPr>
            <w:r>
              <w:t xml:space="preserve">1.40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4.90</w:t>
            </w:r>
          </w:p>
        </w:tc>
        <w:tc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p>
            <w:pPr>
              <w:pStyle w:val="Compact"/>
              <w:jc w:val="left"/>
            </w:pPr>
            <w:r>
              <w:t xml:space="preserve">1.40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4.70</w:t>
            </w:r>
          </w:p>
        </w:tc>
        <w:tc>
          <w:p>
            <w:pPr>
              <w:pStyle w:val="Compact"/>
              <w:jc w:val="left"/>
            </w:pPr>
            <w:r>
              <w:t xml:space="preserve">3.20</w:t>
            </w:r>
          </w:p>
        </w:tc>
        <w:tc>
          <w:p>
            <w:pPr>
              <w:pStyle w:val="Compact"/>
              <w:jc w:val="left"/>
            </w:pPr>
            <w:r>
              <w:t xml:space="preserve">1.30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4.60</w:t>
            </w:r>
          </w:p>
        </w:tc>
        <w:tc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p>
            <w:pPr>
              <w:pStyle w:val="Compact"/>
              <w:jc w:val="left"/>
            </w:pPr>
            <w:r>
              <w:t xml:space="preserve">3.60</w:t>
            </w:r>
          </w:p>
        </w:tc>
        <w:tc>
          <w:p>
            <w:pPr>
              <w:pStyle w:val="Compact"/>
              <w:jc w:val="left"/>
            </w:pPr>
            <w:r>
              <w:t xml:space="preserve">1.40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</w:p>
    <w:p>
      <w:pPr>
        <w:pStyle w:val="BodyText"/>
      </w:pPr>
      <w:r>
        <w:t xml:space="preserve">`</w:t>
      </w:r>
    </w:p>
    <w:sectPr w:rsidR="009B06BE" w:rsidSect="002C507C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8100A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8634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2C11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1E3A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42B0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0E57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3C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1206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86AD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CE3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8A0EC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7408C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71A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04F4A"/>
    <w:pPr>
      <w:spacing w:before="180" w:after="18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21A18"/>
    <w:pPr>
      <w:spacing w:before="36" w:after="36"/>
    </w:pPr>
    <w:rPr>
      <w:rFonts w:ascii="Times New Roman" w:hAnsi="Times New Roman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TableNormal"/>
    <w:semiHidden/>
    <w:unhideWhenUsed/>
    <w:qFormat/>
    <w:rsid w:val="00617632"/>
    <w:pPr>
      <w:jc w:val="center"/>
    </w:pPr>
    <w:rPr>
      <w:rFonts w:ascii="Arial" w:hAnsi="Arial"/>
      <w:sz w:val="22"/>
      <w:szCs w:val="20"/>
    </w:rPr>
    <w:tblPr>
      <w:tblBorders>
        <w:top w:val="single" w:sz="4" w:space="0" w:color="auto"/>
        <w:bottom w:val="single" w:sz="4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 w:val="0"/>
        <w:bCs/>
        <w:color w:val="auto"/>
      </w:rPr>
    </w:tblStylePr>
    <w:tblStylePr w:type="lastRow">
      <w:rPr>
        <w:b w:val="0"/>
        <w:bCs/>
        <w:color w:val="000000" w:themeColor="text1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auto"/>
      </w:tcPr>
    </w:tblStylePr>
    <w:tblStylePr w:type="firstCol">
      <w:rPr>
        <w:b w:val="0"/>
        <w:bCs/>
      </w:rPr>
    </w:tblStylePr>
    <w:tblStylePr w:type="lastCol">
      <w:rPr>
        <w:b w:val="0"/>
        <w:bCs/>
        <w:sz w:val="22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04F4A"/>
    <w:rPr>
      <w:rFonts w:ascii="Arial" w:hAnsi="Arial"/>
      <w:sz w:val="22"/>
    </w:rPr>
  </w:style>
  <w:style w:type="table" w:styleId="ColorfulList">
    <w:name w:val="Colorful List"/>
    <w:basedOn w:val="TableNormal"/>
    <w:semiHidden/>
    <w:unhideWhenUsed/>
    <w:rsid w:val="00A9196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semiHidden/>
    <w:unhideWhenUsed/>
    <w:rsid w:val="0074571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457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2019-03-01T01:05:43Z</dcterms:created>
  <dcterms:modified xsi:type="dcterms:W3CDTF">2019-03-01T01:05:43Z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