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42132" w14:textId="73E640B6" w:rsidR="001B43CE" w:rsidRDefault="001B43CE"/>
    <w:p w14:paraId="753C1BF0" w14:textId="1287AE58" w:rsidR="00A643E0" w:rsidRPr="00070729" w:rsidRDefault="00A643E0">
      <w:pPr>
        <w:rPr>
          <w:b/>
          <w:i/>
          <w:color w:val="70AD47" w:themeColor="accent6"/>
          <w:sz w:val="96"/>
          <w:u w:val="single"/>
        </w:rPr>
      </w:pPr>
      <w:r w:rsidRPr="00070729">
        <w:rPr>
          <w:b/>
          <w:i/>
          <w:color w:val="70AD47" w:themeColor="accent6"/>
          <w:sz w:val="96"/>
          <w:u w:val="single"/>
        </w:rPr>
        <w:t>Jeremy Cooley</w:t>
      </w:r>
      <w:bookmarkStart w:id="0" w:name="_GoBack"/>
      <w:bookmarkEnd w:id="0"/>
    </w:p>
    <w:p w14:paraId="5201A3DA" w14:textId="28D82A7F" w:rsidR="00A643E0" w:rsidRDefault="00A643E0" w:rsidP="00A643E0">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565A5C"/>
          <w:spacing w:val="3"/>
          <w:sz w:val="26"/>
          <w:szCs w:val="26"/>
        </w:rPr>
      </w:pPr>
      <w:r w:rsidRPr="00A643E0">
        <w:rPr>
          <w:rFonts w:ascii="Lucida Sans Unicode" w:eastAsia="Times New Roman" w:hAnsi="Lucida Sans Unicode" w:cs="Lucida Sans Unicode"/>
          <w:color w:val="565A5C"/>
          <w:spacing w:val="3"/>
          <w:sz w:val="26"/>
          <w:szCs w:val="26"/>
        </w:rPr>
        <w:t>What are the characteristics of a relation?</w:t>
      </w:r>
    </w:p>
    <w:p w14:paraId="4BC0DC20" w14:textId="77777777" w:rsidR="00AF6C13"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1. Rows contain data about an entity </w:t>
      </w:r>
    </w:p>
    <w:p w14:paraId="0E462645" w14:textId="77777777" w:rsidR="00AF6C13"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2. Columns contain data about attributes of the entity </w:t>
      </w:r>
    </w:p>
    <w:p w14:paraId="38828E22" w14:textId="77777777" w:rsidR="00AF6C13"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3. Cells of the table hold a single value </w:t>
      </w:r>
    </w:p>
    <w:p w14:paraId="4BF3E775" w14:textId="77777777" w:rsidR="00AF6C13"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4. All entries in a column are of the same kind </w:t>
      </w:r>
    </w:p>
    <w:p w14:paraId="062AEA17" w14:textId="77777777" w:rsidR="00AF6C13"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5. Each column has a unique name </w:t>
      </w:r>
    </w:p>
    <w:p w14:paraId="0C336D8C" w14:textId="77777777" w:rsidR="008F4528"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6. The order of the columns is unimportant </w:t>
      </w:r>
    </w:p>
    <w:p w14:paraId="5542BD11" w14:textId="77777777" w:rsidR="008F4528" w:rsidRPr="00325F69"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 xml:space="preserve">7. The order of the rows is unimportant </w:t>
      </w:r>
    </w:p>
    <w:p w14:paraId="07E31F1C" w14:textId="2BFE48FC" w:rsidR="004E1C95" w:rsidRPr="00A643E0" w:rsidRDefault="00AF6C13" w:rsidP="004E1C95">
      <w:pPr>
        <w:shd w:val="clear" w:color="auto" w:fill="FFFFFF"/>
        <w:spacing w:before="100" w:beforeAutospacing="1" w:after="100" w:afterAutospacing="1" w:line="240" w:lineRule="auto"/>
        <w:rPr>
          <w:rFonts w:ascii="Times New Roman" w:eastAsia="Times New Roman" w:hAnsi="Times New Roman" w:cs="Times New Roman"/>
          <w:color w:val="565A5C"/>
          <w:spacing w:val="3"/>
          <w:sz w:val="24"/>
          <w:szCs w:val="26"/>
        </w:rPr>
      </w:pPr>
      <w:r w:rsidRPr="00325F69">
        <w:rPr>
          <w:rFonts w:ascii="Times New Roman" w:eastAsia="Times New Roman" w:hAnsi="Times New Roman" w:cs="Times New Roman"/>
          <w:color w:val="565A5C"/>
          <w:spacing w:val="3"/>
          <w:sz w:val="24"/>
          <w:szCs w:val="26"/>
        </w:rPr>
        <w:t>8. No two rows may hold identical sets of data values</w:t>
      </w:r>
    </w:p>
    <w:p w14:paraId="23F7B897" w14:textId="19A416B2" w:rsidR="00A643E0" w:rsidRDefault="00A643E0" w:rsidP="00A643E0">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565A5C"/>
          <w:spacing w:val="3"/>
          <w:sz w:val="26"/>
          <w:szCs w:val="26"/>
        </w:rPr>
      </w:pPr>
      <w:r w:rsidRPr="00A643E0">
        <w:rPr>
          <w:rFonts w:ascii="Lucida Sans Unicode" w:eastAsia="Times New Roman" w:hAnsi="Lucida Sans Unicode" w:cs="Lucida Sans Unicode"/>
          <w:color w:val="565A5C"/>
          <w:spacing w:val="3"/>
          <w:sz w:val="26"/>
          <w:szCs w:val="26"/>
        </w:rPr>
        <w:t>What are the characteristics of a surrogate key?</w:t>
      </w:r>
    </w:p>
    <w:p w14:paraId="47077811" w14:textId="6AAAD81F" w:rsidR="00325F69" w:rsidRPr="00A643E0" w:rsidRDefault="00325F69" w:rsidP="00325F69">
      <w:pPr>
        <w:shd w:val="clear" w:color="auto" w:fill="FFFFFF"/>
        <w:spacing w:before="100" w:beforeAutospacing="1" w:after="100" w:afterAutospacing="1" w:line="240" w:lineRule="auto"/>
        <w:ind w:left="720"/>
        <w:rPr>
          <w:rFonts w:ascii="Times New Roman" w:eastAsia="Times New Roman" w:hAnsi="Times New Roman" w:cs="Times New Roman"/>
          <w:color w:val="565A5C"/>
          <w:spacing w:val="3"/>
          <w:sz w:val="24"/>
          <w:szCs w:val="26"/>
        </w:rPr>
      </w:pPr>
      <w:r w:rsidRPr="00CD5EF0">
        <w:rPr>
          <w:rFonts w:ascii="Times New Roman" w:eastAsia="Times New Roman" w:hAnsi="Times New Roman" w:cs="Times New Roman"/>
          <w:color w:val="565A5C"/>
          <w:spacing w:val="3"/>
          <w:sz w:val="24"/>
          <w:szCs w:val="26"/>
        </w:rPr>
        <w:t>Surrogate keys are short and numeric and never change—they are ideal primary keys. Because the values of the surrogate primary key will have no inherent meaning to users, they are often hidden on forms, query results, and reports.</w:t>
      </w:r>
    </w:p>
    <w:p w14:paraId="71713CE3" w14:textId="69DA7021" w:rsidR="00A643E0" w:rsidRDefault="00A643E0" w:rsidP="00A643E0">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565A5C"/>
          <w:spacing w:val="3"/>
          <w:sz w:val="26"/>
          <w:szCs w:val="26"/>
        </w:rPr>
      </w:pPr>
      <w:r w:rsidRPr="00A643E0">
        <w:rPr>
          <w:rFonts w:ascii="Lucida Sans Unicode" w:eastAsia="Times New Roman" w:hAnsi="Lucida Sans Unicode" w:cs="Lucida Sans Unicode"/>
          <w:color w:val="565A5C"/>
          <w:spacing w:val="3"/>
          <w:sz w:val="26"/>
          <w:szCs w:val="26"/>
        </w:rPr>
        <w:t>Explain referential integrity constraint with an example.</w:t>
      </w:r>
    </w:p>
    <w:p w14:paraId="7C0C8F28" w14:textId="3FC1EAA0" w:rsidR="00325F69" w:rsidRPr="00A643E0" w:rsidRDefault="00CD5EF0" w:rsidP="00CD5EF0">
      <w:pPr>
        <w:shd w:val="clear" w:color="auto" w:fill="FFFFFF"/>
        <w:spacing w:before="100" w:beforeAutospacing="1" w:after="100" w:afterAutospacing="1" w:line="240" w:lineRule="auto"/>
        <w:ind w:left="720"/>
        <w:rPr>
          <w:rFonts w:ascii="Times New Roman" w:eastAsia="Times New Roman" w:hAnsi="Times New Roman" w:cs="Times New Roman"/>
          <w:color w:val="565A5C"/>
          <w:spacing w:val="3"/>
          <w:sz w:val="24"/>
          <w:szCs w:val="26"/>
        </w:rPr>
      </w:pPr>
      <w:r>
        <w:rPr>
          <w:rFonts w:ascii="Times New Roman" w:eastAsia="Times New Roman" w:hAnsi="Times New Roman" w:cs="Times New Roman"/>
          <w:color w:val="565A5C"/>
          <w:spacing w:val="3"/>
          <w:sz w:val="24"/>
          <w:szCs w:val="26"/>
        </w:rPr>
        <w:t>I</w:t>
      </w:r>
      <w:r w:rsidRPr="00CD5EF0">
        <w:rPr>
          <w:rFonts w:ascii="Times New Roman" w:eastAsia="Times New Roman" w:hAnsi="Times New Roman" w:cs="Times New Roman"/>
          <w:color w:val="565A5C"/>
          <w:spacing w:val="3"/>
          <w:sz w:val="24"/>
          <w:szCs w:val="26"/>
        </w:rPr>
        <w:t xml:space="preserve">t is important to ensure that every value of a foreign key matches a value of the primary key. </w:t>
      </w:r>
      <w:r w:rsidR="00276BE2">
        <w:rPr>
          <w:rFonts w:ascii="Times New Roman" w:eastAsia="Times New Roman" w:hAnsi="Times New Roman" w:cs="Times New Roman"/>
          <w:color w:val="565A5C"/>
          <w:spacing w:val="3"/>
          <w:sz w:val="24"/>
          <w:szCs w:val="26"/>
        </w:rPr>
        <w:t>EXAMPLE:</w:t>
      </w:r>
      <w:r w:rsidRPr="00CD5EF0">
        <w:rPr>
          <w:rFonts w:ascii="Times New Roman" w:eastAsia="Times New Roman" w:hAnsi="Times New Roman" w:cs="Times New Roman"/>
          <w:color w:val="565A5C"/>
          <w:spacing w:val="3"/>
          <w:sz w:val="24"/>
          <w:szCs w:val="26"/>
        </w:rPr>
        <w:t xml:space="preserve"> the value of Department in every row of EMPLOYEE should match a value of </w:t>
      </w:r>
      <w:proofErr w:type="spellStart"/>
      <w:r w:rsidRPr="00CD5EF0">
        <w:rPr>
          <w:rFonts w:ascii="Times New Roman" w:eastAsia="Times New Roman" w:hAnsi="Times New Roman" w:cs="Times New Roman"/>
          <w:color w:val="565A5C"/>
          <w:spacing w:val="3"/>
          <w:sz w:val="24"/>
          <w:szCs w:val="26"/>
        </w:rPr>
        <w:t>DepartmentName</w:t>
      </w:r>
      <w:proofErr w:type="spellEnd"/>
      <w:r w:rsidRPr="00CD5EF0">
        <w:rPr>
          <w:rFonts w:ascii="Times New Roman" w:eastAsia="Times New Roman" w:hAnsi="Times New Roman" w:cs="Times New Roman"/>
          <w:color w:val="565A5C"/>
          <w:spacing w:val="3"/>
          <w:sz w:val="24"/>
          <w:szCs w:val="26"/>
        </w:rPr>
        <w:t xml:space="preserve"> in DEPARTMENT. If this is the case (and it usually is), then we declare the following rule: Department in EMPLOYEE must exist in </w:t>
      </w:r>
      <w:proofErr w:type="spellStart"/>
      <w:r w:rsidRPr="00CD5EF0">
        <w:rPr>
          <w:rFonts w:ascii="Times New Roman" w:eastAsia="Times New Roman" w:hAnsi="Times New Roman" w:cs="Times New Roman"/>
          <w:color w:val="565A5C"/>
          <w:spacing w:val="3"/>
          <w:sz w:val="24"/>
          <w:szCs w:val="26"/>
        </w:rPr>
        <w:t>DepartmentName</w:t>
      </w:r>
      <w:proofErr w:type="spellEnd"/>
      <w:r w:rsidRPr="00CD5EF0">
        <w:rPr>
          <w:rFonts w:ascii="Times New Roman" w:eastAsia="Times New Roman" w:hAnsi="Times New Roman" w:cs="Times New Roman"/>
          <w:color w:val="565A5C"/>
          <w:spacing w:val="3"/>
          <w:sz w:val="24"/>
          <w:szCs w:val="26"/>
        </w:rPr>
        <w:t xml:space="preserve"> in DEPARTMENT Such a rule is called a referential integrity constraint. Whenever you see a foreign key, you should always look for an associated referential integrity constraint.</w:t>
      </w:r>
    </w:p>
    <w:p w14:paraId="2039CDF9" w14:textId="77777777" w:rsidR="00A643E0" w:rsidRPr="00A643E0" w:rsidRDefault="00A643E0" w:rsidP="00A643E0">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565A5C"/>
          <w:spacing w:val="3"/>
          <w:sz w:val="26"/>
          <w:szCs w:val="26"/>
        </w:rPr>
      </w:pPr>
      <w:r w:rsidRPr="00A643E0">
        <w:rPr>
          <w:rFonts w:ascii="Lucida Sans Unicode" w:eastAsia="Times New Roman" w:hAnsi="Lucida Sans Unicode" w:cs="Lucida Sans Unicode"/>
          <w:color w:val="565A5C"/>
          <w:spacing w:val="3"/>
          <w:sz w:val="26"/>
          <w:szCs w:val="26"/>
        </w:rPr>
        <w:t>Explain functional dependencies with an example, identifying the determinant in the example.</w:t>
      </w:r>
    </w:p>
    <w:p w14:paraId="34C10824" w14:textId="77777777" w:rsidR="000067EE" w:rsidRDefault="000067EE" w:rsidP="00AB4134">
      <w:pPr>
        <w:ind w:left="720"/>
        <w:rPr>
          <w:rFonts w:ascii="Times New Roman" w:hAnsi="Times New Roman" w:cs="Times New Roman"/>
          <w:sz w:val="24"/>
        </w:rPr>
      </w:pPr>
      <w:proofErr w:type="spellStart"/>
      <w:r w:rsidRPr="000067EE">
        <w:rPr>
          <w:rFonts w:ascii="Times New Roman" w:hAnsi="Times New Roman" w:cs="Times New Roman"/>
          <w:sz w:val="24"/>
        </w:rPr>
        <w:lastRenderedPageBreak/>
        <w:t>CookieCost</w:t>
      </w:r>
      <w:proofErr w:type="spellEnd"/>
      <w:r w:rsidRPr="000067EE">
        <w:rPr>
          <w:rFonts w:ascii="Times New Roman" w:hAnsi="Times New Roman" w:cs="Times New Roman"/>
          <w:sz w:val="24"/>
        </w:rPr>
        <w:t xml:space="preserve"> </w:t>
      </w:r>
      <w:proofErr w:type="gramStart"/>
      <w:r>
        <w:rPr>
          <w:rFonts w:ascii="Times New Roman" w:hAnsi="Times New Roman" w:cs="Times New Roman"/>
          <w:sz w:val="24"/>
        </w:rPr>
        <w:t xml:space="preserve">= </w:t>
      </w:r>
      <w:r w:rsidRPr="000067EE">
        <w:rPr>
          <w:rFonts w:ascii="Times New Roman" w:hAnsi="Times New Roman" w:cs="Times New Roman"/>
          <w:sz w:val="24"/>
        </w:rPr>
        <w:t xml:space="preserve"> </w:t>
      </w:r>
      <w:proofErr w:type="spellStart"/>
      <w:r w:rsidRPr="000067EE">
        <w:rPr>
          <w:rFonts w:ascii="Times New Roman" w:hAnsi="Times New Roman" w:cs="Times New Roman"/>
          <w:sz w:val="24"/>
        </w:rPr>
        <w:t>NumberOfBoxes</w:t>
      </w:r>
      <w:proofErr w:type="spellEnd"/>
      <w:proofErr w:type="gramEnd"/>
      <w:r w:rsidRPr="000067EE">
        <w:rPr>
          <w:rFonts w:ascii="Times New Roman" w:hAnsi="Times New Roman" w:cs="Times New Roman"/>
          <w:sz w:val="24"/>
        </w:rPr>
        <w:t xml:space="preserve"> </w:t>
      </w:r>
      <w:r>
        <w:rPr>
          <w:rFonts w:ascii="Times New Roman" w:hAnsi="Times New Roman" w:cs="Times New Roman"/>
          <w:sz w:val="24"/>
        </w:rPr>
        <w:t>*</w:t>
      </w:r>
      <w:r w:rsidRPr="000067EE">
        <w:rPr>
          <w:rFonts w:ascii="Times New Roman" w:hAnsi="Times New Roman" w:cs="Times New Roman"/>
          <w:sz w:val="24"/>
        </w:rPr>
        <w:t xml:space="preserve"> $5 </w:t>
      </w:r>
    </w:p>
    <w:p w14:paraId="4B90A05E" w14:textId="77777777" w:rsidR="000067EE" w:rsidRDefault="000067EE" w:rsidP="00AB4134">
      <w:pPr>
        <w:ind w:left="720"/>
        <w:rPr>
          <w:rFonts w:ascii="Times New Roman" w:hAnsi="Times New Roman" w:cs="Times New Roman"/>
          <w:sz w:val="24"/>
        </w:rPr>
      </w:pPr>
      <w:r w:rsidRPr="000067EE">
        <w:rPr>
          <w:rFonts w:ascii="Times New Roman" w:hAnsi="Times New Roman" w:cs="Times New Roman"/>
          <w:sz w:val="24"/>
        </w:rPr>
        <w:t xml:space="preserve">A more general way to express the relationship between </w:t>
      </w:r>
      <w:proofErr w:type="spellStart"/>
      <w:r w:rsidRPr="000067EE">
        <w:rPr>
          <w:rFonts w:ascii="Times New Roman" w:hAnsi="Times New Roman" w:cs="Times New Roman"/>
          <w:sz w:val="24"/>
        </w:rPr>
        <w:t>CookieCost</w:t>
      </w:r>
      <w:proofErr w:type="spellEnd"/>
      <w:r w:rsidRPr="000067EE">
        <w:rPr>
          <w:rFonts w:ascii="Times New Roman" w:hAnsi="Times New Roman" w:cs="Times New Roman"/>
          <w:sz w:val="24"/>
        </w:rPr>
        <w:t xml:space="preserve"> and </w:t>
      </w:r>
      <w:proofErr w:type="spellStart"/>
      <w:r w:rsidRPr="000067EE">
        <w:rPr>
          <w:rFonts w:ascii="Times New Roman" w:hAnsi="Times New Roman" w:cs="Times New Roman"/>
          <w:sz w:val="24"/>
        </w:rPr>
        <w:t>NumberOfBoxes</w:t>
      </w:r>
      <w:proofErr w:type="spellEnd"/>
      <w:r w:rsidRPr="000067EE">
        <w:rPr>
          <w:rFonts w:ascii="Times New Roman" w:hAnsi="Times New Roman" w:cs="Times New Roman"/>
          <w:sz w:val="24"/>
        </w:rPr>
        <w:t xml:space="preserve"> is to say that </w:t>
      </w:r>
      <w:proofErr w:type="spellStart"/>
      <w:r w:rsidRPr="000067EE">
        <w:rPr>
          <w:rFonts w:ascii="Times New Roman" w:hAnsi="Times New Roman" w:cs="Times New Roman"/>
          <w:sz w:val="24"/>
        </w:rPr>
        <w:t>CookieCost</w:t>
      </w:r>
      <w:proofErr w:type="spellEnd"/>
      <w:r w:rsidRPr="000067EE">
        <w:rPr>
          <w:rFonts w:ascii="Times New Roman" w:hAnsi="Times New Roman" w:cs="Times New Roman"/>
          <w:sz w:val="24"/>
        </w:rPr>
        <w:t xml:space="preserve"> depends upon </w:t>
      </w:r>
      <w:proofErr w:type="spellStart"/>
      <w:r w:rsidRPr="000067EE">
        <w:rPr>
          <w:rFonts w:ascii="Times New Roman" w:hAnsi="Times New Roman" w:cs="Times New Roman"/>
          <w:sz w:val="24"/>
        </w:rPr>
        <w:t>NumberOfBoxes</w:t>
      </w:r>
      <w:proofErr w:type="spellEnd"/>
      <w:r w:rsidRPr="000067EE">
        <w:rPr>
          <w:rFonts w:ascii="Times New Roman" w:hAnsi="Times New Roman" w:cs="Times New Roman"/>
          <w:sz w:val="24"/>
        </w:rPr>
        <w:t>. Such a state-</w:t>
      </w:r>
      <w:proofErr w:type="spellStart"/>
      <w:r w:rsidRPr="000067EE">
        <w:rPr>
          <w:rFonts w:ascii="Times New Roman" w:hAnsi="Times New Roman" w:cs="Times New Roman"/>
          <w:sz w:val="24"/>
        </w:rPr>
        <w:t>ment</w:t>
      </w:r>
      <w:proofErr w:type="spellEnd"/>
      <w:r w:rsidRPr="000067EE">
        <w:rPr>
          <w:rFonts w:ascii="Times New Roman" w:hAnsi="Times New Roman" w:cs="Times New Roman"/>
          <w:sz w:val="24"/>
        </w:rPr>
        <w:t xml:space="preserve"> tells the character of the relationship between </w:t>
      </w:r>
      <w:proofErr w:type="spellStart"/>
      <w:r w:rsidRPr="000067EE">
        <w:rPr>
          <w:rFonts w:ascii="Times New Roman" w:hAnsi="Times New Roman" w:cs="Times New Roman"/>
          <w:sz w:val="24"/>
        </w:rPr>
        <w:t>CookieCost</w:t>
      </w:r>
      <w:proofErr w:type="spellEnd"/>
      <w:r w:rsidRPr="000067EE">
        <w:rPr>
          <w:rFonts w:ascii="Times New Roman" w:hAnsi="Times New Roman" w:cs="Times New Roman"/>
          <w:sz w:val="24"/>
        </w:rPr>
        <w:t xml:space="preserve"> and </w:t>
      </w:r>
      <w:proofErr w:type="spellStart"/>
      <w:r w:rsidRPr="000067EE">
        <w:rPr>
          <w:rFonts w:ascii="Times New Roman" w:hAnsi="Times New Roman" w:cs="Times New Roman"/>
          <w:sz w:val="24"/>
        </w:rPr>
        <w:t>NumberOfBoxes</w:t>
      </w:r>
      <w:proofErr w:type="spellEnd"/>
      <w:r w:rsidRPr="000067EE">
        <w:rPr>
          <w:rFonts w:ascii="Times New Roman" w:hAnsi="Times New Roman" w:cs="Times New Roman"/>
          <w:sz w:val="24"/>
        </w:rPr>
        <w:t xml:space="preserve">, even though it doesn’t give the formula. More formally, we can say that </w:t>
      </w:r>
      <w:proofErr w:type="spellStart"/>
      <w:r w:rsidRPr="000067EE">
        <w:rPr>
          <w:rFonts w:ascii="Times New Roman" w:hAnsi="Times New Roman" w:cs="Times New Roman"/>
          <w:sz w:val="24"/>
        </w:rPr>
        <w:t>CookieCost</w:t>
      </w:r>
      <w:proofErr w:type="spellEnd"/>
      <w:r w:rsidRPr="000067EE">
        <w:rPr>
          <w:rFonts w:ascii="Times New Roman" w:hAnsi="Times New Roman" w:cs="Times New Roman"/>
          <w:sz w:val="24"/>
        </w:rPr>
        <w:t xml:space="preserve"> is functionally dependent on </w:t>
      </w:r>
      <w:proofErr w:type="spellStart"/>
      <w:r w:rsidRPr="000067EE">
        <w:rPr>
          <w:rFonts w:ascii="Times New Roman" w:hAnsi="Times New Roman" w:cs="Times New Roman"/>
          <w:sz w:val="24"/>
        </w:rPr>
        <w:t>NumberOfBoxes</w:t>
      </w:r>
      <w:proofErr w:type="spellEnd"/>
      <w:r w:rsidRPr="000067EE">
        <w:rPr>
          <w:rFonts w:ascii="Times New Roman" w:hAnsi="Times New Roman" w:cs="Times New Roman"/>
          <w:sz w:val="24"/>
        </w:rPr>
        <w:t xml:space="preserve">. Such a statement, which is called a functional de-pendency, can be written as follows: </w:t>
      </w:r>
      <w:proofErr w:type="spellStart"/>
      <w:r w:rsidRPr="000067EE">
        <w:rPr>
          <w:rFonts w:ascii="Times New Roman" w:hAnsi="Times New Roman" w:cs="Times New Roman"/>
          <w:sz w:val="24"/>
        </w:rPr>
        <w:t>NumberOfBoxes</w:t>
      </w:r>
      <w:proofErr w:type="spellEnd"/>
      <w:r w:rsidRPr="000067EE">
        <w:rPr>
          <w:rFonts w:ascii="Times New Roman" w:hAnsi="Times New Roman" w:cs="Times New Roman"/>
          <w:sz w:val="24"/>
        </w:rPr>
        <w:t xml:space="preserve"> S </w:t>
      </w:r>
      <w:proofErr w:type="spellStart"/>
      <w:r w:rsidRPr="000067EE">
        <w:rPr>
          <w:rFonts w:ascii="Times New Roman" w:hAnsi="Times New Roman" w:cs="Times New Roman"/>
          <w:sz w:val="24"/>
        </w:rPr>
        <w:t>CookieCost</w:t>
      </w:r>
      <w:proofErr w:type="spellEnd"/>
      <w:r w:rsidRPr="000067EE">
        <w:rPr>
          <w:rFonts w:ascii="Times New Roman" w:hAnsi="Times New Roman" w:cs="Times New Roman"/>
          <w:sz w:val="24"/>
        </w:rPr>
        <w:t xml:space="preserve"> This expression says that </w:t>
      </w:r>
      <w:proofErr w:type="spellStart"/>
      <w:r w:rsidRPr="000067EE">
        <w:rPr>
          <w:rFonts w:ascii="Times New Roman" w:hAnsi="Times New Roman" w:cs="Times New Roman"/>
          <w:sz w:val="24"/>
        </w:rPr>
        <w:t>NumberOfBoxes</w:t>
      </w:r>
      <w:proofErr w:type="spellEnd"/>
      <w:r w:rsidRPr="000067EE">
        <w:rPr>
          <w:rFonts w:ascii="Times New Roman" w:hAnsi="Times New Roman" w:cs="Times New Roman"/>
          <w:sz w:val="24"/>
        </w:rPr>
        <w:t xml:space="preserve"> determines </w:t>
      </w:r>
      <w:proofErr w:type="spellStart"/>
      <w:r w:rsidRPr="000067EE">
        <w:rPr>
          <w:rFonts w:ascii="Times New Roman" w:hAnsi="Times New Roman" w:cs="Times New Roman"/>
          <w:sz w:val="24"/>
        </w:rPr>
        <w:t>CookieCost</w:t>
      </w:r>
      <w:proofErr w:type="spellEnd"/>
      <w:r w:rsidRPr="000067EE">
        <w:rPr>
          <w:rFonts w:ascii="Times New Roman" w:hAnsi="Times New Roman" w:cs="Times New Roman"/>
          <w:sz w:val="24"/>
        </w:rPr>
        <w:t xml:space="preserve">. </w:t>
      </w:r>
    </w:p>
    <w:p w14:paraId="52CF2F24" w14:textId="0862A640" w:rsidR="00A643E0" w:rsidRPr="000067EE" w:rsidRDefault="000067EE" w:rsidP="00AB4134">
      <w:pPr>
        <w:ind w:left="720"/>
        <w:rPr>
          <w:rFonts w:ascii="Times New Roman" w:hAnsi="Times New Roman" w:cs="Times New Roman"/>
          <w:sz w:val="24"/>
        </w:rPr>
      </w:pPr>
      <w:r w:rsidRPr="000067EE">
        <w:rPr>
          <w:rFonts w:ascii="Times New Roman" w:hAnsi="Times New Roman" w:cs="Times New Roman"/>
          <w:sz w:val="24"/>
        </w:rPr>
        <w:t xml:space="preserve">The term on the left, </w:t>
      </w:r>
      <w:proofErr w:type="spellStart"/>
      <w:r w:rsidRPr="00070729">
        <w:rPr>
          <w:rFonts w:ascii="Times New Roman" w:hAnsi="Times New Roman" w:cs="Times New Roman"/>
          <w:b/>
          <w:sz w:val="24"/>
        </w:rPr>
        <w:t>NumberOfBoxes</w:t>
      </w:r>
      <w:proofErr w:type="spellEnd"/>
      <w:r w:rsidRPr="000067EE">
        <w:rPr>
          <w:rFonts w:ascii="Times New Roman" w:hAnsi="Times New Roman" w:cs="Times New Roman"/>
          <w:sz w:val="24"/>
        </w:rPr>
        <w:t xml:space="preserve">, is called the </w:t>
      </w:r>
      <w:r w:rsidRPr="00070729">
        <w:rPr>
          <w:rFonts w:ascii="Times New Roman" w:hAnsi="Times New Roman" w:cs="Times New Roman"/>
          <w:b/>
          <w:sz w:val="24"/>
        </w:rPr>
        <w:t>determinant</w:t>
      </w:r>
      <w:r w:rsidRPr="000067EE">
        <w:rPr>
          <w:rFonts w:ascii="Times New Roman" w:hAnsi="Times New Roman" w:cs="Times New Roman"/>
          <w:sz w:val="24"/>
        </w:rPr>
        <w:t>.</w:t>
      </w:r>
    </w:p>
    <w:p w14:paraId="33D8F9B9" w14:textId="77777777" w:rsidR="00A643E0" w:rsidRDefault="00A643E0"/>
    <w:sectPr w:rsidR="00A6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A0C61"/>
    <w:multiLevelType w:val="multilevel"/>
    <w:tmpl w:val="47620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1D"/>
    <w:rsid w:val="000067EE"/>
    <w:rsid w:val="00070729"/>
    <w:rsid w:val="001B43CE"/>
    <w:rsid w:val="00276BE2"/>
    <w:rsid w:val="002E76C6"/>
    <w:rsid w:val="00325F69"/>
    <w:rsid w:val="004E1C95"/>
    <w:rsid w:val="007D2B37"/>
    <w:rsid w:val="0084561D"/>
    <w:rsid w:val="008F4528"/>
    <w:rsid w:val="00A643E0"/>
    <w:rsid w:val="00AB4134"/>
    <w:rsid w:val="00AF6C13"/>
    <w:rsid w:val="00CD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8B45"/>
  <w15:chartTrackingRefBased/>
  <w15:docId w15:val="{3A2E23D1-1EDC-4234-AF19-F8445EA2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Cooley</dc:creator>
  <cp:keywords/>
  <dc:description/>
  <cp:lastModifiedBy>Jeremy Cooley</cp:lastModifiedBy>
  <cp:revision>14</cp:revision>
  <dcterms:created xsi:type="dcterms:W3CDTF">2018-06-07T15:37:00Z</dcterms:created>
  <dcterms:modified xsi:type="dcterms:W3CDTF">2018-06-07T15:59:00Z</dcterms:modified>
</cp:coreProperties>
</file>