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el bloque completo (barras 'Promedio de acceso a contenidos' y 'X de Y estudiantes han abierto elementos' + desplegable 'Acceso a contenidos' con el detalle por estudiante) se movió de la tarjeta 'Accesos al curso' a la tarjeta KPI 'Elementos publicados', para que publicación y consumo se lean juntos: total publicado, tipos de elemento y debajo cuánto acceden los estudiantes.</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2026-08-03T14:46:07.971Z</dcterms:created>
  <dcterms:modified xsi:type="dcterms:W3CDTF">2026-08-03T14:46:07.973Z</dcterms:modified>
</cp:coreProperties>
</file>

<file path=docProps/custom.xml><?xml version="1.0" encoding="utf-8"?>
<Properties xmlns="http://schemas.openxmlformats.org/officeDocument/2006/custom-properties" xmlns:vt="http://schemas.openxmlformats.org/officeDocument/2006/docPropsVTypes"/>
</file>