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y desglose por corte 1/2/3 + nota final calculada cuando los 3 cortes están calificados; tarjeta 'Mis asignaciones' con % entregadas (sobre el total) y % calificadas sobre las entregadas, para una lectura coherente de las dos barras; el desplegable de entregadas lista también las pendientes por entregar en gris — y en rojo con su fecha si ya vencieron o vencen en menos de 7 días; el detalle muestra la nota de cada una, cruzada con el gradebook vía gradeItemId; calendario de próximas entregas debajo de Resultados de Aprendizaje. Nuevo endpoint GET /brightspace/course/{ou}/dropbox/student/{userId}/status (entrega/calificación por asignación publicada, con soporte de entregas grupales).</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2026-08-03T13:31:00.072Z</dcterms:created>
  <dcterms:modified xsi:type="dcterms:W3CDTF">2026-08-03T13:31:00.073Z</dcterms:modified>
</cp:coreProperties>
</file>

<file path=docProps/custom.xml><?xml version="1.0" encoding="utf-8"?>
<Properties xmlns="http://schemas.openxmlformats.org/officeDocument/2006/custom-properties" xmlns:vt="http://schemas.openxmlformats.org/officeDocument/2006/docPropsVTypes"/>
</file>