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3"/>
      </w:pPr>
      <w:r>
        <w:rPr>
          <w:b/>
          <w:bCs/>
        </w:rPr>
        <w:t xml:space="preserve">Resumen de remotes en la carpeta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 y regla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JCortes87/proyecto-gemelos-digitales-JC — push permitido SOLO de ramas (nunca main). Aquí se abren los PR; el merge a main despliega.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JCortes87/gemelo-digital-v2.0 — solo respaldo, sin CI/CD. Pushear aquí no despliega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juandavid639/Proyecto-Gemelos-Digitales — push BLOQUEADO (DISABLED-no-push-to-upstream). Solo git fetch de referencia. NO SE TOCA.</w:t>
            </w:r>
          </w:p>
        </w:tc>
      </w:tr>
    </w:tbl>
    <w:p>
      <w:pPr>
        <w:pStyle w:val="Heading3"/>
      </w:pPr>
      <w:r>
        <w:rPr>
          <w:b/>
          <w:bCs/>
        </w:rPr>
        <w:t xml:space="preserve">Procedimiento paso a paso — Parte 1: quien desarrolla</w:t>
      </w:r>
    </w:p>
    <w:p>
      <w:pPr>
        <w:pStyle w:val="ListParagraph"/>
        <w:numPr>
          <w:ilvl w:val="0"/>
          <w:numId w:val="2"/>
        </w:numPr>
      </w:pPr>
      <w:r>
        <w:t xml:space="preserve">1. Crear rama nueva con prefijo conventional commits: git checkout -b feat/nombre-descriptivo (o fix/, style/, docs/).</w:t>
      </w:r>
    </w:p>
    <w:p>
      <w:pPr>
        <w:pStyle w:val="ListParagraph"/>
        <w:numPr>
          <w:ilvl w:val="0"/>
          <w:numId w:val="2"/>
        </w:numPr>
      </w:pPr>
      <w:r>
        <w:t xml:space="preserve">2. Hacer los cambios y VERIFICAR antes de commitear: npm test, npm run build y lint sin errores nuevos.</w:t>
      </w:r>
    </w:p>
    <w:p>
      <w:pPr>
        <w:pStyle w:val="ListParagraph"/>
        <w:numPr>
          <w:ilvl w:val="0"/>
          <w:numId w:val="2"/>
        </w:numPr>
      </w:pPr>
      <w:r>
        <w:t xml:space="preserve">3. git commit con mensaje en imperativo y prefijo (ej. feat(dashboard): agrega tarjeta de accesos).</w:t>
      </w:r>
    </w:p>
    <w:p>
      <w:pPr>
        <w:pStyle w:val="ListParagraph"/>
        <w:numPr>
          <w:ilvl w:val="0"/>
          <w:numId w:val="2"/>
        </w:numPr>
      </w:pPr>
      <w:r>
        <w:t xml:space="preserve">4. Pushear la MISMA rama a los dos repos del dueño: git push produccion &lt;rama&gt; y git push origin &lt;rama&gt;. Pushear la rama a produccion NO despliega — los workflows solo se disparan con cambios en main.</w:t>
      </w:r>
    </w:p>
    <w:p>
      <w:pPr>
        <w:pStyle w:val="ListParagraph"/>
        <w:numPr>
          <w:ilvl w:val="0"/>
          <w:numId w:val="2"/>
        </w:numPr>
      </w:pPr>
      <w:r>
        <w:t xml:space="preserve">5. Abrir el Pull Request hacia main del repo principal con el enlace que imprime GitHub: https://github.com/JCortes87/proyecto-gemelos-digitales-JC/pull/new/&lt;rama&gt;.</w:t>
      </w:r>
    </w:p>
    <w:p>
      <w:pPr>
        <w:pStyle w:val="ListParagraph"/>
        <w:numPr>
          <w:ilvl w:val="0"/>
          <w:numId w:val="2"/>
        </w:numPr>
      </w:pPr>
      <w:r>
        <w:t xml:space="preserve">6. FIN del trabajo del desarrollador. Prohibido: mergear el PR, push directo a main, y cualquier escritura sobre colaborador (repo de Juan).</w:t>
      </w:r>
    </w:p>
    <w:p>
      <w:pPr>
        <w:pStyle w:val="Heading3"/>
      </w:pPr>
      <w:r>
        <w:rPr>
          <w:b/>
          <w:bCs/>
        </w:rPr>
        <w:t xml:space="preserve">Procedimiento paso a paso — Parte 2: el dueño (merge manual)</w:t>
      </w:r>
    </w:p>
    <w:p>
      <w:pPr>
        <w:pStyle w:val="ListParagraph"/>
        <w:numPr>
          <w:ilvl w:val="0"/>
          <w:numId w:val="2"/>
        </w:numPr>
      </w:pPr>
      <w:r>
        <w:t xml:space="preserve">1. Abrir el PR en GitHub → pestaña Files changed → revisar el diff.</w:t>
      </w:r>
    </w:p>
    <w:p>
      <w:pPr>
        <w:pStyle w:val="ListParagraph"/>
        <w:numPr>
          <w:ilvl w:val="0"/>
          <w:numId w:val="2"/>
        </w:numPr>
      </w:pPr>
      <w:r>
        <w:t xml:space="preserve">2. Botón verde 'Merge pull request' → 'Confirm merge'. Este clic es el ÚNICO evento que despliega a producción.</w:t>
      </w:r>
    </w:p>
    <w:p>
      <w:pPr>
        <w:pStyle w:val="ListParagraph"/>
        <w:numPr>
          <w:ilvl w:val="0"/>
          <w:numId w:val="2"/>
        </w:numPr>
      </w:pPr>
      <w:r>
        <w:t xml:space="preserve">3. Verificar en la pestaña Actions que los workflows queden en verde (frontend ~3 min; backend ~10 min; docs/** no dispara ninguno).</w:t>
      </w:r>
    </w:p>
    <w:p>
      <w:pPr>
        <w:pStyle w:val="ListParagraph"/>
        <w:numPr>
          <w:ilvl w:val="0"/>
          <w:numId w:val="2"/>
        </w:numPr>
      </w:pPr>
      <w:r>
        <w:t xml:space="preserve">4. Comprobar en https://gemelo.cesa.edu.co en ventana de incógnito (o Ctrl+Shift+R).</w:t>
      </w:r>
    </w:p>
    <w:p>
      <w:pPr>
        <w:pStyle w:val="ListParagraph"/>
        <w:numPr>
          <w:ilvl w:val="0"/>
          <w:numId w:val="2"/>
        </w:numPr>
      </w:pPr>
      <w:r>
        <w:t xml:space="preserve">5. Si un workflow falla, producción NO se ve afectada (siguen sirviendo el contenedor y archivos anteriores); ver sección de rollback.</w:t>
      </w:r>
    </w:p>
    <w:p>
      <w:pPr>
        <w:pStyle w:val="Heading3"/>
      </w:pPr>
      <w:r>
        <w:rPr>
          <w:b/>
          <w:bCs/>
        </w:rPr>
        <w:t xml:space="preserve">Redacción de commits y Pull Requests (convención fija)</w:t>
      </w:r>
    </w:p>
    <w:p>
      <w:pPr>
        <w:spacing w:after="120"/>
      </w:pPr>
      <w:r>
        <w:t xml:space="preserve">Los mensajes de commit y los textos de los PR siguen SIEMPRE el mismo formato. Aplica a cualquier persona o asistente que desarrolle:</w:t>
      </w:r>
    </w:p>
    <w:p>
      <w:pPr>
        <w:pStyle w:val="ListParagraph"/>
        <w:numPr>
          <w:ilvl w:val="0"/>
          <w:numId w:val="2"/>
        </w:numPr>
      </w:pPr>
      <w:r>
        <w:t xml:space="preserve">Idioma: español.</w:t>
      </w:r>
    </w:p>
    <w:p>
      <w:pPr>
        <w:pStyle w:val="ListParagraph"/>
        <w:numPr>
          <w:ilvl w:val="0"/>
          <w:numId w:val="2"/>
        </w:numPr>
      </w:pPr>
      <w:r>
        <w:t xml:space="preserve">Modo imperativo: verbos que describen lo que hace el cambio al aplicarse — 'agrega', 'ajusta', 'corrige', 'mueve', 'elimina', 'renombra'. Nunca en pasado ('se agregó') ni en tono conversacional ('te dejé listo…').</w:t>
      </w:r>
    </w:p>
    <w:p>
      <w:pPr>
        <w:pStyle w:val="ListParagraph"/>
        <w:numPr>
          <w:ilvl w:val="0"/>
          <w:numId w:val="2"/>
        </w:numPr>
      </w:pPr>
      <w:r>
        <w:t xml:space="preserve">Prefijo tipo conventional commits con ámbito entre paréntesis: feat(dashboard):, fix(auth):, style(portal):, docs:, chore:, perf:, sec:.</w:t>
      </w:r>
    </w:p>
    <w:p>
      <w:pPr>
        <w:pStyle w:val="ListParagraph"/>
        <w:numPr>
          <w:ilvl w:val="0"/>
          <w:numId w:val="2"/>
        </w:numPr>
      </w:pPr>
      <w:r>
        <w:t xml:space="preserve">Título del PR = título del commit principal: una sola línea, prefijo + resumen en imperativo. No inventar un título distinto.</w:t>
      </w:r>
    </w:p>
    <w:p>
      <w:pPr>
        <w:pStyle w:val="ListParagraph"/>
        <w:numPr>
          <w:ilvl w:val="0"/>
          <w:numId w:val="2"/>
        </w:numPr>
      </w:pPr>
      <w:r>
        <w:t xml:space="preserve">Descripción del PR / cuerpo del commit: lista de viñetas, cada una en imperativo, diciendo qué cambia y — cuando no sea obvio — por qué. Sin narrativa personal ni saludos.</w:t>
      </w:r>
    </w:p>
    <w:p>
      <w:pPr>
        <w:spacing w:after="120"/>
      </w:pPr>
      <w:r>
        <w:rPr>
          <w:b/>
          <w:bCs/>
        </w:rPr>
        <w:t xml:space="preserve">Ejemplos correctos:</w:t>
      </w:r>
    </w:p>
    <w:p>
      <w:pPr>
        <w:shd w:fill="F4F4F4" w:val="clear"/>
        <w:spacing w:after="120"/>
      </w:pPr>
      <w:r>
        <w:rPr>
          <w:rFonts w:ascii="Consolas" w:cs="Consolas" w:eastAsia="Consolas" w:hAnsi="Consolas"/>
          <w:sz w:val="18"/>
          <w:szCs w:val="18"/>
        </w:rPr>
        <w:t xml:space="preserve">feat(dashboard): agrega tarjeta de accesos al curso con recencia por estudiante</w:t>
      </w:r>
    </w:p>
    <w:p>
      <w:pPr>
        <w:shd w:fill="F4F4F4" w:val="clear"/>
        <w:spacing w:after="120"/>
      </w:pPr>
      <w:r>
        <w:rPr>
          <w:rFonts w:ascii="Consolas" w:cs="Consolas" w:eastAsia="Consolas" w:hAnsi="Consolas"/>
          <w:sz w:val="18"/>
          <w:szCs w:val="18"/>
        </w:rPr>
        <w:t xml:space="preserve">fix(ui): corrige la pestaña inicial del dashboard (abría en Estudiantes)</w:t>
      </w:r>
    </w:p>
    <w:p>
      <w:pPr>
        <w:shd w:fill="F4F4F4" w:val="clear"/>
        <w:spacing w:after="120"/>
      </w:pPr>
      <w:r>
        <w:rPr>
          <w:rFonts w:ascii="Consolas" w:cs="Consolas" w:eastAsia="Consolas" w:hAnsi="Consolas"/>
          <w:sz w:val="18"/>
          <w:szCs w:val="18"/>
        </w:rPr>
        <w:t xml:space="preserve">docs: detalla el procedimiento de publicacion paso a paso</w:t>
      </w:r>
    </w:p>
    <w:p>
      <w:pPr>
        <w:spacing w:after="120"/>
      </w:pPr>
      <w:r>
        <w:rPr>
          <w:b/>
          <w:bCs/>
        </w:rPr>
        <w:t xml:space="preserve">Ejemplos incorrectos:</w:t>
      </w:r>
    </w:p>
    <w:p>
      <w:pPr>
        <w:shd w:fill="F4F4F4" w:val="clear"/>
        <w:spacing w:after="120"/>
      </w:pPr>
      <w:r>
        <w:rPr>
          <w:rFonts w:ascii="Consolas" w:cs="Consolas" w:eastAsia="Consolas" w:hAnsi="Consolas"/>
          <w:sz w:val="18"/>
          <w:szCs w:val="18"/>
        </w:rPr>
        <w:t xml:space="preserve">Cambios varios                      &lt;- no dice qué hace</w:t>
      </w:r>
    </w:p>
    <w:p>
      <w:pPr>
        <w:shd w:fill="F4F4F4" w:val="clear"/>
        <w:spacing w:after="120"/>
      </w:pPr>
      <w:r>
        <w:rPr>
          <w:rFonts w:ascii="Consolas" w:cs="Consolas" w:eastAsia="Consolas" w:hAnsi="Consolas"/>
          <w:sz w:val="18"/>
          <w:szCs w:val="18"/>
        </w:rPr>
        <w:t xml:space="preserve">Se agregó la tarjeta de accesos     &lt;- pasado, no imperativo</w:t>
      </w:r>
    </w:p>
    <w:p>
      <w:pPr>
        <w:shd w:fill="F4F4F4" w:val="clear"/>
        <w:spacing w:after="120"/>
      </w:pPr>
      <w:r>
        <w:rPr>
          <w:rFonts w:ascii="Consolas" w:cs="Consolas" w:eastAsia="Consolas" w:hAnsi="Consolas"/>
          <w:sz w:val="18"/>
          <w:szCs w:val="18"/>
        </w:rPr>
        <w:t xml:space="preserve">Hola, aquí te dejo lo del dashboard &lt;- conversacional</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Portal del estudiante rediseñado (2-3 ago): tarjeta 'Mi nota' con anillo circular (CircularRing, el mismo gráfico de los Resultados de Aprendizaje) mostrando solo la nota general — el desglose por corte 1/2/3 se retiró porque la estructura de cortes del gradebook varía entre cursos y a muchos les saldría 'sin calificar'; tarjeta 'Mis asignaciones' con % entregadas (sobre el total) y % calificadas sobre las entregadas, para una lectura coherente de las dos barras (contador 'X/Y calificadas'); el desplegable de entregadas lista también las pendientes por entregar: en gris las ya vencidas o lejanas (con su fecha) y con texto rojo discreto las que vencen en menos de 7 días; el detalle muestra la nota de cada una, cruzada con el gradebook vía gradeItemId; calendario de próximas entregas debajo de Resultados de Aprendizaje — en la lista del calendario, las entregas que vencen en 7 días o menos llevan borde rojo (además del distintivo '!' pulsante que ya existía para las de menos de 2 días). Nuevo endpoint GET /brightspace/course/{ou}/dropbox/student/{userId}/status (entrega/calificación por asignación publicada, con soporte de entregas grupales).</w:t>
      </w:r>
    </w:p>
    <w:p>
      <w:pPr>
        <w:pStyle w:val="ListParagraph"/>
        <w:numPr>
          <w:ilvl w:val="0"/>
          <w:numId w:val="2"/>
        </w:numPr>
      </w:pPr>
      <w:r>
        <w:t xml:space="preserve">Fix en el consumo de contenidos (3 ago): la barra 'Promedio de acceso a contenidos' no se mostraba en cursos con módulos anidados — el total de temas se contaba solo con el primer nivel de content/root y daba 0. Ahora el total se toma de /content/topics (que recorre submódulos, filtrando ocultos) con fallback al conteo del root.</w:t>
      </w:r>
    </w:p>
    <w:p>
      <w:pPr>
        <w:pStyle w:val="ListParagraph"/>
        <w:numPr>
          <w:ilvl w:val="0"/>
          <w:numId w:val="2"/>
        </w:numPr>
      </w:pPr>
      <w:r>
        <w:t xml:space="preserve">Reubicación del consumo de contenidos (3 ago): las barras de resumen ('Promedio de acceso a elementos publicados' y 'X de Y estudiantes han abierto elementos') se movieron de la tarjeta 'Accesos al curso' a la tarjeta KPI 'Elementos publicados', para que publicación y consumo se lean juntos; el desplegable 'Acceso a contenidos' (detalle por estudiante) se quedó en 'Accesos al curso'. Ambas barras llevan tooltip aclaratorio (el promedio es % de elementos abiertos por estudiante, cada elemento cuenta una vez; la otra barra cuenta estudiantes con al menos un elemento abierto) y en 'Accesos al curso' el detalle habla de 'contenidos', término distinto de los 'elementos' de la tarjeta KPI.</w:t>
      </w:r>
    </w:p>
    <w:p>
      <w:pPr>
        <w:pStyle w:val="ListParagraph"/>
        <w:numPr>
          <w:ilvl w:val="0"/>
          <w:numId w:val="2"/>
        </w:numPr>
      </w:pPr>
      <w:r>
        <w:t xml:space="preserve">Renombres de forma en la vista docente (3 ago): KPI 'Nota promedio' → 'Calificación promedio' (donut más grande y centrado verticalmente); 'Elementos publicados' → 'Recursos educativos publicados' ('Tipos de recurso educativo', 'Promedio de acceso a recursos educativos', 'X de Y estudiantes han abierto recursos educativos'); 'Distribución de notas' → 'Distribución de calificaciones' y en general 'notas' → 'calificaciones' en toda la vista docente (pestaña 'Predicción de calificaciones', tooltips, mensajes vacíos; 'Mis notas privadas' del drawer se mantiene porque son anotaciones); 'Cumplimiento evaluativo' → 'Evaluación y Feedback' con el título interno 'Índice de actividades evaluadas y retroalimentadas'; en 'Accesos al curso', 'Entraron...' → 'Ingresaron...', 'Sin entrar hace +14 días' → 'Sin ingresar hace +14 días' y 'Nunca han entrado' → 'Nunca han ingresado'.</w:t>
      </w:r>
    </w:p>
    <w:p>
      <w:pPr>
        <w:pStyle w:val="ListParagraph"/>
        <w:numPr>
          <w:ilvl w:val="0"/>
          <w:numId w:val="2"/>
        </w:numPr>
      </w:pPr>
      <w:r>
        <w:t xml:space="preserve">Rama única de trabajo 'desarrollo' (3 ago): se eliminaron las ~33 ramas por-cambio ya mergeadas (en produccion y origin) y desde ahora todo cambio se commitea en la rama reutilizable 'desarrollo', que se pushea a ambos remotes y desde la cual se abre el PR a main; tras cada merge NO se borra — se reutiliza para el siguiente cambio.</w:t>
      </w:r>
    </w:p>
    <w:p>
      <w:pPr>
        <w:pStyle w:val="ListParagraph"/>
        <w:numPr>
          <w:ilvl w:val="0"/>
          <w:numId w:val="2"/>
        </w:numPr>
      </w:pPr>
      <w:r>
        <w:t xml:space="preserve">Voz ElevenLabs desactivada temporalmente (3 ago): el saludo 'Bienvenido de nuevo' sonaba en cada recarga del dashboard y cada reproducción consumía tokens de ElevenLabs. Se quitó el saludo y se agregó el interruptor ELEVENLABS_ENABLED = false en src/utils/speech.js: ninguna función de voz llama a /speech/tts; el tutorial y los botones de voz usan la voz gratuita del navegador (speechSynthesis). Para reactivar: flag en true y restaurar el saludo en TeacherDashboard.jsx.</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2026-08-03T19:36:05.324Z</dcterms:created>
  <dcterms:modified xsi:type="dcterms:W3CDTF">2026-08-03T19:36:05.325Z</dcterms:modified>
</cp:coreProperties>
</file>

<file path=docProps/custom.xml><?xml version="1.0" encoding="utf-8"?>
<Properties xmlns="http://schemas.openxmlformats.org/officeDocument/2006/custom-properties" xmlns:vt="http://schemas.openxmlformats.org/officeDocument/2006/docPropsVTypes"/>
</file>