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B5FFF"/>
          <w:sz w:val="52"/>
          <w:szCs w:val="52"/>
        </w:rPr>
        <w:t xml:space="preserve">Cómo consumir las APIs de Brightspace (D2L)</w:t>
      </w:r>
    </w:p>
    <w:p>
      <w:pPr>
        <w:spacing w:after="160"/>
        <w:jc w:val="center"/>
      </w:pPr>
      <w:r>
        <w:rPr>
          <w:color w:val="666666"/>
          <w:sz w:val="26"/>
          <w:szCs w:val="26"/>
        </w:rPr>
        <w:t xml:space="preserve">Guía práctica basada en la experiencia real del proyecto</w:t>
      </w:r>
    </w:p>
    <w:p>
      <w:pPr>
        <w:spacing w:after="2000"/>
        <w:jc w:val="center"/>
      </w:pPr>
      <w:r>
        <w:rPr>
          <w:color w:val="666666"/>
          <w:sz w:val="26"/>
          <w:szCs w:val="26"/>
        </w:rPr>
        <w:t xml:space="preserve">Visor de desempeño estudiantil — CESA</w:t>
      </w:r>
    </w:p>
    <w:p>
      <w:pPr>
        <w:jc w:val="center"/>
      </w:pPr>
      <w:r>
        <w:rPr>
          <w:color w:val="666666"/>
          <w:sz w:val="22"/>
          <w:szCs w:val="22"/>
        </w:rPr>
        <w:t xml:space="preserve">Agosto de 2026</w:t>
      </w:r>
    </w:p>
    <w:p>
      <w:r>
        <w:br w:type="page"/>
      </w:r>
    </w:p>
    <w:p>
      <w:pPr>
        <w:pStyle w:val="Heading1"/>
        <w:spacing w:after="140" w:before="320"/>
      </w:pPr>
      <w:r>
        <w:rPr>
          <w:b/>
          <w:bCs/>
          <w:color w:val="0B5FFF"/>
        </w:rPr>
        <w:t xml:space="preserve">1. Qué es la API de Brightspace</w:t>
      </w:r>
    </w:p>
    <w:p>
      <w:pPr>
        <w:spacing w:after="120" w:line="300"/>
      </w:pPr>
      <w:r>
        <w:rPr>
          <w:sz w:val="21"/>
          <w:szCs w:val="21"/>
        </w:rPr>
        <w:t xml:space="preserve">Brightspace (de la empresa D2L) expone una API REST — históricamente llamada </w:t>
      </w:r>
      <w:r>
        <w:rPr>
          <w:b/>
          <w:bCs/>
          <w:sz w:val="21"/>
          <w:szCs w:val="21"/>
        </w:rPr>
        <w:t xml:space="preserve">Valence</w:t>
      </w:r>
      <w:r>
        <w:rPr>
          <w:sz w:val="21"/>
          <w:szCs w:val="21"/>
        </w:rPr>
        <w:t xml:space="preserve"> — sobre la propia URL del LMS. Todas las rutas cuelgan de:</w:t>
      </w:r>
    </w:p>
    <w:p>
      <w:pPr>
        <w:shd w:fill="F2F4F7" w:val="clear"/>
        <w:spacing w:after="140"/>
        <w:ind w:left="240" w:right="240"/>
      </w:pPr>
      <w:r>
        <w:rPr>
          <w:rFonts w:ascii="Consolas" w:cs="Consolas" w:eastAsia="Consolas" w:hAnsi="Consolas"/>
          <w:sz w:val="18"/>
          <w:szCs w:val="18"/>
        </w:rPr>
        <w:t xml:space="preserve">https://{institucion}.brightspace.com/d2l/api/{producto}/{version}/...</w:t>
      </w:r>
    </w:p>
    <w:p>
      <w:pPr>
        <w:spacing w:after="120" w:line="300"/>
      </w:pPr>
      <w:r>
        <w:rPr>
          <w:sz w:val="21"/>
          <w:szCs w:val="21"/>
        </w:rPr>
        <w:t xml:space="preserve">Los dos productos que se consumen en la práctica son:</w:t>
      </w:r>
    </w:p>
    <w:p>
      <w:pPr>
        <w:pStyle w:val="ListParagraph"/>
        <w:numPr>
          <w:ilvl w:val="0"/>
          <w:numId w:val="2"/>
        </w:numPr>
        <w:spacing w:after="80" w:line="290"/>
      </w:pPr>
      <w:r>
        <w:rPr>
          <w:b/>
          <w:bCs/>
          <w:sz w:val="21"/>
          <w:szCs w:val="21"/>
        </w:rPr>
        <w:t xml:space="preserve">LP (Learning Platform)</w:t>
      </w:r>
      <w:r>
        <w:rPr>
          <w:sz w:val="21"/>
          <w:szCs w:val="21"/>
        </w:rPr>
        <w:t xml:space="preserve"> — usuarios, matrículas (enrollments), estructura organizacional, cursos, roles, perfiles. Ej.: </w:t>
      </w:r>
      <w:r>
        <w:rPr>
          <w:rFonts w:ascii="Consolas" w:cs="Consolas" w:eastAsia="Consolas" w:hAnsi="Consolas"/>
          <w:sz w:val="19"/>
          <w:szCs w:val="19"/>
        </w:rPr>
        <w:t xml:space="preserve">/d2l/api/lp/1.50/users/whoami</w:t>
      </w:r>
    </w:p>
    <w:p>
      <w:pPr>
        <w:pStyle w:val="ListParagraph"/>
        <w:numPr>
          <w:ilvl w:val="0"/>
          <w:numId w:val="2"/>
        </w:numPr>
        <w:spacing w:after="80" w:line="290"/>
      </w:pPr>
      <w:r>
        <w:rPr>
          <w:b/>
          <w:bCs/>
          <w:sz w:val="21"/>
          <w:szCs w:val="21"/>
        </w:rPr>
        <w:t xml:space="preserve">LE (Learning Environment)</w:t>
      </w:r>
      <w:r>
        <w:rPr>
          <w:sz w:val="21"/>
          <w:szCs w:val="21"/>
        </w:rPr>
        <w:t xml:space="preserve"> — lo académico: contenido, calificaciones, asignaciones (dropbox), rúbricas, classlist, resultados de aprendizaje. Ej.: </w:t>
      </w:r>
      <w:r>
        <w:rPr>
          <w:rFonts w:ascii="Consolas" w:cs="Consolas" w:eastAsia="Consolas" w:hAnsi="Consolas"/>
          <w:sz w:val="19"/>
          <w:szCs w:val="19"/>
        </w:rPr>
        <w:t xml:space="preserve">/d2l/api/le/1.92/{orgUnitId}/grades/</w:t>
      </w:r>
    </w:p>
    <w:p>
      <w:pPr>
        <w:spacing w:after="120" w:line="300"/>
      </w:pPr>
      <w:r>
        <w:rPr>
          <w:sz w:val="21"/>
          <w:szCs w:val="21"/>
        </w:rPr>
        <w:t xml:space="preserve">Cada producto se versiona por separado (en este proyecto: LP 1.50 y LE 1.92, configurables por variable de entorno). Algunas APIs nuevas solo existen en la versión </w:t>
      </w:r>
      <w:r>
        <w:rPr>
          <w:rFonts w:ascii="Consolas" w:cs="Consolas" w:eastAsia="Consolas" w:hAnsi="Consolas"/>
          <w:sz w:val="19"/>
          <w:szCs w:val="19"/>
        </w:rPr>
        <w:t xml:space="preserve">unstable</w:t>
      </w:r>
      <w:r>
        <w:rPr>
          <w:sz w:val="21"/>
          <w:szCs w:val="21"/>
        </w:rPr>
        <w:t xml:space="preserve"> (p. ej. partes de rúbricas y de resultados de aprendizaje). Todo responde JSON y el identificador central es el </w:t>
      </w:r>
      <w:r>
        <w:rPr>
          <w:b/>
          <w:bCs/>
          <w:sz w:val="21"/>
          <w:szCs w:val="21"/>
        </w:rPr>
        <w:t xml:space="preserve">orgUnitId</w:t>
      </w:r>
      <w:r>
        <w:rPr>
          <w:sz w:val="21"/>
          <w:szCs w:val="21"/>
        </w:rPr>
        <w:t xml:space="preserve">: el ID único de cada curso.</w:t>
      </w:r>
    </w:p>
    <w:p>
      <w:pPr>
        <w:pStyle w:val="Heading1"/>
        <w:spacing w:after="140" w:before="320"/>
      </w:pPr>
      <w:r>
        <w:rPr>
          <w:b/>
          <w:bCs/>
          <w:color w:val="0B5FFF"/>
        </w:rPr>
        <w:t xml:space="preserve">2. Autenticación</w:t>
      </w:r>
    </w:p>
    <w:p>
      <w:pPr>
        <w:pStyle w:val="Heading2"/>
        <w:spacing w:after="100" w:before="240"/>
      </w:pPr>
      <w:r>
        <w:rPr>
          <w:b/>
          <w:bCs/>
        </w:rPr>
        <w:t xml:space="preserve">2.1 OAuth 2.0 (Authorization Code) — el camino principal</w:t>
      </w:r>
    </w:p>
    <w:p>
      <w:pPr>
        <w:spacing w:after="120" w:line="300"/>
      </w:pPr>
      <w:r>
        <w:rPr>
          <w:sz w:val="21"/>
          <w:szCs w:val="21"/>
        </w:rPr>
        <w:t xml:space="preserve">Se registra una aplicación en Brightspace (Admin Tools → Manage Extensibility → OAuth 2.0) que entrega un </w:t>
      </w:r>
      <w:r>
        <w:rPr>
          <w:b/>
          <w:bCs/>
          <w:sz w:val="21"/>
          <w:szCs w:val="21"/>
        </w:rPr>
        <w:t xml:space="preserve">Client ID</w:t>
      </w:r>
      <w:r>
        <w:rPr>
          <w:sz w:val="21"/>
          <w:szCs w:val="21"/>
        </w:rPr>
        <w:t xml:space="preserve"> y un </w:t>
      </w:r>
      <w:r>
        <w:rPr>
          <w:b/>
          <w:bCs/>
          <w:sz w:val="21"/>
          <w:szCs w:val="21"/>
        </w:rPr>
        <w:t xml:space="preserve">Client Secret</w:t>
      </w:r>
      <w:r>
        <w:rPr>
          <w:sz w:val="21"/>
          <w:szCs w:val="21"/>
        </w:rPr>
        <w:t xml:space="preserve">, y se declara la </w:t>
      </w:r>
      <w:r>
        <w:rPr>
          <w:b/>
          <w:bCs/>
          <w:sz w:val="21"/>
          <w:szCs w:val="21"/>
        </w:rPr>
        <w:t xml:space="preserve">Redirect URI</w:t>
      </w:r>
      <w:r>
        <w:rPr>
          <w:sz w:val="21"/>
          <w:szCs w:val="21"/>
        </w:rPr>
        <w:t xml:space="preserve"> del backend. El flujo es el Authorization Code clásico:</w:t>
      </w:r>
    </w:p>
    <w:p>
      <w:pPr>
        <w:pStyle w:val="ListParagraph"/>
        <w:numPr>
          <w:ilvl w:val="0"/>
          <w:numId w:val="2"/>
        </w:numPr>
        <w:spacing w:after="80" w:line="290"/>
      </w:pPr>
      <w:r>
        <w:rPr>
          <w:sz w:val="21"/>
          <w:szCs w:val="21"/>
        </w:rPr>
        <w:t xml:space="preserve">1. Se redirige al usuario a </w:t>
      </w:r>
      <w:r>
        <w:rPr>
          <w:rFonts w:ascii="Consolas" w:cs="Consolas" w:eastAsia="Consolas" w:hAnsi="Consolas"/>
          <w:sz w:val="19"/>
          <w:szCs w:val="19"/>
        </w:rPr>
        <w:t xml:space="preserve">https://auth.brightspace.com/oauth2/auth</w:t>
      </w:r>
      <w:r>
        <w:rPr>
          <w:sz w:val="21"/>
          <w:szCs w:val="21"/>
        </w:rPr>
        <w:t xml:space="preserve"> con client_id, redirect_uri, scope y un state firmado (anti-CSRF).</w:t>
      </w:r>
    </w:p>
    <w:p>
      <w:pPr>
        <w:pStyle w:val="ListParagraph"/>
        <w:numPr>
          <w:ilvl w:val="0"/>
          <w:numId w:val="2"/>
        </w:numPr>
        <w:spacing w:after="80" w:line="290"/>
      </w:pPr>
      <w:r>
        <w:rPr>
          <w:sz w:val="21"/>
          <w:szCs w:val="21"/>
        </w:rPr>
        <w:t xml:space="preserve">2. El usuario se autentica en Brightspace (en CESA encadena con el SSO de Microsoft) y vuelve a la redirect_uri con un </w:t>
      </w:r>
      <w:r>
        <w:rPr>
          <w:rFonts w:ascii="Consolas" w:cs="Consolas" w:eastAsia="Consolas" w:hAnsi="Consolas"/>
          <w:sz w:val="19"/>
          <w:szCs w:val="19"/>
        </w:rPr>
        <w:t xml:space="preserve">code</w:t>
      </w:r>
      <w:r>
        <w:rPr>
          <w:sz w:val="21"/>
          <w:szCs w:val="21"/>
        </w:rPr>
        <w:t xml:space="preserve">.</w:t>
      </w:r>
    </w:p>
    <w:p>
      <w:pPr>
        <w:pStyle w:val="ListParagraph"/>
        <w:numPr>
          <w:ilvl w:val="0"/>
          <w:numId w:val="2"/>
        </w:numPr>
        <w:spacing w:after="80" w:line="290"/>
      </w:pPr>
      <w:r>
        <w:rPr>
          <w:sz w:val="21"/>
          <w:szCs w:val="21"/>
        </w:rPr>
        <w:t xml:space="preserve">3. El backend intercambia el code en </w:t>
      </w:r>
      <w:r>
        <w:rPr>
          <w:rFonts w:ascii="Consolas" w:cs="Consolas" w:eastAsia="Consolas" w:hAnsi="Consolas"/>
          <w:sz w:val="19"/>
          <w:szCs w:val="19"/>
        </w:rPr>
        <w:t xml:space="preserve">https://auth.brightspace.com/core/connect/token</w:t>
      </w:r>
      <w:r>
        <w:rPr>
          <w:sz w:val="21"/>
          <w:szCs w:val="21"/>
        </w:rPr>
        <w:t xml:space="preserve"> y recibe </w:t>
      </w:r>
      <w:r>
        <w:rPr>
          <w:rFonts w:ascii="Consolas" w:cs="Consolas" w:eastAsia="Consolas" w:hAnsi="Consolas"/>
          <w:sz w:val="19"/>
          <w:szCs w:val="19"/>
        </w:rPr>
        <w:t xml:space="preserve">access_token</w:t>
      </w:r>
      <w:r>
        <w:rPr>
          <w:sz w:val="21"/>
          <w:szCs w:val="21"/>
        </w:rPr>
        <w:t xml:space="preserve"> (dura ~1 hora) y </w:t>
      </w:r>
      <w:r>
        <w:rPr>
          <w:rFonts w:ascii="Consolas" w:cs="Consolas" w:eastAsia="Consolas" w:hAnsi="Consolas"/>
          <w:sz w:val="19"/>
          <w:szCs w:val="19"/>
        </w:rPr>
        <w:t xml:space="preserve">refresh_token</w:t>
      </w:r>
      <w:r>
        <w:rPr>
          <w:sz w:val="21"/>
          <w:szCs w:val="21"/>
        </w:rPr>
        <w:t xml:space="preserve">.</w:t>
      </w:r>
    </w:p>
    <w:p>
      <w:pPr>
        <w:pStyle w:val="ListParagraph"/>
        <w:numPr>
          <w:ilvl w:val="0"/>
          <w:numId w:val="2"/>
        </w:numPr>
        <w:spacing w:after="80" w:line="290"/>
      </w:pPr>
      <w:r>
        <w:rPr>
          <w:sz w:val="21"/>
          <w:szCs w:val="21"/>
        </w:rPr>
        <w:t xml:space="preserve">4. Cada llamada a la API lleva el header </w:t>
      </w:r>
      <w:r>
        <w:rPr>
          <w:rFonts w:ascii="Consolas" w:cs="Consolas" w:eastAsia="Consolas" w:hAnsi="Consolas"/>
          <w:sz w:val="19"/>
          <w:szCs w:val="19"/>
        </w:rPr>
        <w:t xml:space="preserve">Authorization: Bearer {access_token}</w:t>
      </w:r>
      <w:r>
        <w:rPr>
          <w:sz w:val="21"/>
          <w:szCs w:val="21"/>
        </w:rPr>
        <w:t xml:space="preserve">.</w:t>
      </w:r>
    </w:p>
    <w:p>
      <w:pPr>
        <w:spacing w:after="120" w:line="300"/>
      </w:pPr>
      <w:r>
        <w:rPr>
          <w:b/>
          <w:bCs/>
          <w:sz w:val="21"/>
          <w:szCs w:val="21"/>
        </w:rPr>
        <w:t xml:space="preserve">Refresh proactivo: </w:t>
      </w:r>
      <w:r>
        <w:rPr>
          <w:sz w:val="21"/>
          <w:szCs w:val="21"/>
        </w:rPr>
        <w:t xml:space="preserve">cuando al token le quedan menos de 5 minutos, el backend lo renueva silenciosamente con el refresh_token. Ojo: Brightspace ROTA el refresh_token en cada uso — hay que guardar siempre el más reciente.</w:t>
      </w:r>
    </w:p>
    <w:p>
      <w:pPr>
        <w:pStyle w:val="Heading2"/>
        <w:spacing w:after="100" w:before="240"/>
      </w:pPr>
      <w:r>
        <w:rPr>
          <w:b/>
          <w:bCs/>
        </w:rPr>
        <w:t xml:space="preserve">2.2 Scopes</w:t>
      </w:r>
    </w:p>
    <w:p>
      <w:pPr>
        <w:spacing w:after="120" w:line="300"/>
      </w:pPr>
      <w:r>
        <w:rPr>
          <w:sz w:val="21"/>
          <w:szCs w:val="21"/>
        </w:rPr>
        <w:t xml:space="preserve">Los permisos se piden con scopes en formato </w:t>
      </w:r>
      <w:r>
        <w:rPr>
          <w:rFonts w:ascii="Consolas" w:cs="Consolas" w:eastAsia="Consolas" w:hAnsi="Consolas"/>
          <w:sz w:val="19"/>
          <w:szCs w:val="19"/>
        </w:rPr>
        <w:t xml:space="preserve">grupo:recurso:permiso</w:t>
      </w:r>
      <w:r>
        <w:rPr>
          <w:sz w:val="21"/>
          <w:szCs w:val="21"/>
        </w:rPr>
        <w:t xml:space="preserve">. Los que usa el proyecto (selección):</w:t>
      </w:r>
    </w:p>
    <w:p>
      <w:pPr>
        <w:shd w:fill="F2F4F7" w:val="clear"/>
        <w:spacing w:after="0"/>
        <w:ind w:left="240" w:right="240"/>
      </w:pPr>
      <w:r>
        <w:rPr>
          <w:rFonts w:ascii="Consolas" w:cs="Consolas" w:eastAsia="Consolas" w:hAnsi="Consolas"/>
          <w:sz w:val="18"/>
          <w:szCs w:val="18"/>
        </w:rPr>
        <w:t xml:space="preserve">core:*:*  users:own_profile:read  users:profile:read</w:t>
      </w:r>
    </w:p>
    <w:p>
      <w:pPr>
        <w:shd w:fill="F2F4F7" w:val="clear"/>
        <w:spacing w:after="0"/>
        <w:ind w:left="240" w:right="240"/>
      </w:pPr>
      <w:r>
        <w:rPr>
          <w:rFonts w:ascii="Consolas" w:cs="Consolas" w:eastAsia="Consolas" w:hAnsi="Consolas"/>
          <w:sz w:val="18"/>
          <w:szCs w:val="18"/>
        </w:rPr>
        <w:t xml:space="preserve">enrollment:own_enrollment:read  enrollment:orgunit:read</w:t>
      </w:r>
    </w:p>
    <w:p>
      <w:pPr>
        <w:shd w:fill="F2F4F7" w:val="clear"/>
        <w:spacing w:after="0"/>
        <w:ind w:left="240" w:right="240"/>
      </w:pPr>
      <w:r>
        <w:rPr>
          <w:rFonts w:ascii="Consolas" w:cs="Consolas" w:eastAsia="Consolas" w:hAnsi="Consolas"/>
          <w:sz w:val="18"/>
          <w:szCs w:val="18"/>
        </w:rPr>
        <w:t xml:space="preserve">grades:gradeobjects:read  grades:gradevalues:read  grades:own_grades:read</w:t>
      </w:r>
    </w:p>
    <w:p>
      <w:pPr>
        <w:shd w:fill="F2F4F7" w:val="clear"/>
        <w:spacing w:after="0"/>
        <w:ind w:left="240" w:right="240"/>
      </w:pPr>
      <w:r>
        <w:rPr>
          <w:rFonts w:ascii="Consolas" w:cs="Consolas" w:eastAsia="Consolas" w:hAnsi="Consolas"/>
          <w:sz w:val="18"/>
          <w:szCs w:val="18"/>
        </w:rPr>
        <w:t xml:space="preserve">content:modules:readonly  content:topics:readonly  content:toc:read</w:t>
      </w:r>
    </w:p>
    <w:p>
      <w:pPr>
        <w:shd w:fill="F2F4F7" w:val="clear"/>
        <w:spacing w:after="0"/>
        <w:ind w:left="240" w:right="240"/>
      </w:pPr>
      <w:r>
        <w:rPr>
          <w:rFonts w:ascii="Consolas" w:cs="Consolas" w:eastAsia="Consolas" w:hAnsi="Consolas"/>
          <w:sz w:val="18"/>
          <w:szCs w:val="18"/>
        </w:rPr>
        <w:t xml:space="preserve">content:completions:read  dropbox:folders:read</w:t>
      </w:r>
    </w:p>
    <w:p>
      <w:pPr>
        <w:shd w:fill="F2F4F7" w:val="clear"/>
        <w:spacing w:after="0"/>
        <w:ind w:left="240" w:right="240"/>
      </w:pPr>
      <w:r>
        <w:rPr>
          <w:rFonts w:ascii="Consolas" w:cs="Consolas" w:eastAsia="Consolas" w:hAnsi="Consolas"/>
          <w:sz w:val="18"/>
          <w:szCs w:val="18"/>
        </w:rPr>
        <w:t xml:space="preserve">rubrics:objects:read  rubrics:assessments:read</w:t>
      </w:r>
    </w:p>
    <w:p>
      <w:pPr>
        <w:shd w:fill="F2F4F7" w:val="clear"/>
        <w:spacing w:after="0"/>
        <w:ind w:left="240" w:right="240"/>
      </w:pPr>
      <w:r>
        <w:rPr>
          <w:rFonts w:ascii="Consolas" w:cs="Consolas" w:eastAsia="Consolas" w:hAnsi="Consolas"/>
          <w:sz w:val="18"/>
          <w:szCs w:val="18"/>
        </w:rPr>
        <w:t xml:space="preserve">outcomes:sets:read  outcomes:alignments:read  outcomes:sets:manage</w:t>
      </w:r>
    </w:p>
    <w:p>
      <w:pPr>
        <w:shd w:fill="F2F4F7" w:val="clear"/>
        <w:spacing w:after="0"/>
        <w:ind w:left="240" w:right="240"/>
      </w:pPr>
      <w:r>
        <w:rPr>
          <w:rFonts w:ascii="Consolas" w:cs="Consolas" w:eastAsia="Consolas" w:hAnsi="Consolas"/>
          <w:sz w:val="18"/>
          <w:szCs w:val="18"/>
        </w:rPr>
        <w:t xml:space="preserve">quizzing:quizzes:read  discussions:forums:readonly</w:t>
      </w:r>
    </w:p>
    <w:p>
      <w:pPr>
        <w:shd w:fill="F2F4F7" w:val="clear"/>
        <w:spacing w:after="140"/>
        <w:ind w:left="240" w:right="240"/>
      </w:pPr>
      <w:r>
        <w:rPr>
          <w:rFonts w:ascii="Consolas" w:cs="Consolas" w:eastAsia="Consolas" w:hAnsi="Consolas"/>
          <w:sz w:val="18"/>
          <w:szCs w:val="18"/>
        </w:rPr>
        <w:t xml:space="preserve">orgunits:course:read  organizations:organization:read  role:detail:read</w:t>
      </w:r>
    </w:p>
    <w:p>
      <w:pPr>
        <w:spacing w:after="120" w:line="300"/>
      </w:pPr>
      <w:r>
        <w:rPr>
          <w:sz w:val="21"/>
          <w:szCs w:val="21"/>
        </w:rPr>
        <w:t xml:space="preserve">Regla de oro: pedir solo lo necesario. Si un scope no está autorizado en el registro de la app, el token no lo incluye y las llamadas de ese dominio devuelven 403.</w:t>
      </w:r>
    </w:p>
    <w:p>
      <w:pPr>
        <w:pStyle w:val="Heading2"/>
        <w:spacing w:after="100" w:before="240"/>
      </w:pPr>
      <w:r>
        <w:rPr>
          <w:b/>
          <w:bCs/>
        </w:rPr>
        <w:t xml:space="preserve">2.3 LTI 1.3 — para embeber la herramienta dentro de Brightspace</w:t>
      </w:r>
    </w:p>
    <w:p>
      <w:pPr>
        <w:spacing w:after="120" w:line="300"/>
      </w:pPr>
      <w:r>
        <w:rPr>
          <w:sz w:val="21"/>
          <w:szCs w:val="21"/>
        </w:rPr>
        <w:t xml:space="preserve">Complementario al OAuth: la herramienta se registra como LTI 1.3 y Brightspace la lanza embebida en el curso. El launch llega como un </w:t>
      </w:r>
      <w:r>
        <w:rPr>
          <w:b/>
          <w:bCs/>
          <w:sz w:val="21"/>
          <w:szCs w:val="21"/>
        </w:rPr>
        <w:t xml:space="preserve">JWT firmado</w:t>
      </w:r>
      <w:r>
        <w:rPr>
          <w:sz w:val="21"/>
          <w:szCs w:val="21"/>
        </w:rPr>
        <w:t xml:space="preserve"> que se valida contra el JWKS de la plataforma (</w:t>
      </w:r>
      <w:r>
        <w:rPr>
          <w:rFonts w:ascii="Consolas" w:cs="Consolas" w:eastAsia="Consolas" w:hAnsi="Consolas"/>
          <w:sz w:val="19"/>
          <w:szCs w:val="19"/>
        </w:rPr>
        <w:t xml:space="preserve">https://{institucion}.brightspace.com/d2l/.well-known/jwks</w:t>
      </w:r>
      <w:r>
        <w:rPr>
          <w:sz w:val="21"/>
          <w:szCs w:val="21"/>
        </w:rPr>
        <w:t xml:space="preserve">), verificando issuer, audience, nonce y deployment_id. Del JWT salen el usuario, su rol y el orgUnitId del curso — el docente entra sin volver a loguearse.</w:t>
      </w:r>
    </w:p>
    <w:p>
      <w:pPr>
        <w:pStyle w:val="Heading1"/>
        <w:spacing w:after="140" w:before="320"/>
      </w:pPr>
      <w:r>
        <w:rPr>
          <w:b/>
          <w:bCs/>
          <w:color w:val="0B5FFF"/>
        </w:rPr>
        <w:t xml:space="preserve">3. Convenciones de consumo</w:t>
      </w:r>
    </w:p>
    <w:p>
      <w:pPr>
        <w:pStyle w:val="Heading2"/>
        <w:spacing w:after="100" w:before="240"/>
      </w:pPr>
      <w:r>
        <w:rPr>
          <w:b/>
          <w:bCs/>
        </w:rPr>
        <w:t xml:space="preserve">3.1 Paginación por bookmark</w:t>
      </w:r>
    </w:p>
    <w:p>
      <w:pPr>
        <w:spacing w:after="120" w:line="300"/>
      </w:pPr>
      <w:r>
        <w:rPr>
          <w:sz w:val="21"/>
          <w:szCs w:val="21"/>
        </w:rPr>
        <w:t xml:space="preserve">Las colecciones grandes no usan page/offset: devuelven un objeto con </w:t>
      </w:r>
      <w:r>
        <w:rPr>
          <w:rFonts w:ascii="Consolas" w:cs="Consolas" w:eastAsia="Consolas" w:hAnsi="Consolas"/>
          <w:sz w:val="19"/>
          <w:szCs w:val="19"/>
        </w:rPr>
        <w:t xml:space="preserve">Items</w:t>
      </w:r>
      <w:r>
        <w:rPr>
          <w:sz w:val="21"/>
          <w:szCs w:val="21"/>
        </w:rPr>
        <w:t xml:space="preserve"> y </w:t>
      </w:r>
      <w:r>
        <w:rPr>
          <w:rFonts w:ascii="Consolas" w:cs="Consolas" w:eastAsia="Consolas" w:hAnsi="Consolas"/>
          <w:sz w:val="19"/>
          <w:szCs w:val="19"/>
        </w:rPr>
        <w:t xml:space="preserve">PagingInfo { Bookmark, HasMoreItems }</w:t>
      </w:r>
      <w:r>
        <w:rPr>
          <w:sz w:val="21"/>
          <w:szCs w:val="21"/>
        </w:rPr>
        <w:t xml:space="preserve">. Para la siguiente página se repite la llamada agregando </w:t>
      </w:r>
      <w:r>
        <w:rPr>
          <w:rFonts w:ascii="Consolas" w:cs="Consolas" w:eastAsia="Consolas" w:hAnsi="Consolas"/>
          <w:sz w:val="19"/>
          <w:szCs w:val="19"/>
        </w:rPr>
        <w:t xml:space="preserve">?bookmark={valor}</w:t>
      </w:r>
      <w:r>
        <w:rPr>
          <w:sz w:val="21"/>
          <w:szCs w:val="21"/>
        </w:rPr>
        <w:t xml:space="preserve">, hasta que HasMoreItems sea false.</w:t>
      </w:r>
    </w:p>
    <w:p>
      <w:pPr>
        <w:pStyle w:val="Heading2"/>
        <w:spacing w:after="100" w:before="240"/>
      </w:pPr>
      <w:r>
        <w:rPr>
          <w:b/>
          <w:bCs/>
        </w:rPr>
        <w:t xml:space="preserve">3.2 Errores típicos</w:t>
      </w:r>
    </w:p>
    <w:p>
      <w:pPr>
        <w:pStyle w:val="ListParagraph"/>
        <w:numPr>
          <w:ilvl w:val="0"/>
          <w:numId w:val="2"/>
        </w:numPr>
        <w:spacing w:after="80" w:line="290"/>
      </w:pPr>
      <w:r>
        <w:rPr>
          <w:rFonts w:ascii="Consolas" w:cs="Consolas" w:eastAsia="Consolas" w:hAnsi="Consolas"/>
          <w:sz w:val="19"/>
          <w:szCs w:val="19"/>
        </w:rPr>
        <w:t xml:space="preserve">401</w:t>
      </w:r>
      <w:r>
        <w:rPr>
          <w:sz w:val="21"/>
          <w:szCs w:val="21"/>
        </w:rPr>
        <w:t xml:space="preserve">  token vencido o inválido → renovar con el refresh_token y reintentar.</w:t>
      </w:r>
    </w:p>
    <w:p>
      <w:pPr>
        <w:pStyle w:val="ListParagraph"/>
        <w:numPr>
          <w:ilvl w:val="0"/>
          <w:numId w:val="2"/>
        </w:numPr>
        <w:spacing w:after="80" w:line="290"/>
      </w:pPr>
      <w:r>
        <w:rPr>
          <w:rFonts w:ascii="Consolas" w:cs="Consolas" w:eastAsia="Consolas" w:hAnsi="Consolas"/>
          <w:sz w:val="19"/>
          <w:szCs w:val="19"/>
        </w:rPr>
        <w:t xml:space="preserve">403</w:t>
      </w:r>
      <w:r>
        <w:rPr>
          <w:sz w:val="21"/>
          <w:szCs w:val="21"/>
        </w:rPr>
        <w:t xml:space="preserve">  el usuario no tiene permiso (rol o scope). No es un error del código: la API aplica los permisos REALES del usuario dueño del token.</w:t>
      </w:r>
    </w:p>
    <w:p>
      <w:pPr>
        <w:pStyle w:val="ListParagraph"/>
        <w:numPr>
          <w:ilvl w:val="0"/>
          <w:numId w:val="2"/>
        </w:numPr>
        <w:spacing w:after="80" w:line="290"/>
      </w:pPr>
      <w:r>
        <w:rPr>
          <w:rFonts w:ascii="Consolas" w:cs="Consolas" w:eastAsia="Consolas" w:hAnsi="Consolas"/>
          <w:sz w:val="19"/>
          <w:szCs w:val="19"/>
        </w:rPr>
        <w:t xml:space="preserve">404</w:t>
      </w:r>
      <w:r>
        <w:rPr>
          <w:sz w:val="21"/>
          <w:szCs w:val="21"/>
        </w:rPr>
        <w:t xml:space="preserve">  recurso inexistente o no visible para ese usuario.</w:t>
      </w:r>
    </w:p>
    <w:p>
      <w:pPr>
        <w:pStyle w:val="ListParagraph"/>
        <w:numPr>
          <w:ilvl w:val="0"/>
          <w:numId w:val="2"/>
        </w:numPr>
        <w:spacing w:after="80" w:line="290"/>
      </w:pPr>
      <w:r>
        <w:rPr>
          <w:rFonts w:ascii="Consolas" w:cs="Consolas" w:eastAsia="Consolas" w:hAnsi="Consolas"/>
          <w:sz w:val="19"/>
          <w:szCs w:val="19"/>
        </w:rPr>
        <w:t xml:space="preserve">429</w:t>
      </w:r>
      <w:r>
        <w:rPr>
          <w:sz w:val="21"/>
          <w:szCs w:val="21"/>
        </w:rPr>
        <w:t xml:space="preserve">  demasiadas llamadas → espaciar y cachear.</w:t>
      </w:r>
    </w:p>
    <w:p>
      <w:pPr>
        <w:pStyle w:val="Heading2"/>
        <w:spacing w:after="100" w:before="240"/>
      </w:pPr>
      <w:r>
        <w:rPr>
          <w:b/>
          <w:bCs/>
        </w:rPr>
        <w:t xml:space="preserve">3.3 Buenas prácticas que aplicamos</w:t>
      </w:r>
    </w:p>
    <w:p>
      <w:pPr>
        <w:pStyle w:val="ListParagraph"/>
        <w:numPr>
          <w:ilvl w:val="0"/>
          <w:numId w:val="2"/>
        </w:numPr>
        <w:spacing w:after="80" w:line="290"/>
      </w:pPr>
      <w:r>
        <w:rPr>
          <w:b/>
          <w:bCs/>
          <w:sz w:val="21"/>
          <w:szCs w:val="21"/>
        </w:rPr>
        <w:t xml:space="preserve">Caché con TTL corto (5 min) por usuario+URL</w:t>
      </w:r>
      <w:r>
        <w:rPr>
          <w:sz w:val="21"/>
          <w:szCs w:val="21"/>
        </w:rPr>
        <w:t xml:space="preserve"> para GETs estables (whoami, enrollments, estructura de contenido). Elimina la mayoría de round-trips: cada refresh del dashboard repetía llamadas idénticas.</w:t>
      </w:r>
    </w:p>
    <w:p>
      <w:pPr>
        <w:pStyle w:val="ListParagraph"/>
        <w:numPr>
          <w:ilvl w:val="0"/>
          <w:numId w:val="2"/>
        </w:numPr>
        <w:spacing w:after="80" w:line="290"/>
      </w:pPr>
      <w:r>
        <w:rPr>
          <w:b/>
          <w:bCs/>
          <w:sz w:val="21"/>
          <w:szCs w:val="21"/>
        </w:rPr>
        <w:t xml:space="preserve">Concurrencia limitada</w:t>
      </w:r>
      <w:r>
        <w:rPr>
          <w:sz w:val="21"/>
          <w:szCs w:val="21"/>
        </w:rPr>
        <w:t xml:space="preserve"> (semáforo de ~8 llamadas simultáneas) al abanicar por módulos o estudiantes, para no golpear el rate limit.</w:t>
      </w:r>
    </w:p>
    <w:p>
      <w:pPr>
        <w:pStyle w:val="ListParagraph"/>
        <w:numPr>
          <w:ilvl w:val="0"/>
          <w:numId w:val="2"/>
        </w:numPr>
        <w:spacing w:after="80" w:line="290"/>
      </w:pPr>
      <w:r>
        <w:rPr>
          <w:b/>
          <w:bCs/>
          <w:sz w:val="21"/>
          <w:szCs w:val="21"/>
        </w:rPr>
        <w:t xml:space="preserve">Timeouts explícitos</w:t>
      </w:r>
      <w:r>
        <w:rPr>
          <w:sz w:val="21"/>
          <w:szCs w:val="21"/>
        </w:rPr>
        <w:t xml:space="preserve"> (30 s) y manejo best-effort: si una llamada secundaria falla, se degrada la funcionalidad, no se rompe la pantalla.</w:t>
      </w:r>
    </w:p>
    <w:p>
      <w:pPr>
        <w:pStyle w:val="ListParagraph"/>
        <w:numPr>
          <w:ilvl w:val="0"/>
          <w:numId w:val="2"/>
        </w:numPr>
        <w:spacing w:after="80" w:line="290"/>
      </w:pPr>
      <w:r>
        <w:rPr>
          <w:b/>
          <w:bCs/>
          <w:sz w:val="21"/>
          <w:szCs w:val="21"/>
        </w:rPr>
        <w:t xml:space="preserve">El token del usuario como autorización</w:t>
      </w:r>
      <w:r>
        <w:rPr>
          <w:sz w:val="21"/>
          <w:szCs w:val="21"/>
        </w:rPr>
        <w:t xml:space="preserve">: consultar con el token de quien pide hace que Brightspace mismo limite lo que puede ver. Para datos servidos desde base de datos propia hay que replicar esa verificación (rol real por curso vía enrollments).</w:t>
      </w:r>
    </w:p>
    <w:p>
      <w:pPr>
        <w:pStyle w:val="ListParagraph"/>
        <w:numPr>
          <w:ilvl w:val="0"/>
          <w:numId w:val="2"/>
        </w:numPr>
        <w:spacing w:after="80" w:line="290"/>
      </w:pPr>
      <w:r>
        <w:rPr>
          <w:b/>
          <w:bCs/>
          <w:sz w:val="21"/>
          <w:szCs w:val="21"/>
        </w:rPr>
        <w:t xml:space="preserve">Base de datos propia como caché de largo plazo</w:t>
      </w:r>
      <w:r>
        <w:rPr>
          <w:sz w:val="21"/>
          <w:szCs w:val="21"/>
        </w:rPr>
        <w:t xml:space="preserve">: Brightspace tarda 1–3 s por endpoint; sincronizamos snapshots a Postgres y servimos en ~50 ms, cayendo a Brightspace solo si los datos están viejos.</w:t>
      </w:r>
    </w:p>
    <w:p>
      <w:r>
        <w:br w:type="page"/>
      </w:r>
    </w:p>
    <w:p>
      <w:pPr>
        <w:pStyle w:val="Heading1"/>
        <w:spacing w:after="140" w:before="320"/>
      </w:pPr>
      <w:r>
        <w:rPr>
          <w:b/>
          <w:bCs/>
          <w:color w:val="0B5FFF"/>
        </w:rPr>
        <w:t xml:space="preserve">4. Endpoints que consume el proyecto</w:t>
      </w:r>
    </w:p>
    <w:p>
      <w:pPr>
        <w:spacing w:after="120" w:line="300"/>
      </w:pPr>
      <w:r>
        <w:rPr>
          <w:sz w:val="21"/>
          <w:szCs w:val="21"/>
        </w:rPr>
        <w:t xml:space="preserve">Todos con GET + Bearer token salvo que se indique. </w:t>
      </w:r>
      <w:r>
        <w:rPr>
          <w:rFonts w:ascii="Consolas" w:cs="Consolas" w:eastAsia="Consolas" w:hAnsi="Consolas"/>
          <w:sz w:val="19"/>
          <w:szCs w:val="19"/>
        </w:rPr>
        <w:t xml:space="preserve">{ou}</w:t>
      </w:r>
      <w:r>
        <w:rPr>
          <w:sz w:val="21"/>
          <w:szCs w:val="21"/>
        </w:rPr>
        <w:t xml:space="preserve"> = orgUnitId del curso, </w:t>
      </w:r>
      <w:r>
        <w:rPr>
          <w:rFonts w:ascii="Consolas" w:cs="Consolas" w:eastAsia="Consolas" w:hAnsi="Consolas"/>
          <w:sz w:val="19"/>
          <w:szCs w:val="19"/>
        </w:rPr>
        <w:t xml:space="preserve">{v}</w:t>
      </w:r>
      <w:r>
        <w:rPr>
          <w:sz w:val="21"/>
          <w:szCs w:val="21"/>
        </w:rPr>
        <w:t xml:space="preserve"> = versión del producto.</w:t>
      </w:r>
    </w:p>
    <w:p>
      <w:pPr>
        <w:pStyle w:val="Heading2"/>
        <w:spacing w:after="100" w:before="240"/>
      </w:pPr>
      <w:r>
        <w:rPr>
          <w:b/>
          <w:bCs/>
        </w:rPr>
        <w:t xml:space="preserve">4.1 Identidad y usuarios (LP)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/lp/{v}/users/whoami</w:t>
            </w:r>
          </w:p>
        </w:tc>
        <w:tc>
          <w:tcPr>
            <w:tcW w:type="dxa" w:w="5200"/>
            <w:tcMar>
              <w:top w:type="dxa" w:w="60"/>
              <w:left w:type="dxa" w:w="100"/>
              <w:bottom w:type="dxa" w:w="60"/>
              <w:right w:type="dxa" w:w="100"/>
            </w:tcMar>
          </w:tcPr>
          <w:p>
            <w:r>
              <w:rPr>
                <w:sz w:val="19"/>
                <w:szCs w:val="19"/>
              </w:rPr>
              <w:t xml:space="preserve">Identificar al usuario del token (Identifier, nombre, correo).</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/lp/{v}/users/{userId}</w:t>
            </w:r>
          </w:p>
        </w:tc>
        <w:tc>
          <w:tcPr>
            <w:tcW w:type="dxa" w:w="5200"/>
            <w:tcMar>
              <w:top w:type="dxa" w:w="60"/>
              <w:left w:type="dxa" w:w="100"/>
              <w:bottom w:type="dxa" w:w="60"/>
              <w:right w:type="dxa" w:w="100"/>
            </w:tcMar>
          </w:tcPr>
          <w:p>
            <w:r>
              <w:rPr>
                <w:sz w:val="19"/>
                <w:szCs w:val="19"/>
              </w:rPr>
              <w:t xml:space="preserve">Datos de un usuario puntual.</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/lp/{v}/profile/user/{userId}/image</w:t>
            </w:r>
          </w:p>
        </w:tc>
        <w:tc>
          <w:tcPr>
            <w:tcW w:type="dxa" w:w="5200"/>
            <w:tcMar>
              <w:top w:type="dxa" w:w="60"/>
              <w:left w:type="dxa" w:w="100"/>
              <w:bottom w:type="dxa" w:w="60"/>
              <w:right w:type="dxa" w:w="100"/>
            </w:tcMar>
          </w:tcPr>
          <w:p>
            <w:r>
              <w:rPr>
                <w:sz w:val="19"/>
                <w:szCs w:val="19"/>
              </w:rPr>
              <w:t xml:space="preserve">Foto de perfil (avatares del dashboard).</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/lp/{v}/roles/{roleId}</w:t>
            </w:r>
          </w:p>
        </w:tc>
        <w:tc>
          <w:tcPr>
            <w:tcW w:type="dxa" w:w="5200"/>
            <w:tcMar>
              <w:top w:type="dxa" w:w="60"/>
              <w:left w:type="dxa" w:w="100"/>
              <w:bottom w:type="dxa" w:w="60"/>
              <w:right w:type="dxa" w:w="100"/>
            </w:tcMar>
          </w:tcPr>
          <w:p>
            <w:r>
              <w:rPr>
                <w:sz w:val="19"/>
                <w:szCs w:val="19"/>
              </w:rPr>
              <w:t xml:space="preserve">Nombre real de un rol a partir de su ID.</w:t>
            </w:r>
          </w:p>
        </w:tc>
      </w:tr>
    </w:tbl>
    <w:p>
      <w:pPr>
        <w:pStyle w:val="Heading2"/>
        <w:spacing w:after="100" w:before="240"/>
      </w:pPr>
      <w:r>
        <w:rPr>
          <w:b/>
          <w:bCs/>
        </w:rPr>
        <w:t xml:space="preserve">4.2 Cursos, matrículas y estructura organizacional (LP)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/lp/{v}/courses/{ou}</w:t>
            </w:r>
          </w:p>
        </w:tc>
        <w:tc>
          <w:tcPr>
            <w:tcW w:type="dxa" w:w="5200"/>
            <w:tcMar>
              <w:top w:type="dxa" w:w="60"/>
              <w:left w:type="dxa" w:w="100"/>
              <w:bottom w:type="dxa" w:w="60"/>
              <w:right w:type="dxa" w:w="100"/>
            </w:tcMar>
          </w:tcPr>
          <w:p>
            <w:r>
              <w:rPr>
                <w:sz w:val="19"/>
                <w:szCs w:val="19"/>
              </w:rPr>
              <w:t xml:space="preserve">Información del curso: nombre, código, fechas de inicio/fin (clave para la regla de fechas heredadas).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/lp/{v}/enrollments/myenrollments/</w:t>
            </w:r>
          </w:p>
        </w:tc>
        <w:tc>
          <w:tcPr>
            <w:tcW w:type="dxa" w:w="5200"/>
            <w:tcMar>
              <w:top w:type="dxa" w:w="60"/>
              <w:left w:type="dxa" w:w="100"/>
              <w:bottom w:type="dxa" w:w="60"/>
              <w:right w:type="dxa" w:w="100"/>
            </w:tcMar>
          </w:tcPr>
          <w:p>
            <w:r>
              <w:rPr>
                <w:sz w:val="19"/>
                <w:szCs w:val="19"/>
              </w:rPr>
              <w:t xml:space="preserve">Cursos del propio usuario (con Access.ClasslistRoleName: su rol en cada curso).</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/lp/{v}/enrollments/users/{userId}/orgUnits/</w:t>
            </w:r>
          </w:p>
        </w:tc>
        <w:tc>
          <w:tcPr>
            <w:tcW w:type="dxa" w:w="5200"/>
            <w:tcMar>
              <w:top w:type="dxa" w:w="60"/>
              <w:left w:type="dxa" w:w="100"/>
              <w:bottom w:type="dxa" w:w="60"/>
              <w:right w:type="dxa" w:w="100"/>
            </w:tcMar>
          </w:tcPr>
          <w:p>
            <w:r>
              <w:rPr>
                <w:sz w:val="19"/>
                <w:szCs w:val="19"/>
              </w:rPr>
              <w:t xml:space="preserve">Matrículas de un usuario; la usamos para resolver el rol REAL por curso (autorización) y para el selector de cursos.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/lp/{v}/enrollments/orgUnits/{ou}/users/</w:t>
            </w:r>
          </w:p>
        </w:tc>
        <w:tc>
          <w:tcPr>
            <w:tcW w:type="dxa" w:w="5200"/>
            <w:tcMar>
              <w:top w:type="dxa" w:w="60"/>
              <w:left w:type="dxa" w:w="100"/>
              <w:bottom w:type="dxa" w:w="60"/>
              <w:right w:type="dxa" w:w="100"/>
            </w:tcMar>
          </w:tcPr>
          <w:p>
            <w:r>
              <w:rPr>
                <w:sz w:val="19"/>
                <w:szCs w:val="19"/>
              </w:rPr>
              <w:t xml:space="preserve">Personas matriculadas en un curso con su rol (detectar a los profesores reales).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/lp/{v}/orgstructure/  (+ children/, descendants/)</w:t>
            </w:r>
          </w:p>
        </w:tc>
        <w:tc>
          <w:tcPr>
            <w:tcW w:type="dxa" w:w="5200"/>
            <w:tcMar>
              <w:top w:type="dxa" w:w="60"/>
              <w:left w:type="dxa" w:w="100"/>
              <w:bottom w:type="dxa" w:w="60"/>
              <w:right w:type="dxa" w:w="100"/>
            </w:tcMar>
          </w:tcPr>
          <w:p>
            <w:r>
              <w:rPr>
                <w:sz w:val="19"/>
                <w:szCs w:val="19"/>
              </w:rPr>
              <w:t xml:space="preserve">Buscar cursos por nombre/código/tipo, listar semestres (orgUnitType=5) y sus cursos hijos.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/lp/{v}/organization/info</w:t>
            </w:r>
          </w:p>
        </w:tc>
        <w:tc>
          <w:tcPr>
            <w:tcW w:type="dxa" w:w="5200"/>
            <w:tcMar>
              <w:top w:type="dxa" w:w="60"/>
              <w:left w:type="dxa" w:w="100"/>
              <w:bottom w:type="dxa" w:w="60"/>
              <w:right w:type="dxa" w:w="100"/>
            </w:tcMar>
          </w:tcPr>
          <w:p>
            <w:r>
              <w:rPr>
                <w:sz w:val="19"/>
                <w:szCs w:val="19"/>
              </w:rPr>
              <w:t xml:space="preserve">Datos del tenant.</w:t>
            </w:r>
          </w:p>
        </w:tc>
      </w:tr>
    </w:tbl>
    <w:p>
      <w:pPr>
        <w:pStyle w:val="Heading2"/>
        <w:spacing w:after="100" w:before="240"/>
      </w:pPr>
      <w:r>
        <w:rPr>
          <w:b/>
          <w:bCs/>
        </w:rPr>
        <w:t xml:space="preserve">4.3 Classlist (LE)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/le/{v}/{ou}/classlist/</w:t>
            </w:r>
          </w:p>
        </w:tc>
        <w:tc>
          <w:tcPr>
            <w:tcW w:type="dxa" w:w="5200"/>
            <w:tcMar>
              <w:top w:type="dxa" w:w="60"/>
              <w:left w:type="dxa" w:w="100"/>
              <w:bottom w:type="dxa" w:w="60"/>
              <w:right w:type="dxa" w:w="100"/>
            </w:tcMar>
          </w:tcPr>
          <w:p>
            <w:r>
              <w:rPr>
                <w:sz w:val="19"/>
                <w:szCs w:val="19"/>
              </w:rPr>
              <w:t xml:space="preserve">Lista del curso con rol y LastAccessed por persona — alimenta 'Accesos al curso' y la columna de último ingreso.</w:t>
            </w:r>
          </w:p>
        </w:tc>
      </w:tr>
    </w:tbl>
    <w:p>
      <w:pPr>
        <w:pStyle w:val="Heading2"/>
        <w:spacing w:after="100" w:before="240"/>
      </w:pPr>
      <w:r>
        <w:rPr>
          <w:b/>
          <w:bCs/>
        </w:rPr>
        <w:t xml:space="preserve">4.4 Contenido del curso (LE)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/le/{v}/{ou}/content/root/</w:t>
            </w:r>
          </w:p>
        </w:tc>
        <w:tc>
          <w:tcPr>
            <w:tcW w:type="dxa" w:w="5200"/>
            <w:tcMar>
              <w:top w:type="dxa" w:w="60"/>
              <w:left w:type="dxa" w:w="100"/>
              <w:bottom w:type="dxa" w:w="60"/>
              <w:right w:type="dxa" w:w="100"/>
            </w:tcMar>
          </w:tcPr>
          <w:p>
            <w:r>
              <w:rPr>
                <w:sz w:val="19"/>
                <w:szCs w:val="19"/>
              </w:rPr>
              <w:t xml:space="preserve">Módulos (unidades) de primer nivel — trae 'shells' SIN la Url de los archivos.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/le/{v}/{ou}/content/modules/{id}/structure/</w:t>
            </w:r>
          </w:p>
        </w:tc>
        <w:tc>
          <w:tcPr>
            <w:tcW w:type="dxa" w:w="5200"/>
            <w:tcMar>
              <w:top w:type="dxa" w:w="60"/>
              <w:left w:type="dxa" w:w="100"/>
              <w:bottom w:type="dxa" w:w="60"/>
              <w:right w:type="dxa" w:w="100"/>
            </w:tcMar>
          </w:tcPr>
          <w:p>
            <w:r>
              <w:rPr>
                <w:sz w:val="19"/>
                <w:szCs w:val="19"/>
              </w:rPr>
              <w:t xml:space="preserve">Hijos de cada módulo (submódulos Type 0 y recursos Type 1 con Url, TopicType, IsHidden) — se recorre con BFS.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/le/{v}/{ou}/content/topics/{id}/file</w:t>
            </w:r>
          </w:p>
        </w:tc>
        <w:tc>
          <w:tcPr>
            <w:tcW w:type="dxa" w:w="5200"/>
            <w:tcMar>
              <w:top w:type="dxa" w:w="60"/>
              <w:left w:type="dxa" w:w="100"/>
              <w:bottom w:type="dxa" w:w="60"/>
              <w:right w:type="dxa" w:w="100"/>
            </w:tcMar>
          </w:tcPr>
          <w:p>
            <w:r>
              <w:rPr>
                <w:sz w:val="19"/>
                <w:szCs w:val="19"/>
              </w:rPr>
              <w:t xml:space="preserve">Descarga el archivo de un topic (usamos el HTML de las páginas para extraer sus enlaces).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/le/{v}/{ou}/content/topics/{id}/completions/</w:t>
            </w:r>
          </w:p>
        </w:tc>
        <w:tc>
          <w:tcPr>
            <w:tcW w:type="dxa" w:w="5200"/>
            <w:tcMar>
              <w:top w:type="dxa" w:w="60"/>
              <w:left w:type="dxa" w:w="100"/>
              <w:bottom w:type="dxa" w:w="60"/>
              <w:right w:type="dxa" w:w="100"/>
            </w:tcMar>
          </w:tcPr>
          <w:p>
            <w:r>
              <w:rPr>
                <w:sz w:val="19"/>
                <w:szCs w:val="19"/>
              </w:rPr>
              <w:t xml:space="preserve">Quiénes abrieron cada recurso (consumo de contenidos por estudiante).</w:t>
            </w:r>
          </w:p>
        </w:tc>
      </w:tr>
    </w:tbl>
    <w:p>
      <w:pPr>
        <w:pStyle w:val="Heading2"/>
        <w:spacing w:after="100" w:before="240"/>
      </w:pPr>
      <w:r>
        <w:rPr>
          <w:b/>
          <w:bCs/>
        </w:rPr>
        <w:t xml:space="preserve">4.5 Asignaciones — dropbox (LE)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/le/{v}/{ou}/dropbox/folders/</w:t>
            </w:r>
          </w:p>
        </w:tc>
        <w:tc>
          <w:tcPr>
            <w:tcW w:type="dxa" w:w="5200"/>
            <w:tcMar>
              <w:top w:type="dxa" w:w="60"/>
              <w:left w:type="dxa" w:w="100"/>
              <w:bottom w:type="dxa" w:w="60"/>
              <w:right w:type="dxa" w:w="100"/>
            </w:tcMar>
          </w:tcPr>
          <w:p>
            <w:r>
              <w:rPr>
                <w:sz w:val="19"/>
                <w:szCs w:val="19"/>
              </w:rPr>
              <w:t xml:space="preserve">Todas las asignaciones con fechas, visibilidad, TotalUsersWithSubmissions / WithFeedback.</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/le/{v}/{ou}/dropbox/folders/{id}/submissions/</w:t>
            </w:r>
          </w:p>
        </w:tc>
        <w:tc>
          <w:tcPr>
            <w:tcW w:type="dxa" w:w="5200"/>
            <w:tcMar>
              <w:top w:type="dxa" w:w="60"/>
              <w:left w:type="dxa" w:w="100"/>
              <w:bottom w:type="dxa" w:w="60"/>
              <w:right w:type="dxa" w:w="100"/>
            </w:tcMar>
          </w:tcPr>
          <w:p>
            <w:r>
              <w:rPr>
                <w:sz w:val="19"/>
                <w:szCs w:val="19"/>
              </w:rPr>
              <w:t xml:space="preserve">Entregas por asignación (quién entregó, cuándo; soporta entregas grupales).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/le/{v}/{ou}/dropbox/folders/{id}/feedback/{userId}</w:t>
            </w:r>
          </w:p>
        </w:tc>
        <w:tc>
          <w:tcPr>
            <w:tcW w:type="dxa" w:w="5200"/>
            <w:tcMar>
              <w:top w:type="dxa" w:w="60"/>
              <w:left w:type="dxa" w:w="100"/>
              <w:bottom w:type="dxa" w:w="60"/>
              <w:right w:type="dxa" w:w="100"/>
            </w:tcMar>
          </w:tcPr>
          <w:p>
            <w:r>
              <w:rPr>
                <w:sz w:val="19"/>
                <w:szCs w:val="19"/>
              </w:rPr>
              <w:t xml:space="preserve">Retroalimentación dada a un estudiante.</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/le/{v}/{ou}/dropbox/folders/{id}/rubrics/{rid}/assessments/{userId}</w:t>
            </w:r>
          </w:p>
        </w:tc>
        <w:tc>
          <w:tcPr>
            <w:tcW w:type="dxa" w:w="5200"/>
            <w:tcMar>
              <w:top w:type="dxa" w:w="60"/>
              <w:left w:type="dxa" w:w="100"/>
              <w:bottom w:type="dxa" w:w="60"/>
              <w:right w:type="dxa" w:w="100"/>
            </w:tcMar>
          </w:tcPr>
          <w:p>
            <w:r>
              <w:rPr>
                <w:sz w:val="19"/>
                <w:szCs w:val="19"/>
              </w:rPr>
              <w:t xml:space="preserve">Evaluación de rúbrica de una entrega.</w:t>
            </w:r>
          </w:p>
        </w:tc>
      </w:tr>
    </w:tbl>
    <w:p>
      <w:pPr>
        <w:pStyle w:val="Heading2"/>
        <w:spacing w:after="100" w:before="240"/>
      </w:pPr>
      <w:r>
        <w:rPr>
          <w:b/>
          <w:bCs/>
        </w:rPr>
        <w:t xml:space="preserve">4.6 Calificaciones (LE)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/le/{v}/{ou}/grades/</w:t>
            </w:r>
          </w:p>
        </w:tc>
        <w:tc>
          <w:tcPr>
            <w:tcW w:type="dxa" w:w="5200"/>
            <w:tcMar>
              <w:top w:type="dxa" w:w="60"/>
              <w:left w:type="dxa" w:w="100"/>
              <w:bottom w:type="dxa" w:w="60"/>
              <w:right w:type="dxa" w:w="100"/>
            </w:tcMar>
          </w:tcPr>
          <w:p>
            <w:r>
              <w:rPr>
                <w:sz w:val="19"/>
                <w:szCs w:val="19"/>
              </w:rPr>
              <w:t xml:space="preserve">Ítems del gradebook (pesos, categorías, fórmulas, gradeItemId).</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/le/{v}/{ou}/grades/values/{userId}/</w:t>
            </w:r>
          </w:p>
        </w:tc>
        <w:tc>
          <w:tcPr>
            <w:tcW w:type="dxa" w:w="5200"/>
            <w:tcMar>
              <w:top w:type="dxa" w:w="60"/>
              <w:left w:type="dxa" w:w="100"/>
              <w:bottom w:type="dxa" w:w="60"/>
              <w:right w:type="dxa" w:w="100"/>
            </w:tcMar>
          </w:tcPr>
          <w:p>
            <w:r>
              <w:rPr>
                <w:sz w:val="19"/>
                <w:szCs w:val="19"/>
              </w:rPr>
              <w:t xml:space="preserve">Notas de un estudiante en todos los ítems — base del gemelo digital y del riesgo.</w:t>
            </w:r>
          </w:p>
        </w:tc>
      </w:tr>
    </w:tbl>
    <w:p>
      <w:pPr>
        <w:pStyle w:val="Heading2"/>
        <w:spacing w:after="100" w:before="240"/>
      </w:pPr>
      <w:r>
        <w:rPr>
          <w:b/>
          <w:bCs/>
        </w:rPr>
        <w:t xml:space="preserve">4.7 Rúbricas (LE/LP)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/le/1.93/{ou}/rubrics?objectType=Dropbox&amp;objectId={id}</w:t>
            </w:r>
          </w:p>
        </w:tc>
        <w:tc>
          <w:tcPr>
            <w:tcW w:type="dxa" w:w="5200"/>
            <w:tcMar>
              <w:top w:type="dxa" w:w="60"/>
              <w:left w:type="dxa" w:w="100"/>
              <w:bottom w:type="dxa" w:w="60"/>
              <w:right w:type="dxa" w:w="100"/>
            </w:tcMar>
          </w:tcPr>
          <w:p>
            <w:r>
              <w:rPr>
                <w:sz w:val="19"/>
                <w:szCs w:val="19"/>
              </w:rPr>
              <w:t xml:space="preserve">Rúbricas asociadas a una asignación.</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/le/{v}/{ou}/rubrics/{id} (+ criteria/, levels/)</w:t>
            </w:r>
          </w:p>
        </w:tc>
        <w:tc>
          <w:tcPr>
            <w:tcW w:type="dxa" w:w="5200"/>
            <w:tcMar>
              <w:top w:type="dxa" w:w="60"/>
              <w:left w:type="dxa" w:w="100"/>
              <w:bottom w:type="dxa" w:w="60"/>
              <w:right w:type="dxa" w:w="100"/>
            </w:tcMar>
          </w:tcPr>
          <w:p>
            <w:r>
              <w:rPr>
                <w:sz w:val="19"/>
                <w:szCs w:val="19"/>
              </w:rPr>
              <w:t xml:space="preserve">Definición de la rúbrica (también en versión unstable y en LP según el tenant).</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/le/1.93/{ou}/assessment?assessmentType=Rubric</w:t>
            </w:r>
          </w:p>
        </w:tc>
        <w:tc>
          <w:tcPr>
            <w:tcW w:type="dxa" w:w="5200"/>
            <w:tcMar>
              <w:top w:type="dxa" w:w="60"/>
              <w:left w:type="dxa" w:w="100"/>
              <w:bottom w:type="dxa" w:w="60"/>
              <w:right w:type="dxa" w:w="100"/>
            </w:tcMar>
          </w:tcPr>
          <w:p>
            <w:r>
              <w:rPr>
                <w:sz w:val="19"/>
                <w:szCs w:val="19"/>
              </w:rPr>
              <w:t xml:space="preserve">Evaluaciones de rúbrica del curso.</w:t>
            </w:r>
          </w:p>
        </w:tc>
      </w:tr>
    </w:tbl>
    <w:p>
      <w:pPr>
        <w:pStyle w:val="Heading2"/>
        <w:spacing w:after="100" w:before="240"/>
      </w:pPr>
      <w:r>
        <w:rPr>
          <w:b/>
          <w:bCs/>
        </w:rPr>
        <w:t xml:space="preserve">4.8 Resultados de aprendizaje (LE)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E8EEFF" w:val="clear"/>
            <w:tcMar>
              <w:top w:type="dxa" w:w="60"/>
              <w:left w:type="dxa" w:w="100"/>
              <w:bottom w:type="dxa" w:w="60"/>
              <w:right w:type="dxa" w:w="100"/>
            </w:tcMar>
          </w:tcPr>
          <w:p>
            <w:r>
              <w:rPr>
                <w:b/>
                <w:bCs/>
                <w:sz w:val="20"/>
                <w:szCs w:val="20"/>
              </w:rPr>
              <w:t xml:space="preserve">Endpoint</w:t>
            </w:r>
          </w:p>
        </w:tc>
        <w:tc>
          <w:tcPr>
            <w:tcW w:type="dxa" w:w="5200"/>
            <w:shd w:fill="E8EEFF" w:val="clear"/>
            <w:tcMar>
              <w:top w:type="dxa" w:w="60"/>
              <w:left w:type="dxa" w:w="100"/>
              <w:bottom w:type="dxa" w:w="60"/>
              <w:right w:type="dxa" w:w="100"/>
            </w:tcMar>
          </w:tcPr>
          <w:p>
            <w:r>
              <w:rPr>
                <w:b/>
                <w:bCs/>
                <w:sz w:val="20"/>
                <w:szCs w:val="20"/>
              </w:rPr>
              <w:t xml:space="preserve">Para qué lo usamos</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/le/{v}/{ou}/lo/outcomeSets/  (y a nivel organización)</w:t>
            </w:r>
          </w:p>
        </w:tc>
        <w:tc>
          <w:tcPr>
            <w:tcW w:type="dxa" w:w="5200"/>
            <w:tcMar>
              <w:top w:type="dxa" w:w="60"/>
              <w:left w:type="dxa" w:w="100"/>
              <w:bottom w:type="dxa" w:w="60"/>
              <w:right w:type="dxa" w:w="100"/>
            </w:tcMar>
          </w:tcPr>
          <w:p>
            <w:r>
              <w:rPr>
                <w:sz w:val="19"/>
                <w:szCs w:val="19"/>
              </w:rPr>
              <w:t xml:space="preserve">Sets de resultados de aprendizaje del curso.</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/le/{v}/{ou}/lo/alignments/</w:t>
            </w:r>
          </w:p>
        </w:tc>
        <w:tc>
          <w:tcPr>
            <w:tcW w:type="dxa" w:w="5200"/>
            <w:tcMar>
              <w:top w:type="dxa" w:w="60"/>
              <w:left w:type="dxa" w:w="100"/>
              <w:bottom w:type="dxa" w:w="60"/>
              <w:right w:type="dxa" w:w="100"/>
            </w:tcMar>
          </w:tcPr>
          <w:p>
            <w:r>
              <w:rPr>
                <w:sz w:val="19"/>
                <w:szCs w:val="19"/>
              </w:rPr>
              <w:t xml:space="preserve">Con qué actividades está alineado cada resultado.</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/le/{v}/lo/bulkExport  /  bulkImport</w:t>
            </w:r>
          </w:p>
        </w:tc>
        <w:tc>
          <w:tcPr>
            <w:tcW w:type="dxa" w:w="5200"/>
            <w:tcMar>
              <w:top w:type="dxa" w:w="60"/>
              <w:left w:type="dxa" w:w="100"/>
              <w:bottom w:type="dxa" w:w="60"/>
              <w:right w:type="dxa" w:w="100"/>
            </w:tcMar>
          </w:tcPr>
          <w:p>
            <w:r>
              <w:rPr>
                <w:sz w:val="19"/>
                <w:szCs w:val="19"/>
              </w:rPr>
              <w:t xml:space="preserve">Exportar e importar sets completos (administración de RA).</w:t>
            </w:r>
          </w:p>
        </w:tc>
      </w:tr>
      <w:tr>
        <w:tc>
          <w:tcPr>
            <w:tcW w:type="dxa" w:w="4600"/>
            <w:tcMar>
              <w:top w:type="dxa" w:w="60"/>
              <w:left w:type="dxa" w:w="100"/>
              <w:bottom w:type="dxa" w:w="60"/>
              <w:right w:type="dxa" w:w="100"/>
            </w:tcMar>
          </w:tcPr>
          <w:p>
            <w:r>
              <w:rPr>
                <w:rFonts w:ascii="Consolas" w:cs="Consolas" w:eastAsia="Consolas" w:hAnsi="Consolas"/>
                <w:sz w:val="17"/>
                <w:szCs w:val="17"/>
              </w:rPr>
              <w:t xml:space="preserve">/le/{v}/{ou}/competencies/…</w:t>
            </w:r>
          </w:p>
        </w:tc>
        <w:tc>
          <w:tcPr>
            <w:tcW w:type="dxa" w:w="5200"/>
            <w:tcMar>
              <w:top w:type="dxa" w:w="60"/>
              <w:left w:type="dxa" w:w="100"/>
              <w:bottom w:type="dxa" w:w="60"/>
              <w:right w:type="dxa" w:w="100"/>
            </w:tcMar>
          </w:tcPr>
          <w:p>
            <w:r>
              <w:rPr>
                <w:sz w:val="19"/>
                <w:szCs w:val="19"/>
              </w:rPr>
              <w:t xml:space="preserve">API legada de competencias (fallback en tenants que no exponen la nueva).</w:t>
            </w:r>
          </w:p>
        </w:tc>
      </w:tr>
    </w:tbl>
    <w:p>
      <w:pPr>
        <w:pStyle w:val="Heading1"/>
        <w:spacing w:after="140" w:before="320"/>
      </w:pPr>
      <w:r>
        <w:rPr>
          <w:b/>
          <w:bCs/>
          <w:color w:val="0B5FFF"/>
        </w:rPr>
        <w:t xml:space="preserve">5. Ejemplo mínimo de consumo (Python + httpx)</w:t>
      </w:r>
    </w:p>
    <w:p>
      <w:pPr>
        <w:shd w:fill="F2F4F7" w:val="clear"/>
        <w:spacing w:after="0"/>
        <w:ind w:left="240" w:right="240"/>
      </w:pPr>
      <w:r>
        <w:rPr>
          <w:rFonts w:ascii="Consolas" w:cs="Consolas" w:eastAsia="Consolas" w:hAnsi="Consolas"/>
          <w:sz w:val="18"/>
          <w:szCs w:val="18"/>
        </w:rPr>
        <w:t xml:space="preserve">import httpx</w:t>
      </w:r>
    </w:p>
    <w:p>
      <w:pPr>
        <w:shd w:fill="F2F4F7" w:val="clear"/>
        <w:spacing w:after="0"/>
        <w:ind w:left="240" w:right="240"/>
      </w:pPr>
      <w:r>
        <w:rPr>
          <w:rFonts w:ascii="Consolas" w:cs="Consolas" w:eastAsia="Consolas" w:hAnsi="Consolas"/>
          <w:sz w:val="18"/>
          <w:szCs w:val="18"/>
        </w:rPr>
        <w:t xml:space="preserve"> </w:t>
      </w:r>
    </w:p>
    <w:p>
      <w:pPr>
        <w:shd w:fill="F2F4F7" w:val="clear"/>
        <w:spacing w:after="0"/>
        <w:ind w:left="240" w:right="240"/>
      </w:pPr>
      <w:r>
        <w:rPr>
          <w:rFonts w:ascii="Consolas" w:cs="Consolas" w:eastAsia="Consolas" w:hAnsi="Consolas"/>
          <w:sz w:val="18"/>
          <w:szCs w:val="18"/>
        </w:rPr>
        <w:t xml:space="preserve">BASE = "https://cesa.brightspace.com"</w:t>
      </w:r>
    </w:p>
    <w:p>
      <w:pPr>
        <w:shd w:fill="F2F4F7" w:val="clear"/>
        <w:spacing w:after="0"/>
        <w:ind w:left="240" w:right="240"/>
      </w:pPr>
      <w:r>
        <w:rPr>
          <w:rFonts w:ascii="Consolas" w:cs="Consolas" w:eastAsia="Consolas" w:hAnsi="Consolas"/>
          <w:sz w:val="18"/>
          <w:szCs w:val="18"/>
        </w:rPr>
        <w:t xml:space="preserve">HEADERS = {"Authorization": f"Bearer {access_token}"}</w:t>
      </w:r>
    </w:p>
    <w:p>
      <w:pPr>
        <w:shd w:fill="F2F4F7" w:val="clear"/>
        <w:spacing w:after="0"/>
        <w:ind w:left="240" w:right="240"/>
      </w:pPr>
      <w:r>
        <w:rPr>
          <w:rFonts w:ascii="Consolas" w:cs="Consolas" w:eastAsia="Consolas" w:hAnsi="Consolas"/>
          <w:sz w:val="18"/>
          <w:szCs w:val="18"/>
        </w:rPr>
        <w:t xml:space="preserve"> </w:t>
      </w:r>
    </w:p>
    <w:p>
      <w:pPr>
        <w:shd w:fill="F2F4F7" w:val="clear"/>
        <w:spacing w:after="0"/>
        <w:ind w:left="240" w:right="240"/>
      </w:pPr>
      <w:r>
        <w:rPr>
          <w:rFonts w:ascii="Consolas" w:cs="Consolas" w:eastAsia="Consolas" w:hAnsi="Consolas"/>
          <w:sz w:val="18"/>
          <w:szCs w:val="18"/>
        </w:rPr>
        <w:t xml:space="preserve">async def classlist(ou: int) -&gt; list:</w:t>
      </w:r>
    </w:p>
    <w:p>
      <w:pPr>
        <w:shd w:fill="F2F4F7" w:val="clear"/>
        <w:spacing w:after="0"/>
        <w:ind w:left="240" w:right="240"/>
      </w:pPr>
      <w:r>
        <w:rPr>
          <w:rFonts w:ascii="Consolas" w:cs="Consolas" w:eastAsia="Consolas" w:hAnsi="Consolas"/>
          <w:sz w:val="18"/>
          <w:szCs w:val="18"/>
        </w:rPr>
        <w:t xml:space="preserve">    url = f"{BASE}/d2l/api/le/1.92/{ou}/classlist/"</w:t>
      </w:r>
    </w:p>
    <w:p>
      <w:pPr>
        <w:shd w:fill="F2F4F7" w:val="clear"/>
        <w:spacing w:after="0"/>
        <w:ind w:left="240" w:right="240"/>
      </w:pPr>
      <w:r>
        <w:rPr>
          <w:rFonts w:ascii="Consolas" w:cs="Consolas" w:eastAsia="Consolas" w:hAnsi="Consolas"/>
          <w:sz w:val="18"/>
          <w:szCs w:val="18"/>
        </w:rPr>
        <w:t xml:space="preserve">    async with httpx.AsyncClient(timeout=30) as client:</w:t>
      </w:r>
    </w:p>
    <w:p>
      <w:pPr>
        <w:shd w:fill="F2F4F7" w:val="clear"/>
        <w:spacing w:after="0"/>
        <w:ind w:left="240" w:right="240"/>
      </w:pPr>
      <w:r>
        <w:rPr>
          <w:rFonts w:ascii="Consolas" w:cs="Consolas" w:eastAsia="Consolas" w:hAnsi="Consolas"/>
          <w:sz w:val="18"/>
          <w:szCs w:val="18"/>
        </w:rPr>
        <w:t xml:space="preserve">        r = await client.get(url, headers=HEADERS)</w:t>
      </w:r>
    </w:p>
    <w:p>
      <w:pPr>
        <w:shd w:fill="F2F4F7" w:val="clear"/>
        <w:spacing w:after="0"/>
        <w:ind w:left="240" w:right="240"/>
      </w:pPr>
      <w:r>
        <w:rPr>
          <w:rFonts w:ascii="Consolas" w:cs="Consolas" w:eastAsia="Consolas" w:hAnsi="Consolas"/>
          <w:sz w:val="18"/>
          <w:szCs w:val="18"/>
        </w:rPr>
        <w:t xml:space="preserve">    r.raise_for_status()</w:t>
      </w:r>
    </w:p>
    <w:p>
      <w:pPr>
        <w:shd w:fill="F2F4F7" w:val="clear"/>
        <w:spacing w:after="0"/>
        <w:ind w:left="240" w:right="240"/>
      </w:pPr>
      <w:r>
        <w:rPr>
          <w:rFonts w:ascii="Consolas" w:cs="Consolas" w:eastAsia="Consolas" w:hAnsi="Consolas"/>
          <w:sz w:val="18"/>
          <w:szCs w:val="18"/>
        </w:rPr>
        <w:t xml:space="preserve">    return r.json()</w:t>
      </w:r>
    </w:p>
    <w:p>
      <w:pPr>
        <w:shd w:fill="F2F4F7" w:val="clear"/>
        <w:spacing w:after="0"/>
        <w:ind w:left="240" w:right="240"/>
      </w:pPr>
      <w:r>
        <w:rPr>
          <w:rFonts w:ascii="Consolas" w:cs="Consolas" w:eastAsia="Consolas" w:hAnsi="Consolas"/>
          <w:sz w:val="18"/>
          <w:szCs w:val="18"/>
        </w:rPr>
        <w:t xml:space="preserve"> </w:t>
      </w:r>
    </w:p>
    <w:p>
      <w:pPr>
        <w:shd w:fill="F2F4F7" w:val="clear"/>
        <w:spacing w:after="0"/>
        <w:ind w:left="240" w:right="240"/>
      </w:pPr>
      <w:r>
        <w:rPr>
          <w:rFonts w:ascii="Consolas" w:cs="Consolas" w:eastAsia="Consolas" w:hAnsi="Consolas"/>
          <w:sz w:val="18"/>
          <w:szCs w:val="18"/>
        </w:rPr>
        <w:t xml:space="preserve">async def mis_cursos() -&gt; list:</w:t>
      </w:r>
    </w:p>
    <w:p>
      <w:pPr>
        <w:shd w:fill="F2F4F7" w:val="clear"/>
        <w:spacing w:after="0"/>
        <w:ind w:left="240" w:right="240"/>
      </w:pPr>
      <w:r>
        <w:rPr>
          <w:rFonts w:ascii="Consolas" w:cs="Consolas" w:eastAsia="Consolas" w:hAnsi="Consolas"/>
          <w:sz w:val="18"/>
          <w:szCs w:val="18"/>
        </w:rPr>
        <w:t xml:space="preserve">    items, bookmark = [], None</w:t>
      </w:r>
    </w:p>
    <w:p>
      <w:pPr>
        <w:shd w:fill="F2F4F7" w:val="clear"/>
        <w:spacing w:after="0"/>
        <w:ind w:left="240" w:right="240"/>
      </w:pPr>
      <w:r>
        <w:rPr>
          <w:rFonts w:ascii="Consolas" w:cs="Consolas" w:eastAsia="Consolas" w:hAnsi="Consolas"/>
          <w:sz w:val="18"/>
          <w:szCs w:val="18"/>
        </w:rPr>
        <w:t xml:space="preserve">    while True:</w:t>
      </w:r>
    </w:p>
    <w:p>
      <w:pPr>
        <w:shd w:fill="F2F4F7" w:val="clear"/>
        <w:spacing w:after="0"/>
        <w:ind w:left="240" w:right="240"/>
      </w:pPr>
      <w:r>
        <w:rPr>
          <w:rFonts w:ascii="Consolas" w:cs="Consolas" w:eastAsia="Consolas" w:hAnsi="Consolas"/>
          <w:sz w:val="18"/>
          <w:szCs w:val="18"/>
        </w:rPr>
        <w:t xml:space="preserve">        url = f"{BASE}/d2l/api/lp/1.50/enrollments/myenrollments/"</w:t>
      </w:r>
    </w:p>
    <w:p>
      <w:pPr>
        <w:shd w:fill="F2F4F7" w:val="clear"/>
        <w:spacing w:after="0"/>
        <w:ind w:left="240" w:right="240"/>
      </w:pPr>
      <w:r>
        <w:rPr>
          <w:rFonts w:ascii="Consolas" w:cs="Consolas" w:eastAsia="Consolas" w:hAnsi="Consolas"/>
          <w:sz w:val="18"/>
          <w:szCs w:val="18"/>
        </w:rPr>
        <w:t xml:space="preserve">        params = {"bookmark": bookmark} if bookmark else {}</w:t>
      </w:r>
    </w:p>
    <w:p>
      <w:pPr>
        <w:shd w:fill="F2F4F7" w:val="clear"/>
        <w:spacing w:after="0"/>
        <w:ind w:left="240" w:right="240"/>
      </w:pPr>
      <w:r>
        <w:rPr>
          <w:rFonts w:ascii="Consolas" w:cs="Consolas" w:eastAsia="Consolas" w:hAnsi="Consolas"/>
          <w:sz w:val="18"/>
          <w:szCs w:val="18"/>
        </w:rPr>
        <w:t xml:space="preserve">        async with httpx.AsyncClient(timeout=30) as client:</w:t>
      </w:r>
    </w:p>
    <w:p>
      <w:pPr>
        <w:shd w:fill="F2F4F7" w:val="clear"/>
        <w:spacing w:after="0"/>
        <w:ind w:left="240" w:right="240"/>
      </w:pPr>
      <w:r>
        <w:rPr>
          <w:rFonts w:ascii="Consolas" w:cs="Consolas" w:eastAsia="Consolas" w:hAnsi="Consolas"/>
          <w:sz w:val="18"/>
          <w:szCs w:val="18"/>
        </w:rPr>
        <w:t xml:space="preserve">            r = await client.get(url, headers=HEADERS, params=params)</w:t>
      </w:r>
    </w:p>
    <w:p>
      <w:pPr>
        <w:shd w:fill="F2F4F7" w:val="clear"/>
        <w:spacing w:after="0"/>
        <w:ind w:left="240" w:right="240"/>
      </w:pPr>
      <w:r>
        <w:rPr>
          <w:rFonts w:ascii="Consolas" w:cs="Consolas" w:eastAsia="Consolas" w:hAnsi="Consolas"/>
          <w:sz w:val="18"/>
          <w:szCs w:val="18"/>
        </w:rPr>
        <w:t xml:space="preserve">        data = r.json()</w:t>
      </w:r>
    </w:p>
    <w:p>
      <w:pPr>
        <w:shd w:fill="F2F4F7" w:val="clear"/>
        <w:spacing w:after="0"/>
        <w:ind w:left="240" w:right="240"/>
      </w:pPr>
      <w:r>
        <w:rPr>
          <w:rFonts w:ascii="Consolas" w:cs="Consolas" w:eastAsia="Consolas" w:hAnsi="Consolas"/>
          <w:sz w:val="18"/>
          <w:szCs w:val="18"/>
        </w:rPr>
        <w:t xml:space="preserve">        items += data.get("Items", [])</w:t>
      </w:r>
    </w:p>
    <w:p>
      <w:pPr>
        <w:shd w:fill="F2F4F7" w:val="clear"/>
        <w:spacing w:after="0"/>
        <w:ind w:left="240" w:right="240"/>
      </w:pPr>
      <w:r>
        <w:rPr>
          <w:rFonts w:ascii="Consolas" w:cs="Consolas" w:eastAsia="Consolas" w:hAnsi="Consolas"/>
          <w:sz w:val="18"/>
          <w:szCs w:val="18"/>
        </w:rPr>
        <w:t xml:space="preserve">        paging = data.get("PagingInfo", {})</w:t>
      </w:r>
    </w:p>
    <w:p>
      <w:pPr>
        <w:shd w:fill="F2F4F7" w:val="clear"/>
        <w:spacing w:after="0"/>
        <w:ind w:left="240" w:right="240"/>
      </w:pPr>
      <w:r>
        <w:rPr>
          <w:rFonts w:ascii="Consolas" w:cs="Consolas" w:eastAsia="Consolas" w:hAnsi="Consolas"/>
          <w:sz w:val="18"/>
          <w:szCs w:val="18"/>
        </w:rPr>
        <w:t xml:space="preserve">        if not paging.get("HasMoreItems"):</w:t>
      </w:r>
    </w:p>
    <w:p>
      <w:pPr>
        <w:shd w:fill="F2F4F7" w:val="clear"/>
        <w:spacing w:after="0"/>
        <w:ind w:left="240" w:right="240"/>
      </w:pPr>
      <w:r>
        <w:rPr>
          <w:rFonts w:ascii="Consolas" w:cs="Consolas" w:eastAsia="Consolas" w:hAnsi="Consolas"/>
          <w:sz w:val="18"/>
          <w:szCs w:val="18"/>
        </w:rPr>
        <w:t xml:space="preserve">            return items</w:t>
      </w:r>
    </w:p>
    <w:p>
      <w:pPr>
        <w:shd w:fill="F2F4F7" w:val="clear"/>
        <w:spacing w:after="140"/>
        <w:ind w:left="240" w:right="240"/>
      </w:pPr>
      <w:r>
        <w:rPr>
          <w:rFonts w:ascii="Consolas" w:cs="Consolas" w:eastAsia="Consolas" w:hAnsi="Consolas"/>
          <w:sz w:val="18"/>
          <w:szCs w:val="18"/>
        </w:rPr>
        <w:t xml:space="preserve">        bookmark = paging.get("Bookmark")</w:t>
      </w:r>
    </w:p>
    <w:p>
      <w:pPr>
        <w:pStyle w:val="Heading1"/>
        <w:spacing w:after="140" w:before="320"/>
      </w:pPr>
      <w:r>
        <w:rPr>
          <w:b/>
          <w:bCs/>
          <w:color w:val="0B5FFF"/>
        </w:rPr>
        <w:t xml:space="preserve">6. Lecciones aprendidas (las que no dice la documentación)</w:t>
      </w:r>
    </w:p>
    <w:p>
      <w:pPr>
        <w:pStyle w:val="ListParagraph"/>
        <w:numPr>
          <w:ilvl w:val="0"/>
          <w:numId w:val="2"/>
        </w:numPr>
        <w:spacing w:after="80" w:line="290"/>
      </w:pPr>
      <w:r>
        <w:rPr>
          <w:b/>
          <w:bCs/>
          <w:sz w:val="21"/>
          <w:szCs w:val="21"/>
        </w:rPr>
        <w:t xml:space="preserve">content/root no trae la Url de los archivos</w:t>
      </w:r>
      <w:r>
        <w:rPr>
          <w:sz w:val="21"/>
          <w:szCs w:val="21"/>
        </w:rPr>
        <w:t xml:space="preserve">: para saber si un recurso es PDF, Word, etc. hay que recorrer la estructura módulo por módulo (</w:t>
      </w:r>
      <w:r>
        <w:rPr>
          <w:rFonts w:ascii="Consolas" w:cs="Consolas" w:eastAsia="Consolas" w:hAnsi="Consolas"/>
          <w:sz w:val="19"/>
          <w:szCs w:val="19"/>
        </w:rPr>
        <w:t xml:space="preserve">modules/{id}/structure/</w:t>
      </w:r>
      <w:r>
        <w:rPr>
          <w:sz w:val="21"/>
          <w:szCs w:val="21"/>
        </w:rPr>
        <w:t xml:space="preserve">) y con módulos anidados toca un recorrido en anchura filtrando ocultos (</w:t>
      </w:r>
      <w:r>
        <w:rPr>
          <w:rFonts w:ascii="Consolas" w:cs="Consolas" w:eastAsia="Consolas" w:hAnsi="Consolas"/>
          <w:sz w:val="19"/>
          <w:szCs w:val="19"/>
        </w:rPr>
        <w:t xml:space="preserve">IsHidden</w:t>
      </w:r>
      <w:r>
        <w:rPr>
          <w:sz w:val="21"/>
          <w:szCs w:val="21"/>
        </w:rPr>
        <w:t xml:space="preserve">). Type 0 = módulo, Type 1 = recurso, TopicType 3 = enlace.</w:t>
      </w:r>
    </w:p>
    <w:p>
      <w:pPr>
        <w:pStyle w:val="ListParagraph"/>
        <w:numPr>
          <w:ilvl w:val="0"/>
          <w:numId w:val="2"/>
        </w:numPr>
        <w:spacing w:after="80" w:line="290"/>
      </w:pPr>
      <w:r>
        <w:rPr>
          <w:b/>
          <w:bCs/>
          <w:sz w:val="21"/>
          <w:szCs w:val="21"/>
        </w:rPr>
        <w:t xml:space="preserve">Los quicklinks comparten TODOS la misma ruta</w:t>
      </w:r>
      <w:r>
        <w:rPr>
          <w:sz w:val="21"/>
          <w:szCs w:val="21"/>
        </w:rPr>
        <w:t xml:space="preserve"> (</w:t>
      </w:r>
      <w:r>
        <w:rPr>
          <w:rFonts w:ascii="Consolas" w:cs="Consolas" w:eastAsia="Consolas" w:hAnsi="Consolas"/>
          <w:sz w:val="19"/>
          <w:szCs w:val="19"/>
        </w:rPr>
        <w:t xml:space="preserve">/d2l/common/dialogs/quickLink/quickLink.d2l</w:t>
      </w:r>
      <w:r>
        <w:rPr>
          <w:sz w:val="21"/>
          <w:szCs w:val="21"/>
        </w:rPr>
        <w:t xml:space="preserve">) y el recurso real va en el query (</w:t>
      </w:r>
      <w:r>
        <w:rPr>
          <w:rFonts w:ascii="Consolas" w:cs="Consolas" w:eastAsia="Consolas" w:hAnsi="Consolas"/>
          <w:sz w:val="19"/>
          <w:szCs w:val="19"/>
        </w:rPr>
        <w:t xml:space="preserve">fileId</w:t>
      </w:r>
      <w:r>
        <w:rPr>
          <w:sz w:val="21"/>
          <w:szCs w:val="21"/>
        </w:rPr>
        <w:t xml:space="preserve">, percent-encoded). Cualquier comparación de URLs que ignore el query los confunde entre sí.</w:t>
      </w:r>
    </w:p>
    <w:p>
      <w:pPr>
        <w:pStyle w:val="ListParagraph"/>
        <w:numPr>
          <w:ilvl w:val="0"/>
          <w:numId w:val="2"/>
        </w:numPr>
        <w:spacing w:after="80" w:line="290"/>
      </w:pPr>
      <w:r>
        <w:rPr>
          <w:b/>
          <w:bCs/>
          <w:sz w:val="21"/>
          <w:szCs w:val="21"/>
        </w:rPr>
        <w:t xml:space="preserve">Los enlaces publicados en la descripción de una unidad no generan topic</w:t>
      </w:r>
      <w:r>
        <w:rPr>
          <w:sz w:val="21"/>
          <w:szCs w:val="21"/>
        </w:rPr>
        <w:t xml:space="preserve">: si quieres contarlos o analizarlos, hay que leer el HTML de la descripción del módulo.</w:t>
      </w:r>
    </w:p>
    <w:p>
      <w:pPr>
        <w:pStyle w:val="ListParagraph"/>
        <w:numPr>
          <w:ilvl w:val="0"/>
          <w:numId w:val="2"/>
        </w:numPr>
        <w:spacing w:after="80" w:line="290"/>
      </w:pPr>
      <w:r>
        <w:rPr>
          <w:b/>
          <w:bCs/>
          <w:sz w:val="21"/>
          <w:szCs w:val="21"/>
        </w:rPr>
        <w:t xml:space="preserve">El contador de feedback puede superar el de entregas</w:t>
      </w:r>
      <w:r>
        <w:rPr>
          <w:sz w:val="21"/>
          <w:szCs w:val="21"/>
        </w:rPr>
        <w:t xml:space="preserve">: Brightspace cuenta retroalimentación dada incluso a quien no entregó — un % de 'calificadas sobre entregadas' puede dar más de 100 si no se ajusta la base.</w:t>
      </w:r>
    </w:p>
    <w:p>
      <w:pPr>
        <w:pStyle w:val="ListParagraph"/>
        <w:numPr>
          <w:ilvl w:val="0"/>
          <w:numId w:val="2"/>
        </w:numPr>
        <w:spacing w:after="80" w:line="290"/>
      </w:pPr>
      <w:r>
        <w:rPr>
          <w:b/>
          <w:bCs/>
          <w:sz w:val="21"/>
          <w:szCs w:val="21"/>
        </w:rPr>
        <w:t xml:space="preserve">Fechas heredadas al copiar cursos</w:t>
      </w:r>
      <w:r>
        <w:rPr>
          <w:sz w:val="21"/>
          <w:szCs w:val="21"/>
        </w:rPr>
        <w:t xml:space="preserve">: al importar contenido de un semestre anterior, las asignaciones llegan con fechas de cierre viejas; una fecha anterior al inicio del curso actual no es un vencimiento real.</w:t>
      </w:r>
    </w:p>
    <w:p>
      <w:pPr>
        <w:pStyle w:val="ListParagraph"/>
        <w:numPr>
          <w:ilvl w:val="0"/>
          <w:numId w:val="2"/>
        </w:numPr>
        <w:spacing w:after="80" w:line="290"/>
      </w:pPr>
      <w:r>
        <w:rPr>
          <w:b/>
          <w:bCs/>
          <w:sz w:val="21"/>
          <w:szCs w:val="21"/>
        </w:rPr>
        <w:t xml:space="preserve">LastAccessed da recencia, no duración</w:t>
      </w:r>
      <w:r>
        <w:rPr>
          <w:sz w:val="21"/>
          <w:szCs w:val="21"/>
        </w:rPr>
        <w:t xml:space="preserve">: la API REST no expone el tiempo de sesión — eso solo existe en los datasets de Data Hub.</w:t>
      </w:r>
    </w:p>
    <w:p>
      <w:pPr>
        <w:pStyle w:val="ListParagraph"/>
        <w:numPr>
          <w:ilvl w:val="0"/>
          <w:numId w:val="2"/>
        </w:numPr>
        <w:spacing w:after="80" w:line="290"/>
      </w:pPr>
      <w:r>
        <w:rPr>
          <w:b/>
          <w:bCs/>
          <w:sz w:val="21"/>
          <w:szCs w:val="21"/>
        </w:rPr>
        <w:t xml:space="preserve">El rol confiable por curso sale de las matrículas</w:t>
      </w:r>
      <w:r>
        <w:rPr>
          <w:sz w:val="21"/>
          <w:szCs w:val="21"/>
        </w:rPr>
        <w:t xml:space="preserve"> (</w:t>
      </w:r>
      <w:r>
        <w:rPr>
          <w:rFonts w:ascii="Consolas" w:cs="Consolas" w:eastAsia="Consolas" w:hAnsi="Consolas"/>
          <w:sz w:val="19"/>
          <w:szCs w:val="19"/>
        </w:rPr>
        <w:t xml:space="preserve">Access.ClasslistRoleName</w:t>
      </w:r>
      <w:r>
        <w:rPr>
          <w:sz w:val="21"/>
          <w:szCs w:val="21"/>
        </w:rPr>
        <w:t xml:space="preserve"> en enrollments), no de suposiciones: en CESA existen 'Estudiante EF', 'Instructor', 'Coordinador Administrativo'… y cualquier mapeo debe ser fail-closed (rol desconocido ≠ profesor).</w:t>
      </w:r>
    </w:p>
    <w:p>
      <w:pPr>
        <w:pStyle w:val="ListParagraph"/>
        <w:numPr>
          <w:ilvl w:val="0"/>
          <w:numId w:val="2"/>
        </w:numPr>
        <w:spacing w:after="80" w:line="290"/>
      </w:pPr>
      <w:r>
        <w:rPr>
          <w:b/>
          <w:bCs/>
          <w:sz w:val="21"/>
          <w:szCs w:val="21"/>
        </w:rPr>
        <w:t xml:space="preserve">Las entregas pueden ser grupales</w:t>
      </w:r>
      <w:r>
        <w:rPr>
          <w:sz w:val="21"/>
          <w:szCs w:val="21"/>
        </w:rPr>
        <w:t xml:space="preserve">: las carpetas dropbox con grupos devuelven entregas por grupo, no por persona — hay que tratarlas aparte en métricas por estudiante.</w:t>
      </w:r>
    </w:p>
    <w:p>
      <w:pPr>
        <w:pStyle w:val="ListParagraph"/>
        <w:numPr>
          <w:ilvl w:val="0"/>
          <w:numId w:val="2"/>
        </w:numPr>
        <w:spacing w:after="80" w:line="290"/>
      </w:pPr>
      <w:r>
        <w:rPr>
          <w:b/>
          <w:bCs/>
          <w:sz w:val="21"/>
          <w:szCs w:val="21"/>
        </w:rPr>
        <w:t xml:space="preserve">Cachear es obligatorio</w:t>
      </w:r>
      <w:r>
        <w:rPr>
          <w:sz w:val="21"/>
          <w:szCs w:val="21"/>
        </w:rPr>
        <w:t xml:space="preserve">: sin caché, un dashboard con 25 estudiantes dispara cientos de llamadas por refresh y se alcanza el rate limit rápidamente.</w:t>
      </w:r>
    </w:p>
    <w:p>
      <w:pPr>
        <w:pStyle w:val="Heading1"/>
        <w:spacing w:after="140" w:before="320"/>
      </w:pPr>
      <w:r>
        <w:rPr>
          <w:b/>
          <w:bCs/>
          <w:color w:val="0B5FFF"/>
        </w:rPr>
        <w:t xml:space="preserve">7. Referencias</w:t>
      </w:r>
    </w:p>
    <w:p>
      <w:pPr>
        <w:pStyle w:val="ListParagraph"/>
        <w:numPr>
          <w:ilvl w:val="0"/>
          <w:numId w:val="2"/>
        </w:numPr>
        <w:spacing w:after="80" w:line="290"/>
      </w:pPr>
      <w:r>
        <w:rPr>
          <w:sz w:val="21"/>
          <w:szCs w:val="21"/>
        </w:rPr>
        <w:t xml:space="preserve">Documentación oficial de la API (Valence): </w:t>
      </w:r>
      <w:r>
        <w:rPr>
          <w:rFonts w:ascii="Consolas" w:cs="Consolas" w:eastAsia="Consolas" w:hAnsi="Consolas"/>
          <w:sz w:val="19"/>
          <w:szCs w:val="19"/>
        </w:rPr>
        <w:t xml:space="preserve">https://docs.valence.desire2learn.com</w:t>
      </w:r>
    </w:p>
    <w:p>
      <w:pPr>
        <w:pStyle w:val="ListParagraph"/>
        <w:numPr>
          <w:ilvl w:val="0"/>
          <w:numId w:val="2"/>
        </w:numPr>
        <w:spacing w:after="80" w:line="290"/>
      </w:pPr>
      <w:r>
        <w:rPr>
          <w:sz w:val="21"/>
          <w:szCs w:val="21"/>
        </w:rPr>
        <w:t xml:space="preserve">Portal de desarrolladores D2L: </w:t>
      </w:r>
      <w:r>
        <w:rPr>
          <w:rFonts w:ascii="Consolas" w:cs="Consolas" w:eastAsia="Consolas" w:hAnsi="Consolas"/>
          <w:sz w:val="19"/>
          <w:szCs w:val="19"/>
        </w:rPr>
        <w:t xml:space="preserve">https://developers.desire2learn.com</w:t>
      </w:r>
    </w:p>
    <w:p>
      <w:pPr>
        <w:pStyle w:val="ListParagraph"/>
        <w:numPr>
          <w:ilvl w:val="0"/>
          <w:numId w:val="2"/>
        </w:numPr>
        <w:spacing w:after="80" w:line="290"/>
      </w:pPr>
      <w:r>
        <w:rPr>
          <w:sz w:val="21"/>
          <w:szCs w:val="21"/>
        </w:rPr>
        <w:t xml:space="preserve">OAuth 2.0 en Brightspace: Admin Tools → Manage Extensibility → OAuth 2.0</w:t>
      </w:r>
    </w:p>
    <w:p>
      <w:pPr>
        <w:pStyle w:val="ListParagraph"/>
        <w:numPr>
          <w:ilvl w:val="0"/>
          <w:numId w:val="2"/>
        </w:numPr>
        <w:spacing w:after="80" w:line="290"/>
      </w:pPr>
      <w:r>
        <w:rPr>
          <w:sz w:val="21"/>
          <w:szCs w:val="21"/>
        </w:rPr>
        <w:t xml:space="preserve">Implementación de referencia: repositorio del Visor de desempeño estudiantil — </w:t>
      </w:r>
      <w:r>
        <w:rPr>
          <w:rFonts w:ascii="Consolas" w:cs="Consolas" w:eastAsia="Consolas" w:hAnsi="Consolas"/>
          <w:sz w:val="19"/>
          <w:szCs w:val="19"/>
        </w:rPr>
        <w:t xml:space="preserve">gemelo-digital-backend/app/services/brightspace_client.py</w:t>
      </w:r>
      <w:r>
        <w:rPr>
          <w:sz w:val="21"/>
          <w:szCs w:val="21"/>
        </w:rPr>
        <w:t xml:space="preserve"> y </w:t>
      </w:r>
      <w:r>
        <w:rPr>
          <w:rFonts w:ascii="Consolas" w:cs="Consolas" w:eastAsia="Consolas" w:hAnsi="Consolas"/>
          <w:sz w:val="19"/>
          <w:szCs w:val="19"/>
        </w:rPr>
        <w:t xml:space="preserve">app/api/brightspace_proxy.py</w:t>
      </w:r>
    </w:p>
    <w:sectPr>
      <w:pgSz w:w="12240" w:h="15840"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5FFF"/>
      <w:sz w:val="30"/>
      <w:szCs w:val="30"/>
    </w:rPr>
  </w:style>
  <w:style w:type="paragraph" w:styleId="Heading2">
    <w:name w:val="Heading 2"/>
    <w:basedOn w:val="Normal"/>
    <w:next w:val="Normal"/>
    <w:qFormat/>
    <w:rPr>
      <w:rFonts w:ascii="Calibri" w:cs="Calibri" w:eastAsia="Calibri" w:hAnsi="Calibri"/>
      <w:b/>
      <w:bCs/>
      <w:color w:val="1F293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2026-08-25T19:36:40.033Z</dcterms:created>
  <dcterms:modified xsi:type="dcterms:W3CDTF">2026-08-25T19:36:40.040Z</dcterms:modified>
</cp:coreProperties>
</file>

<file path=docProps/custom.xml><?xml version="1.0" encoding="utf-8"?>
<Properties xmlns="http://schemas.openxmlformats.org/officeDocument/2006/custom-properties" xmlns:vt="http://schemas.openxmlformats.org/officeDocument/2006/docPropsVTypes"/>
</file>