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true if the input is not null.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NotNullPredicate&lt;T&gt; implements Predicate&lt;T&gt;,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7533784454832764388L;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Predicate INSTANCE = new NotNullPredicate&lt;&gt;();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notNullPredicate()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Restricted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NotNullPredicate()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Evaluates the predicate returning true if the object does not equal null.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object  the object to evaluate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true if not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boolean evaluate(final T object)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object != null;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Object readResolve()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