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org.apache.commons.collections4.MultiSet;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org.apache.commons.collections4.collection.PredicatedCollection;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Decorates another {@link MultiSet} to validate that additions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match a specified predicate.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This multiset exists to provide validation for the decorated multiset.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It is normally created to decorate an empty multiset.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If an object cannot be added to the multiset, an {@link IllegalArgumentException}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is thrown.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One usage would be to ensure that no null entries are added to the multiset.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&lt;pre&gt;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MultiSet&lt;E&gt; set =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  PredicatedMultiSet.predicatedMultiSet(new HashMultiSet&lt;E&gt;(),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                                         NotNullPredicate.notNullPredicate());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&lt;/pre&gt;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@param &lt;E&gt; the type held in the multiset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@since 4.1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046public class PredicatedMultiSet&lt;E&gt; extends PredicatedCollection&lt;E&gt; implements MultiSet&lt;E&gt;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Serialization version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static final long serialVersionUID = 20150629L;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Factory method to create a predicated (validating) multiset.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&lt;p&gt;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If there are any elements already in the multiset being decorated, they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are validated.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&lt;E&gt; the type of the elements in the multiset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multiset  the multiset to decorate, must not be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predicate  the predicate to use for validation, must not be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a new predicated MultiSet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@throws NullPointerException if multiset or predicate is null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@throws IllegalArgumentException if the multiset contains invalid elements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static &lt;E&gt; PredicatedMultiSet&lt;E&gt; predicatedMultiSet(final MultiSet&lt;E&gt; multiset,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                                                      final Predicate&lt;? super E&gt; predicate)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return new PredicatedMultiSet&lt;&gt;(multiset, predicate);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//-----------------------------------------------------------------------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Constructor that wraps (not copies).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&lt;p&gt;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If there are any elements already in the multiset being decorated, they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are validated.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multiset  the multiset to decorate, must not be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predicate  the predicate to use for validation, must not be null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@throws NullPointerException if multiset or predicate is null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IllegalArgumentException if the multiset contains invalid elements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protected PredicatedMultiSet(final MultiSet&lt;E&gt; multiset, final Predicate&lt;? super E&gt; predicate)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super(multiset, predicate);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Gets the decorated multiset.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the decorated multiset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protected MultiSet&lt;E&gt; decorated()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(MultiSet&lt;E&gt;) super.decorated();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@Override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boolean equals(final Object object)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return object == this || decorated().equals(object);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int hashCode()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decorated().hashCode();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//-----------------------------------------------------------------------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int add(final E object, final int count)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validate(object);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return decorated().add(object, count);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@Override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int remove(final Object object, final int count)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decorated().remove(object, count);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int getCount(final Object object)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return decorated().getCount(object);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int setCount(final E object, final int count)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validate(object);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return decorated().setCount(object, count);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@Override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Set&lt;E&gt; uniqueSet()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return decorated().uniqueSet();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@Override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public Set&lt;MultiSet.Entry&lt;E&gt;&gt; entrySet()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return decorated().entrySet();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