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56"/>
        </w:rPr>
        <w:t>OpenGovDataPortal</w:t>
      </w:r>
    </w:p>
    <w:p>
      <w:pPr>
        <w:jc w:val="center"/>
      </w:pPr>
      <w:r>
        <w:rPr>
          <w:i/>
          <w:color w:val="555555"/>
          <w:sz w:val="28"/>
        </w:rPr>
        <w:t>Government Accountability Platform — Project Summary</w:t>
      </w:r>
    </w:p>
    <w:p>
      <w:pPr>
        <w:jc w:val="center"/>
      </w:pPr>
      <w:r>
        <w:rPr>
          <w:color w:val="555555"/>
          <w:sz w:val="22"/>
        </w:rPr>
        <w:t>Government of Alberta AI Hackathon 2026</w:t>
      </w:r>
    </w:p>
    <w:p/>
    <w:tbl>
      <w:tblPr>
        <w:tblW w:type="auto" w:w="0"/>
        <w:tblLook w:firstColumn="1" w:firstRow="1" w:lastColumn="0" w:lastRow="0" w:noHBand="0" w:noVBand="1" w:val="04A0"/>
      </w:tblPr>
      <w:tblGrid>
        <w:gridCol w:w="9972"/>
      </w:tblGrid>
      <w:tr>
        <w:tc>
          <w:tcPr>
            <w:tcW w:type="dxa" w:w="9972"/>
            <w:shd w:val="clear" w:color="auto" w:fill="EAF0FA"/>
            <w:tcBorders>
              <w:top w:val="single" w:sz="8" w:color="0B3D91"/>
              <w:left w:val="single" w:sz="8" w:color="0B3D91"/>
              <w:bottom w:val="single" w:sz="8" w:color="0B3D91"/>
              <w:right w:val="single" w:sz="8" w:color="0B3D91"/>
            </w:tcBorders>
          </w:tcPr>
          <w:p>
            <w:pPr>
              <w:jc w:val="center"/>
            </w:pPr>
            <w:r/>
            <w:r>
              <w:rPr>
                <w:b/>
                <w:sz w:val="22"/>
              </w:rPr>
              <w:t xml:space="preserve">🔗  Share link:  </w:t>
            </w:r>
            <w:r>
              <w:rPr>
                <w:color w:val="0B3D91"/>
                <w:sz w:val="22"/>
              </w:rPr>
              <w:t>https://opengov-app.lemonplant-448f8e2d.canadacentral.azurecontainerapps.io/?code=HACKATHON2026</w:t>
            </w:r>
          </w:p>
        </w:tc>
      </w:tr>
    </w:tbl>
    <w:p>
      <w:pPr>
        <w:spacing w:before="280" w:after="120"/>
      </w:pPr>
      <w:r>
        <w:rPr>
          <w:b/>
          <w:color w:val="0B3D91"/>
          <w:sz w:val="30"/>
        </w:rPr>
        <w:t>Overview</w:t>
      </w:r>
    </w:p>
    <w:p>
      <w:r>
        <w:rPr>
          <w:b w:val="0"/>
          <w:i w:val="0"/>
          <w:sz w:val="22"/>
        </w:rPr>
        <w:t>OpenGovDataPortal is a government accountability platform that queries 3.75M+ federal records — contracts, grants, and charity filings — to surface accountability signals across 10 hackathon challenges. It combines a Next.js web application deployed on Azure with AI-powered natural language querying, bilingual EN/FR support, and a live PostgreSQL analytics layer.</w:t>
      </w:r>
    </w:p>
    <w:p>
      <w:pPr>
        <w:spacing w:before="280" w:after="120"/>
      </w:pPr>
      <w:r>
        <w:rPr>
          <w:b/>
          <w:color w:val="0B3D91"/>
          <w:sz w:val="30"/>
        </w:rPr>
        <w:t>What We Built</w:t>
      </w:r>
    </w:p>
    <w:tbl>
      <w:tblPr>
        <w:tblW w:type="auto" w:w="0"/>
        <w:tblLayout w:type="fixed"/>
        <w:tblLook w:firstColumn="1" w:firstRow="1" w:lastColumn="0" w:lastRow="0" w:noHBand="0" w:noVBand="1" w:val="04A0"/>
      </w:tblPr>
      <w:tblGrid>
        <w:gridCol w:w="2493"/>
        <w:gridCol w:w="2493"/>
        <w:gridCol w:w="2493"/>
        <w:gridCol w:w="2493"/>
      </w:tblGrid>
      <w:tr>
        <w:tc>
          <w:tcPr>
            <w:tcW w:type="dxa" w:w="454"/>
            <w:shd w:val="clear" w:color="auto" w:fill="0B3D91"/>
            <w:tcBorders>
              <w:top w:val="single" w:sz="6" w:color="0B3D91"/>
              <w:left w:val="single" w:sz="6" w:color="0B3D91"/>
              <w:bottom w:val="single" w:sz="6" w:color="0B3D91"/>
              <w:right w:val="single" w:sz="6" w:color="0B3D91"/>
            </w:tcBorders>
            <w:vAlign w:val="center"/>
          </w:tcPr>
          <w:p>
            <w:r/>
            <w:r>
              <w:rPr>
                <w:b/>
                <w:color w:val="FFFFFF"/>
                <w:sz w:val="22"/>
              </w:rPr>
              <w:t>#</w:t>
            </w:r>
          </w:p>
        </w:tc>
        <w:tc>
          <w:tcPr>
            <w:tcW w:type="dxa" w:w="2381"/>
            <w:shd w:val="clear" w:color="auto" w:fill="0B3D91"/>
            <w:tcBorders>
              <w:top w:val="single" w:sz="6" w:color="0B3D91"/>
              <w:left w:val="single" w:sz="6" w:color="0B3D91"/>
              <w:bottom w:val="single" w:sz="6" w:color="0B3D91"/>
              <w:right w:val="single" w:sz="6" w:color="0B3D91"/>
            </w:tcBorders>
            <w:vAlign w:val="center"/>
          </w:tcPr>
          <w:p>
            <w:r/>
            <w:r>
              <w:rPr>
                <w:b/>
                <w:color w:val="FFFFFF"/>
                <w:sz w:val="22"/>
              </w:rPr>
              <w:t>Feature</w:t>
            </w:r>
          </w:p>
        </w:tc>
        <w:tc>
          <w:tcPr>
            <w:tcW w:type="dxa" w:w="4819"/>
            <w:shd w:val="clear" w:color="auto" w:fill="0B3D91"/>
            <w:tcBorders>
              <w:top w:val="single" w:sz="6" w:color="0B3D91"/>
              <w:left w:val="single" w:sz="6" w:color="0B3D91"/>
              <w:bottom w:val="single" w:sz="6" w:color="0B3D91"/>
              <w:right w:val="single" w:sz="6" w:color="0B3D91"/>
            </w:tcBorders>
            <w:vAlign w:val="center"/>
          </w:tcPr>
          <w:p>
            <w:r/>
            <w:r>
              <w:rPr>
                <w:b/>
                <w:color w:val="FFFFFF"/>
                <w:sz w:val="22"/>
              </w:rPr>
              <w:t>What It Does</w:t>
            </w:r>
          </w:p>
        </w:tc>
        <w:tc>
          <w:tcPr>
            <w:tcW w:type="dxa" w:w="2268"/>
            <w:shd w:val="clear" w:color="auto" w:fill="0B3D91"/>
            <w:tcBorders>
              <w:top w:val="single" w:sz="6" w:color="0B3D91"/>
              <w:left w:val="single" w:sz="6" w:color="0B3D91"/>
              <w:bottom w:val="single" w:sz="6" w:color="0B3D91"/>
              <w:right w:val="single" w:sz="6" w:color="0B3D91"/>
            </w:tcBorders>
            <w:vAlign w:val="center"/>
          </w:tcPr>
          <w:p>
            <w:r/>
            <w:r>
              <w:rPr>
                <w:b/>
                <w:color w:val="FFFFFF"/>
                <w:sz w:val="22"/>
              </w:rPr>
              <w:t>Tech</w:t>
            </w:r>
          </w:p>
        </w:tc>
      </w:tr>
      <w:tr>
        <w:tc>
          <w:tcPr>
            <w:tcW w:type="dxa" w:w="454"/>
            <w:shd w:val="clear" w:color="auto" w:fill="EAF0FA"/>
            <w:tcBorders>
              <w:top w:val="single" w:sz="4" w:color="BFBFBF"/>
              <w:left w:val="single" w:sz="4" w:color="BFBFBF"/>
              <w:bottom w:val="single" w:sz="4" w:color="BFBFBF"/>
              <w:right w:val="single" w:sz="4" w:color="BFBFBF"/>
            </w:tcBorders>
            <w:vAlign w:val="center"/>
          </w:tcPr>
          <w:p>
            <w:r/>
            <w:r>
              <w:rPr>
                <w:sz w:val="20"/>
              </w:rPr>
              <w:t>1</w:t>
            </w:r>
          </w:p>
        </w:tc>
        <w:tc>
          <w:tcPr>
            <w:tcW w:type="dxa" w:w="2381"/>
            <w:shd w:val="clear" w:color="auto" w:fill="EAF0FA"/>
            <w:tcBorders>
              <w:top w:val="single" w:sz="4" w:color="BFBFBF"/>
              <w:left w:val="single" w:sz="4" w:color="BFBFBF"/>
              <w:bottom w:val="single" w:sz="4" w:color="BFBFBF"/>
              <w:right w:val="single" w:sz="4" w:color="BFBFBF"/>
            </w:tcBorders>
            <w:vAlign w:val="center"/>
          </w:tcPr>
          <w:p>
            <w:r/>
            <w:r>
              <w:rPr>
                <w:sz w:val="20"/>
              </w:rPr>
              <w:t>10 Challenge Pages</w:t>
            </w:r>
          </w:p>
        </w:tc>
        <w:tc>
          <w:tcPr>
            <w:tcW w:type="dxa" w:w="4819"/>
            <w:shd w:val="clear" w:color="auto" w:fill="EAF0FA"/>
            <w:tcBorders>
              <w:top w:val="single" w:sz="4" w:color="BFBFBF"/>
              <w:left w:val="single" w:sz="4" w:color="BFBFBF"/>
              <w:bottom w:val="single" w:sz="4" w:color="BFBFBF"/>
              <w:right w:val="single" w:sz="4" w:color="BFBFBF"/>
            </w:tcBorders>
            <w:vAlign w:val="center"/>
          </w:tcPr>
          <w:p>
            <w:r/>
            <w:r>
              <w:rPr>
                <w:sz w:val="20"/>
              </w:rPr>
              <w:t>Each of the hackathon's 10 accountability challenges (Zombie Recipients, Ghost Capacity, Funding Loops, Sole Source, Vendor Concentration, Related Parties, Policy Misalignment, Duplicative Funding, Contract Intelligence, Adverse Media) answered with named, recipient-level findings — not just charts.</w:t>
            </w:r>
          </w:p>
        </w:tc>
        <w:tc>
          <w:tcPr>
            <w:tcW w:type="dxa" w:w="2268"/>
            <w:shd w:val="clear" w:color="auto" w:fill="EAF0FA"/>
            <w:tcBorders>
              <w:top w:val="single" w:sz="4" w:color="BFBFBF"/>
              <w:left w:val="single" w:sz="4" w:color="BFBFBF"/>
              <w:bottom w:val="single" w:sz="4" w:color="BFBFBF"/>
              <w:right w:val="single" w:sz="4" w:color="BFBFBF"/>
            </w:tcBorders>
            <w:vAlign w:val="center"/>
          </w:tcPr>
          <w:p>
            <w:r/>
            <w:r>
              <w:rPr>
                <w:sz w:val="20"/>
              </w:rPr>
              <w:t>Next.js 16 App Router, PostgreSQL MVs</w:t>
            </w:r>
          </w:p>
        </w:tc>
      </w:tr>
      <w:tr>
        <w:tc>
          <w:tcPr>
            <w:tcW w:type="dxa" w:w="454"/>
            <w:tcBorders>
              <w:top w:val="single" w:sz="4" w:color="BFBFBF"/>
              <w:left w:val="single" w:sz="4" w:color="BFBFBF"/>
              <w:bottom w:val="single" w:sz="4" w:color="BFBFBF"/>
              <w:right w:val="single" w:sz="4" w:color="BFBFBF"/>
            </w:tcBorders>
            <w:vAlign w:val="center"/>
          </w:tcPr>
          <w:p>
            <w:r/>
            <w:r>
              <w:rPr>
                <w:sz w:val="20"/>
              </w:rPr>
              <w:t>2</w:t>
            </w:r>
          </w:p>
        </w:tc>
        <w:tc>
          <w:tcPr>
            <w:tcW w:type="dxa" w:w="2381"/>
            <w:tcBorders>
              <w:top w:val="single" w:sz="4" w:color="BFBFBF"/>
              <w:left w:val="single" w:sz="4" w:color="BFBFBF"/>
              <w:bottom w:val="single" w:sz="4" w:color="BFBFBF"/>
              <w:right w:val="single" w:sz="4" w:color="BFBFBF"/>
            </w:tcBorders>
            <w:vAlign w:val="center"/>
          </w:tcPr>
          <w:p>
            <w:r/>
            <w:r>
              <w:rPr>
                <w:sz w:val="20"/>
              </w:rPr>
              <w:t>38 Materialized Views</w:t>
            </w:r>
          </w:p>
        </w:tc>
        <w:tc>
          <w:tcPr>
            <w:tcW w:type="dxa" w:w="4819"/>
            <w:tcBorders>
              <w:top w:val="single" w:sz="4" w:color="BFBFBF"/>
              <w:left w:val="single" w:sz="4" w:color="BFBFBF"/>
              <w:bottom w:val="single" w:sz="4" w:color="BFBFBF"/>
              <w:right w:val="single" w:sz="4" w:color="BFBFBF"/>
            </w:tcBorders>
            <w:vAlign w:val="center"/>
          </w:tcPr>
          <w:p>
            <w:r/>
            <w:r>
              <w:rPr>
                <w:sz w:val="20"/>
              </w:rPr>
              <w:t>Pre-computed analytics across 3.75M records so every page loads in under a second. Covers cessation cohorts, 6-signal ghost scoring, funding-loop classification, amendment creep, vendor concentration, policy target vs. actual, purpose clustering, and year-over-year contract decomposition.</w:t>
            </w:r>
          </w:p>
        </w:tc>
        <w:tc>
          <w:tcPr>
            <w:tcW w:type="dxa" w:w="2268"/>
            <w:tcBorders>
              <w:top w:val="single" w:sz="4" w:color="BFBFBF"/>
              <w:left w:val="single" w:sz="4" w:color="BFBFBF"/>
              <w:bottom w:val="single" w:sz="4" w:color="BFBFBF"/>
              <w:right w:val="single" w:sz="4" w:color="BFBFBF"/>
            </w:tcBorders>
            <w:vAlign w:val="center"/>
          </w:tcPr>
          <w:p>
            <w:r/>
            <w:r>
              <w:rPr>
                <w:sz w:val="20"/>
              </w:rPr>
              <w:t>Azure PostgreSQL Flexible Server</w:t>
            </w:r>
          </w:p>
        </w:tc>
      </w:tr>
      <w:tr>
        <w:tc>
          <w:tcPr>
            <w:tcW w:type="dxa" w:w="454"/>
            <w:shd w:val="clear" w:color="auto" w:fill="EAF0FA"/>
            <w:tcBorders>
              <w:top w:val="single" w:sz="4" w:color="BFBFBF"/>
              <w:left w:val="single" w:sz="4" w:color="BFBFBF"/>
              <w:bottom w:val="single" w:sz="4" w:color="BFBFBF"/>
              <w:right w:val="single" w:sz="4" w:color="BFBFBF"/>
            </w:tcBorders>
            <w:vAlign w:val="center"/>
          </w:tcPr>
          <w:p>
            <w:r/>
            <w:r>
              <w:rPr>
                <w:sz w:val="20"/>
              </w:rPr>
              <w:t>3</w:t>
            </w:r>
          </w:p>
        </w:tc>
        <w:tc>
          <w:tcPr>
            <w:tcW w:type="dxa" w:w="2381"/>
            <w:shd w:val="clear" w:color="auto" w:fill="EAF0FA"/>
            <w:tcBorders>
              <w:top w:val="single" w:sz="4" w:color="BFBFBF"/>
              <w:left w:val="single" w:sz="4" w:color="BFBFBF"/>
              <w:bottom w:val="single" w:sz="4" w:color="BFBFBF"/>
              <w:right w:val="single" w:sz="4" w:color="BFBFBF"/>
            </w:tcBorders>
            <w:vAlign w:val="center"/>
          </w:tcPr>
          <w:p>
            <w:r/>
            <w:r>
              <w:rPr>
                <w:sz w:val="20"/>
              </w:rPr>
              <w:t>Ask-the-Data (Conversational AI)</w:t>
            </w:r>
          </w:p>
        </w:tc>
        <w:tc>
          <w:tcPr>
            <w:tcW w:type="dxa" w:w="4819"/>
            <w:shd w:val="clear" w:color="auto" w:fill="EAF0FA"/>
            <w:tcBorders>
              <w:top w:val="single" w:sz="4" w:color="BFBFBF"/>
              <w:left w:val="single" w:sz="4" w:color="BFBFBF"/>
              <w:bottom w:val="single" w:sz="4" w:color="BFBFBF"/>
              <w:right w:val="single" w:sz="4" w:color="BFBFBF"/>
            </w:tcBorders>
            <w:vAlign w:val="center"/>
          </w:tcPr>
          <w:p>
            <w:r/>
            <w:r>
              <w:rPr>
                <w:sz w:val="20"/>
              </w:rPr>
              <w:t>Natural-language questions → GPT-4.1 generates SQL → live database → findings rendered as cards, charts, and follow-up suggestions. Streams tokens via SSE, remembers conversation context, and offers Investigate Mode to pivot into deeper challenge analysis.</w:t>
            </w:r>
          </w:p>
        </w:tc>
        <w:tc>
          <w:tcPr>
            <w:tcW w:type="dxa" w:w="2268"/>
            <w:shd w:val="clear" w:color="auto" w:fill="EAF0FA"/>
            <w:tcBorders>
              <w:top w:val="single" w:sz="4" w:color="BFBFBF"/>
              <w:left w:val="single" w:sz="4" w:color="BFBFBF"/>
              <w:bottom w:val="single" w:sz="4" w:color="BFBFBF"/>
              <w:right w:val="single" w:sz="4" w:color="BFBFBF"/>
            </w:tcBorders>
            <w:vAlign w:val="center"/>
          </w:tcPr>
          <w:p>
            <w:r/>
            <w:r>
              <w:rPr>
                <w:sz w:val="20"/>
              </w:rPr>
              <w:t>Azure OpenAI GPT-4.1 (Entra ID), SSE</w:t>
            </w:r>
          </w:p>
        </w:tc>
      </w:tr>
      <w:tr>
        <w:tc>
          <w:tcPr>
            <w:tcW w:type="dxa" w:w="454"/>
            <w:tcBorders>
              <w:top w:val="single" w:sz="4" w:color="BFBFBF"/>
              <w:left w:val="single" w:sz="4" w:color="BFBFBF"/>
              <w:bottom w:val="single" w:sz="4" w:color="BFBFBF"/>
              <w:right w:val="single" w:sz="4" w:color="BFBFBF"/>
            </w:tcBorders>
            <w:vAlign w:val="center"/>
          </w:tcPr>
          <w:p>
            <w:r/>
            <w:r>
              <w:rPr>
                <w:sz w:val="20"/>
              </w:rPr>
              <w:t>4</w:t>
            </w:r>
          </w:p>
        </w:tc>
        <w:tc>
          <w:tcPr>
            <w:tcW w:type="dxa" w:w="2381"/>
            <w:tcBorders>
              <w:top w:val="single" w:sz="4" w:color="BFBFBF"/>
              <w:left w:val="single" w:sz="4" w:color="BFBFBF"/>
              <w:bottom w:val="single" w:sz="4" w:color="BFBFBF"/>
              <w:right w:val="single" w:sz="4" w:color="BFBFBF"/>
            </w:tcBorders>
            <w:vAlign w:val="center"/>
          </w:tcPr>
          <w:p>
            <w:r/>
            <w:r>
              <w:rPr>
                <w:sz w:val="20"/>
              </w:rPr>
              <w:t>Self-Healing AI Retry</w:t>
            </w:r>
          </w:p>
        </w:tc>
        <w:tc>
          <w:tcPr>
            <w:tcW w:type="dxa" w:w="4819"/>
            <w:tcBorders>
              <w:top w:val="single" w:sz="4" w:color="BFBFBF"/>
              <w:left w:val="single" w:sz="4" w:color="BFBFBF"/>
              <w:bottom w:val="single" w:sz="4" w:color="BFBFBF"/>
              <w:right w:val="single" w:sz="4" w:color="BFBFBF"/>
            </w:tcBorders>
            <w:vAlign w:val="center"/>
          </w:tcPr>
          <w:p>
            <w:r/>
            <w:r>
              <w:rPr>
                <w:sz w:val="20"/>
              </w:rPr>
              <w:t>When GPT's SQL fails, we fetch information_schema.columns for the referenced tables and feed real schema back to the model for up to two retries. Catches hallucinated columns and type mistakes (e.g., extracting a year from a text column).</w:t>
            </w:r>
          </w:p>
        </w:tc>
        <w:tc>
          <w:tcPr>
            <w:tcW w:type="dxa" w:w="2268"/>
            <w:tcBorders>
              <w:top w:val="single" w:sz="4" w:color="BFBFBF"/>
              <w:left w:val="single" w:sz="4" w:color="BFBFBF"/>
              <w:bottom w:val="single" w:sz="4" w:color="BFBFBF"/>
              <w:right w:val="single" w:sz="4" w:color="BFBFBF"/>
            </w:tcBorders>
            <w:vAlign w:val="center"/>
          </w:tcPr>
          <w:p>
            <w:r/>
            <w:r>
              <w:rPr>
                <w:sz w:val="20"/>
              </w:rPr>
              <w:t>Postgres introspection + GPT retry loop</w:t>
            </w:r>
          </w:p>
        </w:tc>
      </w:tr>
      <w:tr>
        <w:tc>
          <w:tcPr>
            <w:tcW w:type="dxa" w:w="454"/>
            <w:shd w:val="clear" w:color="auto" w:fill="EAF0FA"/>
            <w:tcBorders>
              <w:top w:val="single" w:sz="4" w:color="BFBFBF"/>
              <w:left w:val="single" w:sz="4" w:color="BFBFBF"/>
              <w:bottom w:val="single" w:sz="4" w:color="BFBFBF"/>
              <w:right w:val="single" w:sz="4" w:color="BFBFBF"/>
            </w:tcBorders>
            <w:vAlign w:val="center"/>
          </w:tcPr>
          <w:p>
            <w:r/>
            <w:r>
              <w:rPr>
                <w:sz w:val="20"/>
              </w:rPr>
              <w:t>5</w:t>
            </w:r>
          </w:p>
        </w:tc>
        <w:tc>
          <w:tcPr>
            <w:tcW w:type="dxa" w:w="2381"/>
            <w:shd w:val="clear" w:color="auto" w:fill="EAF0FA"/>
            <w:tcBorders>
              <w:top w:val="single" w:sz="4" w:color="BFBFBF"/>
              <w:left w:val="single" w:sz="4" w:color="BFBFBF"/>
              <w:bottom w:val="single" w:sz="4" w:color="BFBFBF"/>
              <w:right w:val="single" w:sz="4" w:color="BFBFBF"/>
            </w:tcBorders>
            <w:vAlign w:val="center"/>
          </w:tcPr>
          <w:p>
            <w:r/>
            <w:r>
              <w:rPr>
                <w:sz w:val="20"/>
              </w:rPr>
              <w:t>Investigate Mode</w:t>
            </w:r>
          </w:p>
        </w:tc>
        <w:tc>
          <w:tcPr>
            <w:tcW w:type="dxa" w:w="4819"/>
            <w:shd w:val="clear" w:color="auto" w:fill="EAF0FA"/>
            <w:tcBorders>
              <w:top w:val="single" w:sz="4" w:color="BFBFBF"/>
              <w:left w:val="single" w:sz="4" w:color="BFBFBF"/>
              <w:bottom w:val="single" w:sz="4" w:color="BFBFBF"/>
              <w:right w:val="single" w:sz="4" w:color="BFBFBF"/>
            </w:tcBorders>
            <w:vAlign w:val="center"/>
          </w:tcPr>
          <w:p>
            <w:r/>
            <w:r>
              <w:rPr>
                <w:sz w:val="20"/>
              </w:rPr>
              <w:t>User clicks a suggested question and the system pivots: routes to the right MV, generates a detailed breakdown, and surfaces top entities with links to their profiles. Every finding is clickable.</w:t>
            </w:r>
          </w:p>
        </w:tc>
        <w:tc>
          <w:tcPr>
            <w:tcW w:type="dxa" w:w="2268"/>
            <w:shd w:val="clear" w:color="auto" w:fill="EAF0FA"/>
            <w:tcBorders>
              <w:top w:val="single" w:sz="4" w:color="BFBFBF"/>
              <w:left w:val="single" w:sz="4" w:color="BFBFBF"/>
              <w:bottom w:val="single" w:sz="4" w:color="BFBFBF"/>
              <w:right w:val="single" w:sz="4" w:color="BFBFBF"/>
            </w:tcBorders>
            <w:vAlign w:val="center"/>
          </w:tcPr>
          <w:p>
            <w:r/>
            <w:r>
              <w:rPr>
                <w:sz w:val="20"/>
              </w:rPr>
              <w:t>Custom agent flow in /api/ask</w:t>
            </w:r>
          </w:p>
        </w:tc>
      </w:tr>
      <w:tr>
        <w:tc>
          <w:tcPr>
            <w:tcW w:type="dxa" w:w="454"/>
            <w:tcBorders>
              <w:top w:val="single" w:sz="4" w:color="BFBFBF"/>
              <w:left w:val="single" w:sz="4" w:color="BFBFBF"/>
              <w:bottom w:val="single" w:sz="4" w:color="BFBFBF"/>
              <w:right w:val="single" w:sz="4" w:color="BFBFBF"/>
            </w:tcBorders>
            <w:vAlign w:val="center"/>
          </w:tcPr>
          <w:p>
            <w:r/>
            <w:r>
              <w:rPr>
                <w:sz w:val="20"/>
              </w:rPr>
              <w:t>6</w:t>
            </w:r>
          </w:p>
        </w:tc>
        <w:tc>
          <w:tcPr>
            <w:tcW w:type="dxa" w:w="2381"/>
            <w:tcBorders>
              <w:top w:val="single" w:sz="4" w:color="BFBFBF"/>
              <w:left w:val="single" w:sz="4" w:color="BFBFBF"/>
              <w:bottom w:val="single" w:sz="4" w:color="BFBFBF"/>
              <w:right w:val="single" w:sz="4" w:color="BFBFBF"/>
            </w:tcBorders>
            <w:vAlign w:val="center"/>
          </w:tcPr>
          <w:p>
            <w:r/>
            <w:r>
              <w:rPr>
                <w:sz w:val="20"/>
              </w:rPr>
              <w:t>pgvector Fuzzy Entity Matching</w:t>
            </w:r>
          </w:p>
        </w:tc>
        <w:tc>
          <w:tcPr>
            <w:tcW w:type="dxa" w:w="4819"/>
            <w:tcBorders>
              <w:top w:val="single" w:sz="4" w:color="BFBFBF"/>
              <w:left w:val="single" w:sz="4" w:color="BFBFBF"/>
              <w:bottom w:val="single" w:sz="4" w:color="BFBFBF"/>
              <w:right w:val="single" w:sz="4" w:color="BFBFBF"/>
            </w:tcBorders>
            <w:vAlign w:val="center"/>
          </w:tcPr>
          <w:p>
            <w:r/>
            <w:r>
              <w:rPr>
                <w:sz w:val="20"/>
              </w:rPr>
              <w:t>331,845 embeddings (text-embedding-3-small, 256 dims) bridge name variations — e.g. 'S.U.C.C.E.S.S.' matches its full legal name across grants and T3010 filings.</w:t>
            </w:r>
          </w:p>
        </w:tc>
        <w:tc>
          <w:tcPr>
            <w:tcW w:type="dxa" w:w="2268"/>
            <w:tcBorders>
              <w:top w:val="single" w:sz="4" w:color="BFBFBF"/>
              <w:left w:val="single" w:sz="4" w:color="BFBFBF"/>
              <w:bottom w:val="single" w:sz="4" w:color="BFBFBF"/>
              <w:right w:val="single" w:sz="4" w:color="BFBFBF"/>
            </w:tcBorders>
            <w:vAlign w:val="center"/>
          </w:tcPr>
          <w:p>
            <w:r/>
            <w:r>
              <w:rPr>
                <w:sz w:val="20"/>
              </w:rPr>
              <w:t>pgvector extension</w:t>
            </w:r>
          </w:p>
        </w:tc>
      </w:tr>
      <w:tr>
        <w:tc>
          <w:tcPr>
            <w:tcW w:type="dxa" w:w="454"/>
            <w:shd w:val="clear" w:color="auto" w:fill="EAF0FA"/>
            <w:tcBorders>
              <w:top w:val="single" w:sz="4" w:color="BFBFBF"/>
              <w:left w:val="single" w:sz="4" w:color="BFBFBF"/>
              <w:bottom w:val="single" w:sz="4" w:color="BFBFBF"/>
              <w:right w:val="single" w:sz="4" w:color="BFBFBF"/>
            </w:tcBorders>
            <w:vAlign w:val="center"/>
          </w:tcPr>
          <w:p>
            <w:r/>
            <w:r>
              <w:rPr>
                <w:sz w:val="20"/>
              </w:rPr>
              <w:t>7</w:t>
            </w:r>
          </w:p>
        </w:tc>
        <w:tc>
          <w:tcPr>
            <w:tcW w:type="dxa" w:w="2381"/>
            <w:shd w:val="clear" w:color="auto" w:fill="EAF0FA"/>
            <w:tcBorders>
              <w:top w:val="single" w:sz="4" w:color="BFBFBF"/>
              <w:left w:val="single" w:sz="4" w:color="BFBFBF"/>
              <w:bottom w:val="single" w:sz="4" w:color="BFBFBF"/>
              <w:right w:val="single" w:sz="4" w:color="BFBFBF"/>
            </w:tcBorders>
            <w:vAlign w:val="center"/>
          </w:tcPr>
          <w:p>
            <w:r/>
            <w:r>
              <w:rPr>
                <w:sz w:val="20"/>
              </w:rPr>
              <w:t>Bilingual EN / FR Site-Wide</w:t>
            </w:r>
          </w:p>
        </w:tc>
        <w:tc>
          <w:tcPr>
            <w:tcW w:type="dxa" w:w="4819"/>
            <w:shd w:val="clear" w:color="auto" w:fill="EAF0FA"/>
            <w:tcBorders>
              <w:top w:val="single" w:sz="4" w:color="BFBFBF"/>
              <w:left w:val="single" w:sz="4" w:color="BFBFBF"/>
              <w:bottom w:val="single" w:sz="4" w:color="BFBFBF"/>
              <w:right w:val="single" w:sz="4" w:color="BFBFBF"/>
            </w:tcBorders>
            <w:vAlign w:val="center"/>
          </w:tcPr>
          <w:p>
            <w:r/>
            <w:r>
              <w:rPr>
                <w:sz w:val="20"/>
              </w:rPr>
              <w:t>A single toggle in the header translates every page — server-rendered content, AI responses, charts, and tooltips — on the fly. French-mode Ask queries work end to end.</w:t>
            </w:r>
          </w:p>
        </w:tc>
        <w:tc>
          <w:tcPr>
            <w:tcW w:type="dxa" w:w="2268"/>
            <w:shd w:val="clear" w:color="auto" w:fill="EAF0FA"/>
            <w:tcBorders>
              <w:top w:val="single" w:sz="4" w:color="BFBFBF"/>
              <w:left w:val="single" w:sz="4" w:color="BFBFBF"/>
              <w:bottom w:val="single" w:sz="4" w:color="BFBFBF"/>
              <w:right w:val="single" w:sz="4" w:color="BFBFBF"/>
            </w:tcBorders>
            <w:vAlign w:val="center"/>
          </w:tcPr>
          <w:p>
            <w:r/>
            <w:r>
              <w:rPr>
                <w:sz w:val="20"/>
              </w:rPr>
              <w:t>GPT-4.1 translation API + AutoTranslate</w:t>
            </w:r>
          </w:p>
        </w:tc>
      </w:tr>
      <w:tr>
        <w:tc>
          <w:tcPr>
            <w:tcW w:type="dxa" w:w="454"/>
            <w:tcBorders>
              <w:top w:val="single" w:sz="4" w:color="BFBFBF"/>
              <w:left w:val="single" w:sz="4" w:color="BFBFBF"/>
              <w:bottom w:val="single" w:sz="4" w:color="BFBFBF"/>
              <w:right w:val="single" w:sz="4" w:color="BFBFBF"/>
            </w:tcBorders>
            <w:vAlign w:val="center"/>
          </w:tcPr>
          <w:p>
            <w:r/>
            <w:r>
              <w:rPr>
                <w:sz w:val="20"/>
              </w:rPr>
              <w:t>8</w:t>
            </w:r>
          </w:p>
        </w:tc>
        <w:tc>
          <w:tcPr>
            <w:tcW w:type="dxa" w:w="2381"/>
            <w:tcBorders>
              <w:top w:val="single" w:sz="4" w:color="BFBFBF"/>
              <w:left w:val="single" w:sz="4" w:color="BFBFBF"/>
              <w:bottom w:val="single" w:sz="4" w:color="BFBFBF"/>
              <w:right w:val="single" w:sz="4" w:color="BFBFBF"/>
            </w:tcBorders>
            <w:vAlign w:val="center"/>
          </w:tcPr>
          <w:p>
            <w:r/>
            <w:r>
              <w:rPr>
                <w:sz w:val="20"/>
              </w:rPr>
              <w:t>Entity Profile Pages</w:t>
            </w:r>
          </w:p>
        </w:tc>
        <w:tc>
          <w:tcPr>
            <w:tcW w:type="dxa" w:w="4819"/>
            <w:tcBorders>
              <w:top w:val="single" w:sz="4" w:color="BFBFBF"/>
              <w:left w:val="single" w:sz="4" w:color="BFBFBF"/>
              <w:bottom w:val="single" w:sz="4" w:color="BFBFBF"/>
              <w:right w:val="single" w:sz="4" w:color="BFBFBF"/>
            </w:tcBorders>
            <w:vAlign w:val="center"/>
          </w:tcPr>
          <w:p>
            <w:r/>
            <w:r>
              <w:rPr>
                <w:sz w:val="20"/>
              </w:rPr>
              <w:t>One URL per recipient: cross-references contracts, grants, T3010 filings, directors, transfers, and adverse media. BN-prefix matching finds grants under name variations.</w:t>
            </w:r>
          </w:p>
        </w:tc>
        <w:tc>
          <w:tcPr>
            <w:tcW w:type="dxa" w:w="2268"/>
            <w:tcBorders>
              <w:top w:val="single" w:sz="4" w:color="BFBFBF"/>
              <w:left w:val="single" w:sz="4" w:color="BFBFBF"/>
              <w:bottom w:val="single" w:sz="4" w:color="BFBFBF"/>
              <w:right w:val="single" w:sz="4" w:color="BFBFBF"/>
            </w:tcBorders>
            <w:vAlign w:val="center"/>
          </w:tcPr>
          <w:p>
            <w:r/>
            <w:r>
              <w:rPr>
                <w:sz w:val="20"/>
              </w:rPr>
              <w:t>/api/entity/[name]</w:t>
            </w:r>
          </w:p>
        </w:tc>
      </w:tr>
      <w:tr>
        <w:tc>
          <w:tcPr>
            <w:tcW w:type="dxa" w:w="454"/>
            <w:shd w:val="clear" w:color="auto" w:fill="EAF0FA"/>
            <w:tcBorders>
              <w:top w:val="single" w:sz="4" w:color="BFBFBF"/>
              <w:left w:val="single" w:sz="4" w:color="BFBFBF"/>
              <w:bottom w:val="single" w:sz="4" w:color="BFBFBF"/>
              <w:right w:val="single" w:sz="4" w:color="BFBFBF"/>
            </w:tcBorders>
            <w:vAlign w:val="center"/>
          </w:tcPr>
          <w:p>
            <w:r/>
            <w:r>
              <w:rPr>
                <w:sz w:val="20"/>
              </w:rPr>
              <w:t>9</w:t>
            </w:r>
          </w:p>
        </w:tc>
        <w:tc>
          <w:tcPr>
            <w:tcW w:type="dxa" w:w="2381"/>
            <w:shd w:val="clear" w:color="auto" w:fill="EAF0FA"/>
            <w:tcBorders>
              <w:top w:val="single" w:sz="4" w:color="BFBFBF"/>
              <w:left w:val="single" w:sz="4" w:color="BFBFBF"/>
              <w:bottom w:val="single" w:sz="4" w:color="BFBFBF"/>
              <w:right w:val="single" w:sz="4" w:color="BFBFBF"/>
            </w:tcBorders>
            <w:vAlign w:val="center"/>
          </w:tcPr>
          <w:p>
            <w:r/>
            <w:r>
              <w:rPr>
                <w:sz w:val="20"/>
              </w:rPr>
              <w:t>Access Code Login Screen</w:t>
            </w:r>
          </w:p>
        </w:tc>
        <w:tc>
          <w:tcPr>
            <w:tcW w:type="dxa" w:w="4819"/>
            <w:shd w:val="clear" w:color="auto" w:fill="EAF0FA"/>
            <w:tcBorders>
              <w:top w:val="single" w:sz="4" w:color="BFBFBF"/>
              <w:left w:val="single" w:sz="4" w:color="BFBFBF"/>
              <w:bottom w:val="single" w:sz="4" w:color="BFBFBF"/>
              <w:right w:val="single" w:sz="4" w:color="BFBFBF"/>
            </w:tcBorders>
            <w:vAlign w:val="center"/>
          </w:tcPr>
          <w:p>
            <w:r/>
            <w:r>
              <w:rPr>
                <w:sz w:val="20"/>
              </w:rPr>
              <w:t>Users hitting the site without a code now see a clean, accessible entry form at /access instead of a raw 401.</w:t>
            </w:r>
          </w:p>
        </w:tc>
        <w:tc>
          <w:tcPr>
            <w:tcW w:type="dxa" w:w="2268"/>
            <w:shd w:val="clear" w:color="auto" w:fill="EAF0FA"/>
            <w:tcBorders>
              <w:top w:val="single" w:sz="4" w:color="BFBFBF"/>
              <w:left w:val="single" w:sz="4" w:color="BFBFBF"/>
              <w:bottom w:val="single" w:sz="4" w:color="BFBFBF"/>
              <w:right w:val="single" w:sz="4" w:color="BFBFBF"/>
            </w:tcBorders>
            <w:vAlign w:val="center"/>
          </w:tcPr>
          <w:p>
            <w:r/>
            <w:r>
              <w:rPr>
                <w:sz w:val="20"/>
              </w:rPr>
              <w:t>Middleware + /access route</w:t>
            </w:r>
          </w:p>
        </w:tc>
      </w:tr>
      <w:tr>
        <w:tc>
          <w:tcPr>
            <w:tcW w:type="dxa" w:w="454"/>
            <w:tcBorders>
              <w:top w:val="single" w:sz="4" w:color="BFBFBF"/>
              <w:left w:val="single" w:sz="4" w:color="BFBFBF"/>
              <w:bottom w:val="single" w:sz="4" w:color="BFBFBF"/>
              <w:right w:val="single" w:sz="4" w:color="BFBFBF"/>
            </w:tcBorders>
            <w:vAlign w:val="center"/>
          </w:tcPr>
          <w:p>
            <w:r/>
            <w:r>
              <w:rPr>
                <w:sz w:val="20"/>
              </w:rPr>
              <w:t>10</w:t>
            </w:r>
          </w:p>
        </w:tc>
        <w:tc>
          <w:tcPr>
            <w:tcW w:type="dxa" w:w="2381"/>
            <w:tcBorders>
              <w:top w:val="single" w:sz="4" w:color="BFBFBF"/>
              <w:left w:val="single" w:sz="4" w:color="BFBFBF"/>
              <w:bottom w:val="single" w:sz="4" w:color="BFBFBF"/>
              <w:right w:val="single" w:sz="4" w:color="BFBFBF"/>
            </w:tcBorders>
            <w:vAlign w:val="center"/>
          </w:tcPr>
          <w:p>
            <w:r/>
            <w:r>
              <w:rPr>
                <w:sz w:val="20"/>
              </w:rPr>
              <w:t>Home Dashboard</w:t>
            </w:r>
          </w:p>
        </w:tc>
        <w:tc>
          <w:tcPr>
            <w:tcW w:type="dxa" w:w="4819"/>
            <w:tcBorders>
              <w:top w:val="single" w:sz="4" w:color="BFBFBF"/>
              <w:left w:val="single" w:sz="4" w:color="BFBFBF"/>
              <w:bottom w:val="single" w:sz="4" w:color="BFBFBF"/>
              <w:right w:val="single" w:sz="4" w:color="BFBFBF"/>
            </w:tcBorders>
            <w:vAlign w:val="center"/>
          </w:tcPr>
          <w:p>
            <w:r/>
            <w:r>
              <w:rPr>
                <w:sz w:val="20"/>
              </w:rPr>
              <w:t>Live counts across all tables, top findings from each of the 10 challenges, and a challenge-tile grid.</w:t>
            </w:r>
          </w:p>
        </w:tc>
        <w:tc>
          <w:tcPr>
            <w:tcW w:type="dxa" w:w="2268"/>
            <w:tcBorders>
              <w:top w:val="single" w:sz="4" w:color="BFBFBF"/>
              <w:left w:val="single" w:sz="4" w:color="BFBFBF"/>
              <w:bottom w:val="single" w:sz="4" w:color="BFBFBF"/>
              <w:right w:val="single" w:sz="4" w:color="BFBFBF"/>
            </w:tcBorders>
            <w:vAlign w:val="center"/>
          </w:tcPr>
          <w:p>
            <w:r/>
            <w:r>
              <w:rPr>
                <w:sz w:val="20"/>
              </w:rPr>
              <w:t>mv_table_counts + dynamic rendering</w:t>
            </w:r>
          </w:p>
        </w:tc>
      </w:tr>
    </w:tbl>
    <w:p>
      <w:pPr>
        <w:spacing w:before="280" w:after="120"/>
      </w:pPr>
      <w:r>
        <w:rPr>
          <w:b/>
          <w:color w:val="0B3D91"/>
          <w:sz w:val="30"/>
        </w:rPr>
        <w:t>Data Foundation</w:t>
      </w:r>
    </w:p>
    <w:tbl>
      <w:tblPr>
        <w:tblW w:type="auto" w:w="0"/>
        <w:tblLayout w:type="fixed"/>
        <w:tblLook w:firstColumn="1" w:firstRow="1" w:lastColumn="0" w:lastRow="0" w:noHBand="0" w:noVBand="1" w:val="04A0"/>
      </w:tblPr>
      <w:tblGrid>
        <w:gridCol w:w="4986"/>
        <w:gridCol w:w="4986"/>
      </w:tblGrid>
      <w:tr>
        <w:tc>
          <w:tcPr>
            <w:tcW w:type="dxa" w:w="7087"/>
            <w:shd w:val="clear" w:color="auto" w:fill="0B3D91"/>
            <w:tcBorders>
              <w:top w:val="single" w:sz="6" w:color="0B3D91"/>
              <w:left w:val="single" w:sz="6" w:color="0B3D91"/>
              <w:bottom w:val="single" w:sz="6" w:color="0B3D91"/>
              <w:right w:val="single" w:sz="6" w:color="0B3D91"/>
            </w:tcBorders>
            <w:vAlign w:val="center"/>
          </w:tcPr>
          <w:p>
            <w:r/>
            <w:r>
              <w:rPr>
                <w:b/>
                <w:color w:val="FFFFFF"/>
                <w:sz w:val="22"/>
              </w:rPr>
              <w:t>Source</w:t>
            </w:r>
          </w:p>
        </w:tc>
        <w:tc>
          <w:tcPr>
            <w:tcW w:type="dxa" w:w="2835"/>
            <w:shd w:val="clear" w:color="auto" w:fill="0B3D91"/>
            <w:tcBorders>
              <w:top w:val="single" w:sz="6" w:color="0B3D91"/>
              <w:left w:val="single" w:sz="6" w:color="0B3D91"/>
              <w:bottom w:val="single" w:sz="6" w:color="0B3D91"/>
              <w:right w:val="single" w:sz="6" w:color="0B3D91"/>
            </w:tcBorders>
            <w:vAlign w:val="center"/>
          </w:tcPr>
          <w:p>
            <w:r/>
            <w:r>
              <w:rPr>
                <w:b/>
                <w:color w:val="FFFFFF"/>
                <w:sz w:val="22"/>
              </w:rPr>
              <w:t>Records</w:t>
            </w:r>
          </w:p>
        </w:tc>
      </w:tr>
      <w:tr>
        <w:tc>
          <w:tcPr>
            <w:tcW w:type="dxa" w:w="7087"/>
            <w:shd w:val="clear" w:color="auto" w:fill="EAF0FA"/>
            <w:tcBorders>
              <w:top w:val="single" w:sz="4" w:color="BFBFBF"/>
              <w:left w:val="single" w:sz="4" w:color="BFBFBF"/>
              <w:bottom w:val="single" w:sz="4" w:color="BFBFBF"/>
              <w:right w:val="single" w:sz="4" w:color="BFBFBF"/>
            </w:tcBorders>
            <w:vAlign w:val="center"/>
          </w:tcPr>
          <w:p>
            <w:r/>
            <w:r>
              <w:rPr>
                <w:sz w:val="20"/>
              </w:rPr>
              <w:t>Federal Contracts</w:t>
            </w:r>
          </w:p>
        </w:tc>
        <w:tc>
          <w:tcPr>
            <w:tcW w:type="dxa" w:w="2835"/>
            <w:shd w:val="clear" w:color="auto" w:fill="EAF0FA"/>
            <w:tcBorders>
              <w:top w:val="single" w:sz="4" w:color="BFBFBF"/>
              <w:left w:val="single" w:sz="4" w:color="BFBFBF"/>
              <w:bottom w:val="single" w:sz="4" w:color="BFBFBF"/>
              <w:right w:val="single" w:sz="4" w:color="BFBFBF"/>
            </w:tcBorders>
            <w:vAlign w:val="center"/>
          </w:tcPr>
          <w:p>
            <w:r/>
            <w:r>
              <w:rPr>
                <w:sz w:val="20"/>
              </w:rPr>
              <w:t>1,261,467</w:t>
            </w:r>
          </w:p>
        </w:tc>
      </w:tr>
      <w:tr>
        <w:tc>
          <w:tcPr>
            <w:tcW w:type="dxa" w:w="7087"/>
            <w:tcBorders>
              <w:top w:val="single" w:sz="4" w:color="BFBFBF"/>
              <w:left w:val="single" w:sz="4" w:color="BFBFBF"/>
              <w:bottom w:val="single" w:sz="4" w:color="BFBFBF"/>
              <w:right w:val="single" w:sz="4" w:color="BFBFBF"/>
            </w:tcBorders>
            <w:vAlign w:val="center"/>
          </w:tcPr>
          <w:p>
            <w:r/>
            <w:r>
              <w:rPr>
                <w:sz w:val="20"/>
              </w:rPr>
              <w:t>Grants &amp; Contributions</w:t>
            </w:r>
          </w:p>
        </w:tc>
        <w:tc>
          <w:tcPr>
            <w:tcW w:type="dxa" w:w="2835"/>
            <w:tcBorders>
              <w:top w:val="single" w:sz="4" w:color="BFBFBF"/>
              <w:left w:val="single" w:sz="4" w:color="BFBFBF"/>
              <w:bottom w:val="single" w:sz="4" w:color="BFBFBF"/>
              <w:right w:val="single" w:sz="4" w:color="BFBFBF"/>
            </w:tcBorders>
            <w:vAlign w:val="center"/>
          </w:tcPr>
          <w:p>
            <w:r/>
            <w:r>
              <w:rPr>
                <w:sz w:val="20"/>
              </w:rPr>
              <w:t>1,275,964</w:t>
            </w:r>
          </w:p>
        </w:tc>
      </w:tr>
      <w:tr>
        <w:tc>
          <w:tcPr>
            <w:tcW w:type="dxa" w:w="7087"/>
            <w:shd w:val="clear" w:color="auto" w:fill="EAF0FA"/>
            <w:tcBorders>
              <w:top w:val="single" w:sz="4" w:color="BFBFBF"/>
              <w:left w:val="single" w:sz="4" w:color="BFBFBF"/>
              <w:bottom w:val="single" w:sz="4" w:color="BFBFBF"/>
              <w:right w:val="single" w:sz="4" w:color="BFBFBF"/>
            </w:tcBorders>
            <w:vAlign w:val="center"/>
          </w:tcPr>
          <w:p>
            <w:r/>
            <w:r>
              <w:rPr>
                <w:sz w:val="20"/>
              </w:rPr>
              <w:t>T3010 Charity Filings (identification, financial, directors, transfers, compensation, programs)</w:t>
            </w:r>
          </w:p>
        </w:tc>
        <w:tc>
          <w:tcPr>
            <w:tcW w:type="dxa" w:w="2835"/>
            <w:shd w:val="clear" w:color="auto" w:fill="EAF0FA"/>
            <w:tcBorders>
              <w:top w:val="single" w:sz="4" w:color="BFBFBF"/>
              <w:left w:val="single" w:sz="4" w:color="BFBFBF"/>
              <w:bottom w:val="single" w:sz="4" w:color="BFBFBF"/>
              <w:right w:val="single" w:sz="4" w:color="BFBFBF"/>
            </w:tcBorders>
            <w:vAlign w:val="center"/>
          </w:tcPr>
          <w:p>
            <w:r/>
            <w:r>
              <w:rPr>
                <w:sz w:val="20"/>
              </w:rPr>
              <w:t>1,217,911</w:t>
            </w:r>
          </w:p>
        </w:tc>
      </w:tr>
      <w:tr>
        <w:tc>
          <w:tcPr>
            <w:tcW w:type="dxa" w:w="7087"/>
            <w:tcBorders>
              <w:top w:val="single" w:sz="4" w:color="BFBFBF"/>
              <w:left w:val="single" w:sz="4" w:color="BFBFBF"/>
              <w:bottom w:val="single" w:sz="4" w:color="BFBFBF"/>
              <w:right w:val="single" w:sz="4" w:color="BFBFBF"/>
            </w:tcBorders>
            <w:vAlign w:val="center"/>
          </w:tcPr>
          <w:p>
            <w:r/>
            <w:r>
              <w:rPr>
                <w:sz w:val="20"/>
              </w:rPr>
              <w:t>Acts of Founded Wrongdoing</w:t>
            </w:r>
          </w:p>
        </w:tc>
        <w:tc>
          <w:tcPr>
            <w:tcW w:type="dxa" w:w="2835"/>
            <w:tcBorders>
              <w:top w:val="single" w:sz="4" w:color="BFBFBF"/>
              <w:left w:val="single" w:sz="4" w:color="BFBFBF"/>
              <w:bottom w:val="single" w:sz="4" w:color="BFBFBF"/>
              <w:right w:val="single" w:sz="4" w:color="BFBFBF"/>
            </w:tcBorders>
            <w:vAlign w:val="center"/>
          </w:tcPr>
          <w:p>
            <w:r/>
            <w:r>
              <w:rPr>
                <w:sz w:val="20"/>
              </w:rPr>
              <w:t>228</w:t>
            </w:r>
          </w:p>
        </w:tc>
      </w:tr>
      <w:tr>
        <w:tc>
          <w:tcPr>
            <w:tcW w:type="dxa" w:w="7087"/>
            <w:shd w:val="clear" w:color="auto" w:fill="EAF0FA"/>
            <w:tcBorders>
              <w:top w:val="single" w:sz="4" w:color="BFBFBF"/>
              <w:left w:val="single" w:sz="4" w:color="BFBFBF"/>
              <w:bottom w:val="single" w:sz="4" w:color="BFBFBF"/>
              <w:right w:val="single" w:sz="4" w:color="BFBFBF"/>
            </w:tcBorders>
            <w:vAlign w:val="center"/>
          </w:tcPr>
          <w:p>
            <w:r/>
            <w:r>
              <w:rPr>
                <w:sz w:val="20"/>
              </w:rPr>
              <w:t>Adverse Media (sanctions, CNSC, CRA filing-lapse)</w:t>
            </w:r>
          </w:p>
        </w:tc>
        <w:tc>
          <w:tcPr>
            <w:tcW w:type="dxa" w:w="2835"/>
            <w:shd w:val="clear" w:color="auto" w:fill="EAF0FA"/>
            <w:tcBorders>
              <w:top w:val="single" w:sz="4" w:color="BFBFBF"/>
              <w:left w:val="single" w:sz="4" w:color="BFBFBF"/>
              <w:bottom w:val="single" w:sz="4" w:color="BFBFBF"/>
              <w:right w:val="single" w:sz="4" w:color="BFBFBF"/>
            </w:tcBorders>
            <w:vAlign w:val="center"/>
          </w:tcPr>
          <w:p>
            <w:r/>
            <w:r>
              <w:rPr>
                <w:sz w:val="20"/>
              </w:rPr>
              <w:t>3,584 rows + 369 matches to funded recipients</w:t>
            </w:r>
          </w:p>
        </w:tc>
      </w:tr>
      <w:tr>
        <w:tc>
          <w:tcPr>
            <w:tcW w:type="dxa" w:w="7087"/>
            <w:tcBorders>
              <w:top w:val="single" w:sz="4" w:color="BFBFBF"/>
              <w:left w:val="single" w:sz="4" w:color="BFBFBF"/>
              <w:bottom w:val="single" w:sz="4" w:color="BFBFBF"/>
              <w:right w:val="single" w:sz="4" w:color="BFBFBF"/>
            </w:tcBorders>
            <w:vAlign w:val="center"/>
          </w:tcPr>
          <w:p>
            <w:r/>
            <w:r>
              <w:rPr>
                <w:sz w:val="20"/>
              </w:rPr>
              <w:t>Policy Targets (NHS, Net Zero, Defence, CDCP, etc.)</w:t>
            </w:r>
          </w:p>
        </w:tc>
        <w:tc>
          <w:tcPr>
            <w:tcW w:type="dxa" w:w="2835"/>
            <w:tcBorders>
              <w:top w:val="single" w:sz="4" w:color="BFBFBF"/>
              <w:left w:val="single" w:sz="4" w:color="BFBFBF"/>
              <w:bottom w:val="single" w:sz="4" w:color="BFBFBF"/>
              <w:right w:val="single" w:sz="4" w:color="BFBFBF"/>
            </w:tcBorders>
            <w:vAlign w:val="center"/>
          </w:tcPr>
          <w:p>
            <w:r/>
            <w:r>
              <w:rPr>
                <w:sz w:val="20"/>
              </w:rPr>
              <w:t>8 commitments</w:t>
            </w:r>
          </w:p>
        </w:tc>
      </w:tr>
      <w:tr>
        <w:tc>
          <w:tcPr>
            <w:tcW w:type="dxa" w:w="7087"/>
            <w:shd w:val="clear" w:color="auto" w:fill="EAF0FA"/>
            <w:tcBorders>
              <w:top w:val="single" w:sz="4" w:color="BFBFBF"/>
              <w:left w:val="single" w:sz="4" w:color="BFBFBF"/>
              <w:bottom w:val="single" w:sz="4" w:color="BFBFBF"/>
              <w:right w:val="single" w:sz="4" w:color="BFBFBF"/>
            </w:tcBorders>
            <w:vAlign w:val="center"/>
          </w:tcPr>
          <w:p>
            <w:r/>
            <w:r>
              <w:rPr>
                <w:sz w:val="20"/>
              </w:rPr>
              <w:t>Total records loaded</w:t>
            </w:r>
          </w:p>
        </w:tc>
        <w:tc>
          <w:tcPr>
            <w:tcW w:type="dxa" w:w="2835"/>
            <w:shd w:val="clear" w:color="auto" w:fill="EAF0FA"/>
            <w:tcBorders>
              <w:top w:val="single" w:sz="4" w:color="BFBFBF"/>
              <w:left w:val="single" w:sz="4" w:color="BFBFBF"/>
              <w:bottom w:val="single" w:sz="4" w:color="BFBFBF"/>
              <w:right w:val="single" w:sz="4" w:color="BFBFBF"/>
            </w:tcBorders>
            <w:vAlign w:val="center"/>
          </w:tcPr>
          <w:p>
            <w:r/>
            <w:r>
              <w:rPr>
                <w:sz w:val="20"/>
              </w:rPr>
              <w:t>3,755,570</w:t>
            </w:r>
          </w:p>
        </w:tc>
      </w:tr>
    </w:tbl>
    <w:p>
      <w:pPr>
        <w:spacing w:before="280" w:after="120"/>
      </w:pPr>
      <w:r>
        <w:rPr>
          <w:b/>
          <w:color w:val="0B3D91"/>
          <w:sz w:val="30"/>
        </w:rPr>
        <w:t>Reliability Fixes Shipped This Week</w:t>
      </w:r>
    </w:p>
    <w:tbl>
      <w:tblPr>
        <w:tblW w:type="auto" w:w="0"/>
        <w:tblLayout w:type="fixed"/>
        <w:tblLook w:firstColumn="1" w:firstRow="1" w:lastColumn="0" w:lastRow="0" w:noHBand="0" w:noVBand="1" w:val="04A0"/>
      </w:tblPr>
      <w:tblGrid>
        <w:gridCol w:w="3324"/>
        <w:gridCol w:w="3324"/>
        <w:gridCol w:w="3324"/>
      </w:tblGrid>
      <w:tr>
        <w:tc>
          <w:tcPr>
            <w:tcW w:type="dxa" w:w="3118"/>
            <w:shd w:val="clear" w:color="auto" w:fill="0B3D91"/>
            <w:tcBorders>
              <w:top w:val="single" w:sz="6" w:color="0B3D91"/>
              <w:left w:val="single" w:sz="6" w:color="0B3D91"/>
              <w:bottom w:val="single" w:sz="6" w:color="0B3D91"/>
              <w:right w:val="single" w:sz="6" w:color="0B3D91"/>
            </w:tcBorders>
            <w:vAlign w:val="center"/>
          </w:tcPr>
          <w:p>
            <w:r/>
            <w:r>
              <w:rPr>
                <w:b/>
                <w:color w:val="FFFFFF"/>
                <w:sz w:val="22"/>
              </w:rPr>
              <w:t>Issue</w:t>
            </w:r>
          </w:p>
        </w:tc>
        <w:tc>
          <w:tcPr>
            <w:tcW w:type="dxa" w:w="2835"/>
            <w:shd w:val="clear" w:color="auto" w:fill="0B3D91"/>
            <w:tcBorders>
              <w:top w:val="single" w:sz="6" w:color="0B3D91"/>
              <w:left w:val="single" w:sz="6" w:color="0B3D91"/>
              <w:bottom w:val="single" w:sz="6" w:color="0B3D91"/>
              <w:right w:val="single" w:sz="6" w:color="0B3D91"/>
            </w:tcBorders>
            <w:vAlign w:val="center"/>
          </w:tcPr>
          <w:p>
            <w:r/>
            <w:r>
              <w:rPr>
                <w:b/>
                <w:color w:val="FFFFFF"/>
                <w:sz w:val="22"/>
              </w:rPr>
              <w:t>Root Cause</w:t>
            </w:r>
          </w:p>
        </w:tc>
        <w:tc>
          <w:tcPr>
            <w:tcW w:type="dxa" w:w="3969"/>
            <w:shd w:val="clear" w:color="auto" w:fill="0B3D91"/>
            <w:tcBorders>
              <w:top w:val="single" w:sz="6" w:color="0B3D91"/>
              <w:left w:val="single" w:sz="6" w:color="0B3D91"/>
              <w:bottom w:val="single" w:sz="6" w:color="0B3D91"/>
              <w:right w:val="single" w:sz="6" w:color="0B3D91"/>
            </w:tcBorders>
            <w:vAlign w:val="center"/>
          </w:tcPr>
          <w:p>
            <w:r/>
            <w:r>
              <w:rPr>
                <w:b/>
                <w:color w:val="FFFFFF"/>
                <w:sz w:val="22"/>
              </w:rPr>
              <w:t>Fix</w:t>
            </w:r>
          </w:p>
        </w:tc>
      </w:tr>
      <w:tr>
        <w:tc>
          <w:tcPr>
            <w:tcW w:type="dxa" w:w="3118"/>
            <w:shd w:val="clear" w:color="auto" w:fill="EAF0FA"/>
            <w:tcBorders>
              <w:top w:val="single" w:sz="4" w:color="BFBFBF"/>
              <w:left w:val="single" w:sz="4" w:color="BFBFBF"/>
              <w:bottom w:val="single" w:sz="4" w:color="BFBFBF"/>
              <w:right w:val="single" w:sz="4" w:color="BFBFBF"/>
            </w:tcBorders>
            <w:vAlign w:val="center"/>
          </w:tcPr>
          <w:p>
            <w:r/>
            <w:r>
              <w:rPr>
                <w:sz w:val="20"/>
              </w:rPr>
              <w:t>Dashboard showed 'Data temporarily unavailable'</w:t>
            </w:r>
          </w:p>
        </w:tc>
        <w:tc>
          <w:tcPr>
            <w:tcW w:type="dxa" w:w="2835"/>
            <w:shd w:val="clear" w:color="auto" w:fill="EAF0FA"/>
            <w:tcBorders>
              <w:top w:val="single" w:sz="4" w:color="BFBFBF"/>
              <w:left w:val="single" w:sz="4" w:color="BFBFBF"/>
              <w:bottom w:val="single" w:sz="4" w:color="BFBFBF"/>
              <w:right w:val="single" w:sz="4" w:color="BFBFBF"/>
            </w:tcBorders>
            <w:vAlign w:val="center"/>
          </w:tcPr>
          <w:p>
            <w:r/>
            <w:r>
              <w:rPr>
                <w:sz w:val="20"/>
              </w:rPr>
              <w:t>ISR cached build-time DB errors for 1 hour</w:t>
            </w:r>
          </w:p>
        </w:tc>
        <w:tc>
          <w:tcPr>
            <w:tcW w:type="dxa" w:w="3969"/>
            <w:shd w:val="clear" w:color="auto" w:fill="EAF0FA"/>
            <w:tcBorders>
              <w:top w:val="single" w:sz="4" w:color="BFBFBF"/>
              <w:left w:val="single" w:sz="4" w:color="BFBFBF"/>
              <w:bottom w:val="single" w:sz="4" w:color="BFBFBF"/>
              <w:right w:val="single" w:sz="4" w:color="BFBFBF"/>
            </w:tcBorders>
            <w:vAlign w:val="center"/>
          </w:tcPr>
          <w:p>
            <w:r/>
            <w:r>
              <w:rPr>
                <w:sz w:val="20"/>
              </w:rPr>
              <w:t>Switched home + 10 challenge pages to force-dynamic; getPool() now throws loudly on placeholder URL</w:t>
            </w:r>
          </w:p>
        </w:tc>
      </w:tr>
      <w:tr>
        <w:tc>
          <w:tcPr>
            <w:tcW w:type="dxa" w:w="3118"/>
            <w:tcBorders>
              <w:top w:val="single" w:sz="4" w:color="BFBFBF"/>
              <w:left w:val="single" w:sz="4" w:color="BFBFBF"/>
              <w:bottom w:val="single" w:sz="4" w:color="BFBFBF"/>
              <w:right w:val="single" w:sz="4" w:color="BFBFBF"/>
            </w:tcBorders>
            <w:vAlign w:val="center"/>
          </w:tcPr>
          <w:p>
            <w:r/>
            <w:r>
              <w:rPr>
                <w:sz w:val="20"/>
              </w:rPr>
              <w:t>AI hallucinated recipient_business_number on zombie queries</w:t>
            </w:r>
          </w:p>
        </w:tc>
        <w:tc>
          <w:tcPr>
            <w:tcW w:type="dxa" w:w="2835"/>
            <w:tcBorders>
              <w:top w:val="single" w:sz="4" w:color="BFBFBF"/>
              <w:left w:val="single" w:sz="4" w:color="BFBFBF"/>
              <w:bottom w:val="single" w:sz="4" w:color="BFBFBF"/>
              <w:right w:val="single" w:sz="4" w:color="BFBFBF"/>
            </w:tcBorders>
            <w:vAlign w:val="center"/>
          </w:tcPr>
          <w:p>
            <w:r/>
            <w:r>
              <w:rPr>
                <w:sz w:val="20"/>
              </w:rPr>
              <w:t>System prompt didn't document per-table BN naming</w:t>
            </w:r>
          </w:p>
        </w:tc>
        <w:tc>
          <w:tcPr>
            <w:tcW w:type="dxa" w:w="3969"/>
            <w:tcBorders>
              <w:top w:val="single" w:sz="4" w:color="BFBFBF"/>
              <w:left w:val="single" w:sz="4" w:color="BFBFBF"/>
              <w:bottom w:val="single" w:sz="4" w:color="BFBFBF"/>
              <w:right w:val="single" w:sz="4" w:color="BFBFBF"/>
            </w:tcBorders>
            <w:vAlign w:val="center"/>
          </w:tcPr>
          <w:p>
            <w:r/>
            <w:r>
              <w:rPr>
                <w:sz w:val="20"/>
              </w:rPr>
              <w:t>Added explicit BN naming rule + challenge→MV routing table to the prompt</w:t>
            </w:r>
          </w:p>
        </w:tc>
      </w:tr>
      <w:tr>
        <w:tc>
          <w:tcPr>
            <w:tcW w:type="dxa" w:w="3118"/>
            <w:shd w:val="clear" w:color="auto" w:fill="EAF0FA"/>
            <w:tcBorders>
              <w:top w:val="single" w:sz="4" w:color="BFBFBF"/>
              <w:left w:val="single" w:sz="4" w:color="BFBFBF"/>
              <w:bottom w:val="single" w:sz="4" w:color="BFBFBF"/>
              <w:right w:val="single" w:sz="4" w:color="BFBFBF"/>
            </w:tcBorders>
            <w:vAlign w:val="center"/>
          </w:tcPr>
          <w:p>
            <w:r/>
            <w:r>
              <w:rPr>
                <w:sz w:val="20"/>
              </w:rPr>
              <w:t>AI hallucinated EXTRACT(YEAR FROM contract_date) on amendment queries</w:t>
            </w:r>
          </w:p>
        </w:tc>
        <w:tc>
          <w:tcPr>
            <w:tcW w:type="dxa" w:w="2835"/>
            <w:shd w:val="clear" w:color="auto" w:fill="EAF0FA"/>
            <w:tcBorders>
              <w:top w:val="single" w:sz="4" w:color="BFBFBF"/>
              <w:left w:val="single" w:sz="4" w:color="BFBFBF"/>
              <w:bottom w:val="single" w:sz="4" w:color="BFBFBF"/>
              <w:right w:val="single" w:sz="4" w:color="BFBFBF"/>
            </w:tcBorders>
            <w:vAlign w:val="center"/>
          </w:tcPr>
          <w:p>
            <w:r/>
            <w:r>
              <w:rPr>
                <w:sz w:val="20"/>
              </w:rPr>
              <w:t>mv_amendment_creep.contract_date is stored as text</w:t>
            </w:r>
          </w:p>
        </w:tc>
        <w:tc>
          <w:tcPr>
            <w:tcW w:type="dxa" w:w="3969"/>
            <w:shd w:val="clear" w:color="auto" w:fill="EAF0FA"/>
            <w:tcBorders>
              <w:top w:val="single" w:sz="4" w:color="BFBFBF"/>
              <w:left w:val="single" w:sz="4" w:color="BFBFBF"/>
              <w:bottom w:val="single" w:sz="4" w:color="BFBFBF"/>
              <w:right w:val="single" w:sz="4" w:color="BFBFBF"/>
            </w:tcBorders>
            <w:vAlign w:val="center"/>
          </w:tcPr>
          <w:p>
            <w:r/>
            <w:r>
              <w:rPr>
                <w:sz w:val="20"/>
              </w:rPr>
              <w:t>Added rule specifying text-date syntax; schema-aware 2-attempt retry loop</w:t>
            </w:r>
          </w:p>
        </w:tc>
      </w:tr>
      <w:tr>
        <w:tc>
          <w:tcPr>
            <w:tcW w:type="dxa" w:w="3118"/>
            <w:tcBorders>
              <w:top w:val="single" w:sz="4" w:color="BFBFBF"/>
              <w:left w:val="single" w:sz="4" w:color="BFBFBF"/>
              <w:bottom w:val="single" w:sz="4" w:color="BFBFBF"/>
              <w:right w:val="single" w:sz="4" w:color="BFBFBF"/>
            </w:tcBorders>
            <w:vAlign w:val="center"/>
          </w:tcPr>
          <w:p>
            <w:r/>
            <w:r>
              <w:rPr>
                <w:sz w:val="20"/>
              </w:rPr>
              <w:t>Users without a code hit a raw 401</w:t>
            </w:r>
          </w:p>
        </w:tc>
        <w:tc>
          <w:tcPr>
            <w:tcW w:type="dxa" w:w="2835"/>
            <w:tcBorders>
              <w:top w:val="single" w:sz="4" w:color="BFBFBF"/>
              <w:left w:val="single" w:sz="4" w:color="BFBFBF"/>
              <w:bottom w:val="single" w:sz="4" w:color="BFBFBF"/>
              <w:right w:val="single" w:sz="4" w:color="BFBFBF"/>
            </w:tcBorders>
            <w:vAlign w:val="center"/>
          </w:tcPr>
          <w:p>
            <w:r/>
            <w:r>
              <w:rPr>
                <w:sz w:val="20"/>
              </w:rPr>
              <w:t>No login UI</w:t>
            </w:r>
          </w:p>
        </w:tc>
        <w:tc>
          <w:tcPr>
            <w:tcW w:type="dxa" w:w="3969"/>
            <w:tcBorders>
              <w:top w:val="single" w:sz="4" w:color="BFBFBF"/>
              <w:left w:val="single" w:sz="4" w:color="BFBFBF"/>
              <w:bottom w:val="single" w:sz="4" w:color="BFBFBF"/>
              <w:right w:val="single" w:sz="4" w:color="BFBFBF"/>
            </w:tcBorders>
            <w:vAlign w:val="center"/>
          </w:tcPr>
          <w:p>
            <w:r/>
            <w:r>
              <w:rPr>
                <w:sz w:val="20"/>
              </w:rPr>
              <w:t>Built /access page with access-code entry form</w:t>
            </w:r>
          </w:p>
        </w:tc>
      </w:tr>
      <w:tr>
        <w:tc>
          <w:tcPr>
            <w:tcW w:type="dxa" w:w="3118"/>
            <w:shd w:val="clear" w:color="auto" w:fill="EAF0FA"/>
            <w:tcBorders>
              <w:top w:val="single" w:sz="4" w:color="BFBFBF"/>
              <w:left w:val="single" w:sz="4" w:color="BFBFBF"/>
              <w:bottom w:val="single" w:sz="4" w:color="BFBFBF"/>
              <w:right w:val="single" w:sz="4" w:color="BFBFBF"/>
            </w:tcBorders>
            <w:vAlign w:val="center"/>
          </w:tcPr>
          <w:p>
            <w:r/>
            <w:r>
              <w:rPr>
                <w:sz w:val="20"/>
              </w:rPr>
              <w:t>Ask-the-Data felt transactional</w:t>
            </w:r>
          </w:p>
        </w:tc>
        <w:tc>
          <w:tcPr>
            <w:tcW w:type="dxa" w:w="2835"/>
            <w:shd w:val="clear" w:color="auto" w:fill="EAF0FA"/>
            <w:tcBorders>
              <w:top w:val="single" w:sz="4" w:color="BFBFBF"/>
              <w:left w:val="single" w:sz="4" w:color="BFBFBF"/>
              <w:bottom w:val="single" w:sz="4" w:color="BFBFBF"/>
              <w:right w:val="single" w:sz="4" w:color="BFBFBF"/>
            </w:tcBorders>
            <w:vAlign w:val="center"/>
          </w:tcPr>
          <w:p>
            <w:r/>
            <w:r>
              <w:rPr>
                <w:sz w:val="20"/>
              </w:rPr>
              <w:t>Single-shot Q&amp;A with no memory</w:t>
            </w:r>
          </w:p>
        </w:tc>
        <w:tc>
          <w:tcPr>
            <w:tcW w:type="dxa" w:w="3969"/>
            <w:shd w:val="clear" w:color="auto" w:fill="EAF0FA"/>
            <w:tcBorders>
              <w:top w:val="single" w:sz="4" w:color="BFBFBF"/>
              <w:left w:val="single" w:sz="4" w:color="BFBFBF"/>
              <w:bottom w:val="single" w:sz="4" w:color="BFBFBF"/>
              <w:right w:val="single" w:sz="4" w:color="BFBFBF"/>
            </w:tcBorders>
            <w:vAlign w:val="center"/>
          </w:tcPr>
          <w:p>
            <w:r/>
            <w:r>
              <w:rPr>
                <w:sz w:val="20"/>
              </w:rPr>
              <w:t>Added conversation memory, streaming tokens, follow-up suggestions, Investigate Mode with clear descriptions</w:t>
            </w:r>
          </w:p>
        </w:tc>
      </w:tr>
      <w:tr>
        <w:tc>
          <w:tcPr>
            <w:tcW w:type="dxa" w:w="3118"/>
            <w:tcBorders>
              <w:top w:val="single" w:sz="4" w:color="BFBFBF"/>
              <w:left w:val="single" w:sz="4" w:color="BFBFBF"/>
              <w:bottom w:val="single" w:sz="4" w:color="BFBFBF"/>
              <w:right w:val="single" w:sz="4" w:color="BFBFBF"/>
            </w:tcBorders>
            <w:vAlign w:val="center"/>
          </w:tcPr>
          <w:p>
            <w:r/>
            <w:r>
              <w:rPr>
                <w:sz w:val="20"/>
              </w:rPr>
              <w:t>Site was English-only</w:t>
            </w:r>
          </w:p>
        </w:tc>
        <w:tc>
          <w:tcPr>
            <w:tcW w:type="dxa" w:w="2835"/>
            <w:tcBorders>
              <w:top w:val="single" w:sz="4" w:color="BFBFBF"/>
              <w:left w:val="single" w:sz="4" w:color="BFBFBF"/>
              <w:bottom w:val="single" w:sz="4" w:color="BFBFBF"/>
              <w:right w:val="single" w:sz="4" w:color="BFBFBF"/>
            </w:tcBorders>
            <w:vAlign w:val="center"/>
          </w:tcPr>
          <w:p>
            <w:r/>
            <w:r>
              <w:rPr>
                <w:sz w:val="20"/>
              </w:rPr>
              <w:t>No i18n layer</w:t>
            </w:r>
          </w:p>
        </w:tc>
        <w:tc>
          <w:tcPr>
            <w:tcW w:type="dxa" w:w="3969"/>
            <w:tcBorders>
              <w:top w:val="single" w:sz="4" w:color="BFBFBF"/>
              <w:left w:val="single" w:sz="4" w:color="BFBFBF"/>
              <w:bottom w:val="single" w:sz="4" w:color="BFBFBF"/>
              <w:right w:val="single" w:sz="4" w:color="BFBFBF"/>
            </w:tcBorders>
            <w:vAlign w:val="center"/>
          </w:tcPr>
          <w:p>
            <w:r/>
            <w:r>
              <w:rPr>
                <w:sz w:val="20"/>
              </w:rPr>
              <w:t>Site-wide bilingual auto-translation via GPT-4.1; language toggle persists per session</w:t>
            </w:r>
          </w:p>
        </w:tc>
      </w:tr>
    </w:tbl>
    <w:p>
      <w:pPr>
        <w:spacing w:before="280" w:after="120"/>
      </w:pPr>
      <w:r>
        <w:rPr>
          <w:b/>
          <w:color w:val="0B3D91"/>
          <w:sz w:val="30"/>
        </w:rPr>
        <w:t>Architecture at a Glance</w:t>
      </w:r>
    </w:p>
    <w:tbl>
      <w:tblPr>
        <w:tblW w:type="auto" w:w="0"/>
        <w:tblLayout w:type="fixed"/>
        <w:tblLook w:firstColumn="1" w:firstRow="1" w:lastColumn="0" w:lastRow="0" w:noHBand="0" w:noVBand="1" w:val="04A0"/>
      </w:tblPr>
      <w:tblGrid>
        <w:gridCol w:w="4986"/>
        <w:gridCol w:w="4986"/>
      </w:tblGrid>
      <w:tr>
        <w:tc>
          <w:tcPr>
            <w:tcW w:type="dxa" w:w="2268"/>
            <w:shd w:val="clear" w:color="auto" w:fill="0B3D91"/>
            <w:tcBorders>
              <w:top w:val="single" w:sz="6" w:color="0B3D91"/>
              <w:left w:val="single" w:sz="6" w:color="0B3D91"/>
              <w:bottom w:val="single" w:sz="6" w:color="0B3D91"/>
              <w:right w:val="single" w:sz="6" w:color="0B3D91"/>
            </w:tcBorders>
            <w:vAlign w:val="center"/>
          </w:tcPr>
          <w:p>
            <w:r/>
            <w:r>
              <w:rPr>
                <w:b/>
                <w:color w:val="FFFFFF"/>
                <w:sz w:val="22"/>
              </w:rPr>
              <w:t>Layer</w:t>
            </w:r>
          </w:p>
        </w:tc>
        <w:tc>
          <w:tcPr>
            <w:tcW w:type="dxa" w:w="7654"/>
            <w:shd w:val="clear" w:color="auto" w:fill="0B3D91"/>
            <w:tcBorders>
              <w:top w:val="single" w:sz="6" w:color="0B3D91"/>
              <w:left w:val="single" w:sz="6" w:color="0B3D91"/>
              <w:bottom w:val="single" w:sz="6" w:color="0B3D91"/>
              <w:right w:val="single" w:sz="6" w:color="0B3D91"/>
            </w:tcBorders>
            <w:vAlign w:val="center"/>
          </w:tcPr>
          <w:p>
            <w:r/>
            <w:r>
              <w:rPr>
                <w:b/>
                <w:color w:val="FFFFFF"/>
                <w:sz w:val="22"/>
              </w:rPr>
              <w:t>Details</w:t>
            </w:r>
          </w:p>
        </w:tc>
      </w:tr>
      <w:tr>
        <w:tc>
          <w:tcPr>
            <w:tcW w:type="dxa" w:w="2268"/>
            <w:shd w:val="clear" w:color="auto" w:fill="EAF0FA"/>
            <w:tcBorders>
              <w:top w:val="single" w:sz="4" w:color="BFBFBF"/>
              <w:left w:val="single" w:sz="4" w:color="BFBFBF"/>
              <w:bottom w:val="single" w:sz="4" w:color="BFBFBF"/>
              <w:right w:val="single" w:sz="4" w:color="BFBFBF"/>
            </w:tcBorders>
            <w:vAlign w:val="center"/>
          </w:tcPr>
          <w:p>
            <w:r/>
            <w:r>
              <w:rPr>
                <w:sz w:val="20"/>
              </w:rPr>
              <w:t>Frontend</w:t>
            </w:r>
          </w:p>
        </w:tc>
        <w:tc>
          <w:tcPr>
            <w:tcW w:type="dxa" w:w="7654"/>
            <w:shd w:val="clear" w:color="auto" w:fill="EAF0FA"/>
            <w:tcBorders>
              <w:top w:val="single" w:sz="4" w:color="BFBFBF"/>
              <w:left w:val="single" w:sz="4" w:color="BFBFBF"/>
              <w:bottom w:val="single" w:sz="4" w:color="BFBFBF"/>
              <w:right w:val="single" w:sz="4" w:color="BFBFBF"/>
            </w:tcBorders>
            <w:vAlign w:val="center"/>
          </w:tcPr>
          <w:p>
            <w:r/>
            <w:r>
              <w:rPr>
                <w:sz w:val="20"/>
              </w:rPr>
              <w:t>Next.js 16 (App Router, TypeScript, Tailwind), deployed to Azure Container Apps</w:t>
            </w:r>
          </w:p>
        </w:tc>
      </w:tr>
      <w:tr>
        <w:tc>
          <w:tcPr>
            <w:tcW w:type="dxa" w:w="2268"/>
            <w:tcBorders>
              <w:top w:val="single" w:sz="4" w:color="BFBFBF"/>
              <w:left w:val="single" w:sz="4" w:color="BFBFBF"/>
              <w:bottom w:val="single" w:sz="4" w:color="BFBFBF"/>
              <w:right w:val="single" w:sz="4" w:color="BFBFBF"/>
            </w:tcBorders>
            <w:vAlign w:val="center"/>
          </w:tcPr>
          <w:p>
            <w:r/>
            <w:r>
              <w:rPr>
                <w:sz w:val="20"/>
              </w:rPr>
              <w:t>Database</w:t>
            </w:r>
          </w:p>
        </w:tc>
        <w:tc>
          <w:tcPr>
            <w:tcW w:type="dxa" w:w="7654"/>
            <w:tcBorders>
              <w:top w:val="single" w:sz="4" w:color="BFBFBF"/>
              <w:left w:val="single" w:sz="4" w:color="BFBFBF"/>
              <w:bottom w:val="single" w:sz="4" w:color="BFBFBF"/>
              <w:right w:val="single" w:sz="4" w:color="BFBFBF"/>
            </w:tcBorders>
            <w:vAlign w:val="center"/>
          </w:tcPr>
          <w:p>
            <w:r/>
            <w:r>
              <w:rPr>
                <w:sz w:val="20"/>
              </w:rPr>
              <w:t>Azure PostgreSQL Flexible Server (Canada Central), pgvector extension</w:t>
            </w:r>
          </w:p>
        </w:tc>
      </w:tr>
      <w:tr>
        <w:tc>
          <w:tcPr>
            <w:tcW w:type="dxa" w:w="2268"/>
            <w:shd w:val="clear" w:color="auto" w:fill="EAF0FA"/>
            <w:tcBorders>
              <w:top w:val="single" w:sz="4" w:color="BFBFBF"/>
              <w:left w:val="single" w:sz="4" w:color="BFBFBF"/>
              <w:bottom w:val="single" w:sz="4" w:color="BFBFBF"/>
              <w:right w:val="single" w:sz="4" w:color="BFBFBF"/>
            </w:tcBorders>
            <w:vAlign w:val="center"/>
          </w:tcPr>
          <w:p>
            <w:r/>
            <w:r>
              <w:rPr>
                <w:sz w:val="20"/>
              </w:rPr>
              <w:t>AI</w:t>
            </w:r>
          </w:p>
        </w:tc>
        <w:tc>
          <w:tcPr>
            <w:tcW w:type="dxa" w:w="7654"/>
            <w:shd w:val="clear" w:color="auto" w:fill="EAF0FA"/>
            <w:tcBorders>
              <w:top w:val="single" w:sz="4" w:color="BFBFBF"/>
              <w:left w:val="single" w:sz="4" w:color="BFBFBF"/>
              <w:bottom w:val="single" w:sz="4" w:color="BFBFBF"/>
              <w:right w:val="single" w:sz="4" w:color="BFBFBF"/>
            </w:tcBorders>
            <w:vAlign w:val="center"/>
          </w:tcPr>
          <w:p>
            <w:r/>
            <w:r>
              <w:rPr>
                <w:sz w:val="20"/>
              </w:rPr>
              <w:t>Azure OpenAI GPT-4.1 via Entra ID managed identity (no keys in code)</w:t>
            </w:r>
          </w:p>
        </w:tc>
      </w:tr>
      <w:tr>
        <w:tc>
          <w:tcPr>
            <w:tcW w:type="dxa" w:w="2268"/>
            <w:tcBorders>
              <w:top w:val="single" w:sz="4" w:color="BFBFBF"/>
              <w:left w:val="single" w:sz="4" w:color="BFBFBF"/>
              <w:bottom w:val="single" w:sz="4" w:color="BFBFBF"/>
              <w:right w:val="single" w:sz="4" w:color="BFBFBF"/>
            </w:tcBorders>
            <w:vAlign w:val="center"/>
          </w:tcPr>
          <w:p>
            <w:r/>
            <w:r>
              <w:rPr>
                <w:sz w:val="20"/>
              </w:rPr>
              <w:t>ETL</w:t>
            </w:r>
          </w:p>
        </w:tc>
        <w:tc>
          <w:tcPr>
            <w:tcW w:type="dxa" w:w="7654"/>
            <w:tcBorders>
              <w:top w:val="single" w:sz="4" w:color="BFBFBF"/>
              <w:left w:val="single" w:sz="4" w:color="BFBFBF"/>
              <w:bottom w:val="single" w:sz="4" w:color="BFBFBF"/>
              <w:right w:val="single" w:sz="4" w:color="BFBFBF"/>
            </w:tcBorders>
            <w:vAlign w:val="center"/>
          </w:tcPr>
          <w:p>
            <w:r/>
            <w:r>
              <w:rPr>
                <w:sz w:val="20"/>
              </w:rPr>
              <w:t>Paginated CKAN API → Postgres; auto-refreshes all 38 MVs after load</w:t>
            </w:r>
          </w:p>
        </w:tc>
      </w:tr>
      <w:tr>
        <w:tc>
          <w:tcPr>
            <w:tcW w:type="dxa" w:w="2268"/>
            <w:shd w:val="clear" w:color="auto" w:fill="EAF0FA"/>
            <w:tcBorders>
              <w:top w:val="single" w:sz="4" w:color="BFBFBF"/>
              <w:left w:val="single" w:sz="4" w:color="BFBFBF"/>
              <w:bottom w:val="single" w:sz="4" w:color="BFBFBF"/>
              <w:right w:val="single" w:sz="4" w:color="BFBFBF"/>
            </w:tcBorders>
            <w:vAlign w:val="center"/>
          </w:tcPr>
          <w:p>
            <w:r/>
            <w:r>
              <w:rPr>
                <w:sz w:val="20"/>
              </w:rPr>
              <w:t>Auth</w:t>
            </w:r>
          </w:p>
        </w:tc>
        <w:tc>
          <w:tcPr>
            <w:tcW w:type="dxa" w:w="7654"/>
            <w:shd w:val="clear" w:color="auto" w:fill="EAF0FA"/>
            <w:tcBorders>
              <w:top w:val="single" w:sz="4" w:color="BFBFBF"/>
              <w:left w:val="single" w:sz="4" w:color="BFBFBF"/>
              <w:bottom w:val="single" w:sz="4" w:color="BFBFBF"/>
              <w:right w:val="single" w:sz="4" w:color="BFBFBF"/>
            </w:tcBorders>
            <w:vAlign w:val="center"/>
          </w:tcPr>
          <w:p>
            <w:r/>
            <w:r>
              <w:rPr>
                <w:sz w:val="20"/>
              </w:rPr>
              <w:t>Cookie-based access code (HACKATHON2026)</w:t>
            </w:r>
          </w:p>
        </w:tc>
      </w:tr>
      <w:tr>
        <w:tc>
          <w:tcPr>
            <w:tcW w:type="dxa" w:w="2268"/>
            <w:tcBorders>
              <w:top w:val="single" w:sz="4" w:color="BFBFBF"/>
              <w:left w:val="single" w:sz="4" w:color="BFBFBF"/>
              <w:bottom w:val="single" w:sz="4" w:color="BFBFBF"/>
              <w:right w:val="single" w:sz="4" w:color="BFBFBF"/>
            </w:tcBorders>
            <w:vAlign w:val="center"/>
          </w:tcPr>
          <w:p>
            <w:r/>
            <w:r>
              <w:rPr>
                <w:sz w:val="20"/>
              </w:rPr>
              <w:t>Registry</w:t>
            </w:r>
          </w:p>
        </w:tc>
        <w:tc>
          <w:tcPr>
            <w:tcW w:type="dxa" w:w="7654"/>
            <w:tcBorders>
              <w:top w:val="single" w:sz="4" w:color="BFBFBF"/>
              <w:left w:val="single" w:sz="4" w:color="BFBFBF"/>
              <w:bottom w:val="single" w:sz="4" w:color="BFBFBF"/>
              <w:right w:val="single" w:sz="4" w:color="BFBFBF"/>
            </w:tcBorders>
            <w:vAlign w:val="center"/>
          </w:tcPr>
          <w:p>
            <w:r/>
            <w:r>
              <w:rPr>
                <w:sz w:val="20"/>
              </w:rPr>
              <w:t>Azure Container Registry (opengovacr.azurecr.io/opengov-app)</w:t>
            </w:r>
          </w:p>
        </w:tc>
      </w:tr>
    </w:tbl>
    <w:p>
      <w:pPr>
        <w:spacing w:before="280" w:after="120"/>
      </w:pPr>
      <w:r>
        <w:rPr>
          <w:b/>
          <w:color w:val="0B3D91"/>
          <w:sz w:val="30"/>
        </w:rPr>
        <w:t>Engineering Discipline</w:t>
      </w:r>
    </w:p>
    <w:p>
      <w:pPr>
        <w:pStyle w:val="ListBullet"/>
        <w:spacing w:after="40"/>
      </w:pPr>
      <w:r>
        <w:t>Challenge-truth regression gate: tests/audit/challenge-truth.spec.ts verifies top page rows against raw tables (10/10 passing, 91+/96 entity criteria).</w:t>
      </w:r>
    </w:p>
    <w:p>
      <w:pPr>
        <w:pStyle w:val="ListBullet"/>
        <w:spacing w:after="40"/>
      </w:pPr>
      <w:r>
        <w:t>Data integrity gate: cross-table row count sanity checks.</w:t>
      </w:r>
    </w:p>
    <w:p>
      <w:pPr>
        <w:pStyle w:val="ListBullet"/>
        <w:spacing w:after="40"/>
      </w:pPr>
      <w:r>
        <w:t>No-leaks gate: confirms no internal project files appear in user-facing UI.</w:t>
      </w:r>
    </w:p>
    <w:p>
      <w:pPr>
        <w:pStyle w:val="ListBullet"/>
        <w:spacing w:after="40"/>
      </w:pPr>
      <w:r>
        <w:t>Guardrails per challenge: every page labels proxies as 'signal' or 'subset' rather than claiming complete answers.</w:t>
      </w:r>
    </w:p>
    <w:p>
      <w:pPr>
        <w:pStyle w:val="ListBullet"/>
        <w:spacing w:after="40"/>
      </w:pPr>
      <w:r>
        <w:t>Benchmark entities (Mastercard Foundation, Sobey Foundation, S.U.C.C.E.S.S., Canadian Red Cross, Gouvernement du Québec) validated before each deploy.</w:t>
      </w:r>
    </w:p>
    <w:p>
      <w:pPr>
        <w:spacing w:before="280" w:after="120"/>
      </w:pPr>
      <w:r>
        <w:rPr>
          <w:b/>
          <w:color w:val="0B3D91"/>
          <w:sz w:val="30"/>
        </w:rPr>
        <w:t>Try It</w:t>
      </w:r>
    </w:p>
    <w:p>
      <w:r>
        <w:rPr>
          <w:b w:val="0"/>
          <w:i w:val="0"/>
          <w:sz w:val="22"/>
        </w:rPr>
        <w:t>The site is live and ready to share. Open the link below, then try one of the starter questions on the Ask-the-Data page. Works in English or French — toggle in the top-right.</w:t>
      </w:r>
    </w:p>
    <w:tbl>
      <w:tblPr>
        <w:tblW w:type="auto" w:w="0"/>
        <w:tblLook w:firstColumn="1" w:firstRow="1" w:lastColumn="0" w:lastRow="0" w:noHBand="0" w:noVBand="1" w:val="04A0"/>
      </w:tblPr>
      <w:tblGrid>
        <w:gridCol w:w="9972"/>
      </w:tblGrid>
      <w:tr>
        <w:tc>
          <w:tcPr>
            <w:tcW w:type="dxa" w:w="9972"/>
            <w:shd w:val="clear" w:color="auto" w:fill="EAF0FA"/>
            <w:tcBorders>
              <w:top w:val="single" w:sz="8" w:color="0B3D91"/>
              <w:left w:val="single" w:sz="8" w:color="0B3D91"/>
              <w:bottom w:val="single" w:sz="8" w:color="0B3D91"/>
              <w:right w:val="single" w:sz="8" w:color="0B3D91"/>
            </w:tcBorders>
          </w:tcPr>
          <w:p>
            <w:pPr>
              <w:jc w:val="center"/>
            </w:pPr>
            <w:r/>
            <w:r>
              <w:rPr>
                <w:b/>
                <w:color w:val="0B3D91"/>
                <w:sz w:val="22"/>
              </w:rPr>
              <w:t>https://opengov-app.lemonplant-448f8e2d.canadacentral.azurecontainerapps.io/?code=HACKATHON2026</w:t>
            </w:r>
          </w:p>
        </w:tc>
      </w:tr>
    </w:tbl>
    <w:p>
      <w:r>
        <w:rPr>
          <w:b/>
          <w:i w:val="0"/>
          <w:sz w:val="22"/>
        </w:rPr>
        <w:t>Suggested starter questions:</w:t>
      </w:r>
    </w:p>
    <w:p>
      <w:pPr>
        <w:pStyle w:val="ListBullet"/>
        <w:spacing w:after="40"/>
      </w:pPr>
      <w:r>
        <w:rPr>
          <w:i/>
        </w:rPr>
        <w:t>“Which vendors had amendment ratios above 300% last year?”</w:t>
      </w:r>
    </w:p>
    <w:p>
      <w:pPr>
        <w:pStyle w:val="ListBullet"/>
        <w:spacing w:after="40"/>
      </w:pPr>
      <w:r>
        <w:rPr>
          <w:i/>
        </w:rPr>
        <w:t>“Show me charities that stopped filing after receiving over $1M in federal funding.”</w:t>
      </w:r>
    </w:p>
    <w:p>
      <w:pPr>
        <w:pStyle w:val="ListBullet"/>
        <w:spacing w:after="40"/>
      </w:pPr>
      <w:r>
        <w:rPr>
          <w:i/>
        </w:rPr>
        <w:t>“Where is there duplicative funding across more than three departments?”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