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F4F4F8" w:color="auto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pacing w:val="5"/>
                <w:sz w:val="22"/>
                <w:szCs w:val="22"/>
              </w:rPr>
              <w:t xml:space="preserve">Earth³ — Visual Layout Guide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pacing w:val="10"/>
                <w:sz w:val="22"/>
                <w:szCs w:val="22"/>
              </w:rPr>
              <w:t xml:space="preserve">XBOT PROMO SECTION  ·  v0.1</w:t>
            </w:r>
          </w:p>
          <w:p>
            <w:pPr>
              <w:spacing w:after="120" w:line="408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Type: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 Design System Reference · Section Insert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Version: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 0.1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Status: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 Internal Reference Only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Date: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 October 2026</w:t>
            </w:r>
          </w:p>
        </w:tc>
      </w:tr>
    </w:tbl>
    <w:p>
      <w:pPr>
        <w:spacing w:after="240" w:before="0"/>
      </w:pPr>
    </w:p>
    <w:p>
      <w:pPr>
        <w:pStyle w:val="Heading1"/>
        <w:pBdr>
          <w:left w:val="single" w:color="3A3A5C" w:sz="30" w:space="8"/>
        </w:pBdr>
        <w:shd w:fill="1A1A2E" w:color="auto" w:val="clear"/>
        <w:spacing w:after="100" w:before="560" w:line="360" w:lineRule="auto"/>
        <w:ind w:left="215"/>
      </w:pPr>
      <w:r>
        <w:rPr>
          <w:rFonts w:ascii="Consolas" w:cs="Consolas" w:eastAsia="Consolas" w:hAnsi="Consolas"/>
          <w:color w:val="FFFFFF"/>
          <w:spacing w:val="10"/>
          <w:sz w:val="32"/>
          <w:szCs w:val="32"/>
        </w:rPr>
        <w:t xml:space="preserve">SECTION 1 — 8-GLYPH COLOR SYSTEM</w:t>
      </w:r>
    </w:p>
    <w:p>
      <w:pPr>
        <w:pBdr>
          <w:top w:val="single" w:color="3A3A5C" w:sz="6"/>
        </w:pBdr>
        <w:spacing w:after="200" w:before="0"/>
      </w:pPr>
    </w:p>
    <w:p>
      <w:pPr>
        <w:pStyle w:val="Heading2"/>
        <w:spacing w:after="100" w:before="360" w:line="360" w:lineRule="auto"/>
      </w:pPr>
      <w:r>
        <w:rPr>
          <w:rFonts w:ascii="Consolas" w:cs="Consolas" w:eastAsia="Consolas" w:hAnsi="Consolas"/>
          <w:color w:val="1A1A2E"/>
          <w:spacing w:val="7"/>
          <w:sz w:val="24"/>
          <w:szCs w:val="24"/>
        </w:rPr>
        <w:t xml:space="preserve">OVERVIEW</w:t>
      </w:r>
    </w:p>
    <w:p>
      <w:pPr>
        <w:pBdr>
          <w:top w:val="single" w:color="1A1A2E" w:sz="6"/>
        </w:pBd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Each of the eight Earth³ fields maps permanently to a unique color and glyph identifier. These assignments are fixed — no color may be swapped between fields under any circumstance. The color system is the foundational layer of the Earth³ identity framework; every visual, transactional, and data element within the system inherits from this mapping.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2A2A2A" w:sz="6"/>
              <w:left w:val="single" w:color="2A2A2A" w:sz="6"/>
              <w:bottom w:val="single" w:color="2A2A2A" w:sz="6"/>
              <w:right w:val="single" w:color="2A2A2A" w:sz="6"/>
            </w:tcBorders>
            <w:shd w:fill="F5F5F5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80" w:line="360" w:lineRule="auto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2A2A2A"/>
                <w:spacing w:val="12"/>
                <w:sz w:val="20"/>
                <w:szCs w:val="20"/>
              </w:rPr>
              <w:t xml:space="preserve">⚠ Fixed Assignment Rule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Field-to-color assignments are immutable. Reassignment of any color to an alternate field constitutes a system integrity violation and must be treated as a critical design error.</w:t>
            </w:r>
          </w:p>
        </w:tc>
      </w:tr>
    </w:tbl>
    <w:p>
      <w:pPr>
        <w:spacing w:after="240" w:before="0"/>
      </w:pPr>
    </w:p>
    <w:p>
      <w:pPr>
        <w:pStyle w:val="Heading2"/>
        <w:spacing w:after="100" w:before="360" w:line="360" w:lineRule="auto"/>
      </w:pPr>
      <w:r>
        <w:rPr>
          <w:rFonts w:ascii="Consolas" w:cs="Consolas" w:eastAsia="Consolas" w:hAnsi="Consolas"/>
          <w:color w:val="1A1A2E"/>
          <w:spacing w:val="7"/>
          <w:sz w:val="24"/>
          <w:szCs w:val="24"/>
        </w:rPr>
        <w:t xml:space="preserve">COLOR-PATTERN CHART</w:t>
      </w:r>
    </w:p>
    <w:p>
      <w:pPr>
        <w:pBdr>
          <w:top w:val="single" w:color="1A1A2E" w:sz="6"/>
        </w:pBd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The table below presents all eight Earth³ field color assignments. Each FIELD cell is shaded with its canonical field color for immediate visual reference.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2A2A2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FFFFFF"/>
                <w:spacing w:val="12"/>
                <w:sz w:val="18"/>
                <w:szCs w:val="18"/>
              </w:rPr>
              <w:t xml:space="preserve">Field</w:t>
            </w:r>
          </w:p>
        </w:tc>
        <w:tc>
          <w:tcPr>
            <w:tcW w:type="pct" w:w="22%"/>
            <w:shd w:fill="2A2A2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FFFFFF"/>
                <w:spacing w:val="12"/>
                <w:sz w:val="18"/>
                <w:szCs w:val="18"/>
              </w:rPr>
              <w:t xml:space="preserve">Color Name</w:t>
            </w:r>
          </w:p>
        </w:tc>
        <w:tc>
          <w:tcPr>
            <w:tcW w:type="pct" w:w="15%"/>
            <w:shd w:fill="2A2A2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FFFFFF"/>
                <w:spacing w:val="12"/>
                <w:sz w:val="18"/>
                <w:szCs w:val="18"/>
              </w:rPr>
              <w:t xml:space="preserve">Hex Code</w:t>
            </w:r>
          </w:p>
        </w:tc>
        <w:tc>
          <w:tcPr>
            <w:tcW w:type="pct" w:w="23%"/>
            <w:shd w:fill="2A2A2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FFFFFF"/>
                <w:spacing w:val="12"/>
                <w:sz w:val="18"/>
                <w:szCs w:val="18"/>
              </w:rPr>
              <w:t xml:space="preserve">Glyph ID</w:t>
            </w:r>
          </w:p>
        </w:tc>
        <w:tc>
          <w:tcPr>
            <w:tcW w:type="pct" w:w="31%"/>
            <w:shd w:fill="2A2A2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FFFFFF"/>
                <w:spacing w:val="12"/>
                <w:sz w:val="18"/>
                <w:szCs w:val="18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pct" w:w="9%"/>
            <w:shd w:fill="BF00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pct" w:w="22%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Neon Violet</w:t>
            </w:r>
          </w:p>
        </w:tc>
        <w:tc>
          <w:tcPr>
            <w:tcW w:type="pct" w:w="15%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333355"/>
                <w:sz w:val="18"/>
                <w:szCs w:val="18"/>
              </w:rPr>
              <w:t xml:space="preserve">#BF00FF</w:t>
            </w:r>
          </w:p>
        </w:tc>
        <w:tc>
          <w:tcPr>
            <w:tcW w:type="pct" w:w="23%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1A1A2E"/>
                <w:sz w:val="18"/>
                <w:szCs w:val="18"/>
              </w:rPr>
              <w:t xml:space="preserve">PlayerPowerID</w:t>
            </w:r>
          </w:p>
        </w:tc>
        <w:tc>
          <w:tcPr>
            <w:tcW w:type="pct" w:w="31%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Identity anchor</w:t>
            </w:r>
          </w:p>
        </w:tc>
      </w:tr>
      <w:tr>
        <w:trPr>
          <w:tblHeader w:val="false"/>
        </w:trPr>
        <w:tc>
          <w:tcPr>
            <w:tcW w:type="pct" w:w="9%"/>
            <w:shd w:fill="0057B8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pct" w:w="22%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ADA Blue</w:t>
            </w:r>
          </w:p>
        </w:tc>
        <w:tc>
          <w:tcPr>
            <w:tcW w:type="pct" w:w="15%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333355"/>
                <w:sz w:val="18"/>
                <w:szCs w:val="18"/>
              </w:rPr>
              <w:t xml:space="preserve">#0057B8</w:t>
            </w:r>
          </w:p>
        </w:tc>
        <w:tc>
          <w:tcPr>
            <w:tcW w:type="pct" w:w="23%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1A1A2E"/>
                <w:sz w:val="18"/>
                <w:szCs w:val="18"/>
              </w:rPr>
              <w:t xml:space="preserve">aDaB</w:t>
            </w:r>
          </w:p>
        </w:tc>
        <w:tc>
          <w:tcPr>
            <w:tcW w:type="pct" w:w="31%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Action / data block</w:t>
            </w:r>
          </w:p>
        </w:tc>
      </w:tr>
      <w:tr>
        <w:trPr>
          <w:tblHeader w:val="false"/>
        </w:trPr>
        <w:tc>
          <w:tcPr>
            <w:tcW w:type="pct" w:w="9%"/>
            <w:shd w:fill="B0B0B0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1A1A1A"/>
                <w:sz w:val="18"/>
                <w:szCs w:val="18"/>
              </w:rPr>
              <w:t xml:space="preserve">WHEN</w:t>
            </w:r>
          </w:p>
        </w:tc>
        <w:tc>
          <w:tcPr>
            <w:tcW w:type="pct" w:w="22%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Ghost Grey</w:t>
            </w:r>
          </w:p>
        </w:tc>
        <w:tc>
          <w:tcPr>
            <w:tcW w:type="pct" w:w="15%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333355"/>
                <w:sz w:val="18"/>
                <w:szCs w:val="18"/>
              </w:rPr>
              <w:t xml:space="preserve">#B0B0B0</w:t>
            </w:r>
          </w:p>
        </w:tc>
        <w:tc>
          <w:tcPr>
            <w:tcW w:type="pct" w:w="23%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1A1A2E"/>
                <w:sz w:val="18"/>
                <w:szCs w:val="18"/>
              </w:rPr>
              <w:t xml:space="preserve">moMintNTime</w:t>
            </w:r>
          </w:p>
        </w:tc>
        <w:tc>
          <w:tcPr>
            <w:tcW w:type="pct" w:w="31%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Temporal marker</w:t>
            </w:r>
          </w:p>
        </w:tc>
      </w:tr>
      <w:tr>
        <w:trPr>
          <w:tblHeader w:val="false"/>
        </w:trPr>
        <w:tc>
          <w:tcPr>
            <w:tcW w:type="pct" w:w="9%"/>
            <w:shd w:fill="3A3A3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THEN</w:t>
            </w:r>
          </w:p>
        </w:tc>
        <w:tc>
          <w:tcPr>
            <w:tcW w:type="pct" w:w="22%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Deep Grey</w:t>
            </w:r>
          </w:p>
        </w:tc>
        <w:tc>
          <w:tcPr>
            <w:tcW w:type="pct" w:w="15%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333355"/>
                <w:sz w:val="18"/>
                <w:szCs w:val="18"/>
              </w:rPr>
              <w:t xml:space="preserve">#3A3A3A</w:t>
            </w:r>
          </w:p>
        </w:tc>
        <w:tc>
          <w:tcPr>
            <w:tcW w:type="pct" w:w="23%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1A1A2E"/>
                <w:sz w:val="18"/>
                <w:szCs w:val="18"/>
              </w:rPr>
              <w:t xml:space="preserve">TimeChain/Rails</w:t>
            </w:r>
          </w:p>
        </w:tc>
        <w:tc>
          <w:tcPr>
            <w:tcW w:type="pct" w:w="31%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Sequence logic</w:t>
            </w:r>
          </w:p>
        </w:tc>
      </w:tr>
      <w:tr>
        <w:trPr>
          <w:tblHeader w:val="false"/>
        </w:trPr>
        <w:tc>
          <w:tcPr>
            <w:tcW w:type="pct" w:w="9%"/>
            <w:shd w:fill="00A550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pct" w:w="22%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Money Green</w:t>
            </w:r>
          </w:p>
        </w:tc>
        <w:tc>
          <w:tcPr>
            <w:tcW w:type="pct" w:w="15%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333355"/>
                <w:sz w:val="18"/>
                <w:szCs w:val="18"/>
              </w:rPr>
              <w:t xml:space="preserve">#00A550</w:t>
            </w:r>
          </w:p>
        </w:tc>
        <w:tc>
          <w:tcPr>
            <w:tcW w:type="pct" w:w="23%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1A1A2E"/>
                <w:sz w:val="18"/>
                <w:szCs w:val="18"/>
              </w:rPr>
              <w:t xml:space="preserve">GXYZ</w:t>
            </w:r>
          </w:p>
        </w:tc>
        <w:tc>
          <w:tcPr>
            <w:tcW w:type="pct" w:w="31%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Spatial coordinate</w:t>
            </w:r>
          </w:p>
        </w:tc>
      </w:tr>
      <w:tr>
        <w:trPr>
          <w:tblHeader w:val="false"/>
        </w:trPr>
        <w:tc>
          <w:tcPr>
            <w:tcW w:type="pct" w:w="9%"/>
            <w:shd w:fill="FF6200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pct" w:w="22%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Sunset Orange</w:t>
            </w:r>
          </w:p>
        </w:tc>
        <w:tc>
          <w:tcPr>
            <w:tcW w:type="pct" w:w="15%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333355"/>
                <w:sz w:val="18"/>
                <w:szCs w:val="18"/>
              </w:rPr>
              <w:t xml:space="preserve">#FF6200</w:t>
            </w:r>
          </w:p>
        </w:tc>
        <w:tc>
          <w:tcPr>
            <w:tcW w:type="pct" w:w="23%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1A1A2E"/>
                <w:sz w:val="18"/>
                <w:szCs w:val="18"/>
              </w:rPr>
              <w:t xml:space="preserve">CowsCome4Dayz</w:t>
            </w:r>
          </w:p>
        </w:tc>
        <w:tc>
          <w:tcPr>
            <w:tcW w:type="pct" w:w="31%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Motivation layer</w:t>
            </w:r>
          </w:p>
        </w:tc>
      </w:tr>
      <w:tr>
        <w:trPr>
          <w:tblHeader w:val="false"/>
        </w:trPr>
        <w:tc>
          <w:tcPr>
            <w:tcW w:type="pct" w:w="9%"/>
            <w:shd w:fill="39FF14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1A1A1A"/>
                <w:sz w:val="18"/>
                <w:szCs w:val="18"/>
              </w:rPr>
              <w:t xml:space="preserve">HOW</w:t>
            </w:r>
          </w:p>
        </w:tc>
        <w:tc>
          <w:tcPr>
            <w:tcW w:type="pct" w:w="22%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Electric Green</w:t>
            </w:r>
          </w:p>
        </w:tc>
        <w:tc>
          <w:tcPr>
            <w:tcW w:type="pct" w:w="15%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333355"/>
                <w:sz w:val="18"/>
                <w:szCs w:val="18"/>
              </w:rPr>
              <w:t xml:space="preserve">#39FF14</w:t>
            </w:r>
          </w:p>
        </w:tc>
        <w:tc>
          <w:tcPr>
            <w:tcW w:type="pct" w:w="23%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1A1A2E"/>
                <w:sz w:val="18"/>
                <w:szCs w:val="18"/>
              </w:rPr>
              <w:t xml:space="preserve">PayTooPlay</w:t>
            </w:r>
          </w:p>
        </w:tc>
        <w:tc>
          <w:tcPr>
            <w:tcW w:type="pct" w:w="31%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Mechanism / payment rail</w:t>
            </w:r>
          </w:p>
        </w:tc>
      </w:tr>
      <w:tr>
        <w:trPr>
          <w:tblHeader w:val="false"/>
        </w:trPr>
        <w:tc>
          <w:tcPr>
            <w:tcW w:type="pct" w:w="9%"/>
            <w:shd w:fill="000000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VOID</w:t>
            </w:r>
          </w:p>
        </w:tc>
        <w:tc>
          <w:tcPr>
            <w:tcW w:type="pct" w:w="22%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Black</w:t>
            </w:r>
          </w:p>
        </w:tc>
        <w:tc>
          <w:tcPr>
            <w:tcW w:type="pct" w:w="15%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333355"/>
                <w:sz w:val="18"/>
                <w:szCs w:val="18"/>
              </w:rPr>
              <w:t xml:space="preserve">#000000</w:t>
            </w:r>
          </w:p>
        </w:tc>
        <w:tc>
          <w:tcPr>
            <w:tcW w:type="pct" w:w="23%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1A1A2E"/>
                <w:sz w:val="18"/>
                <w:szCs w:val="18"/>
              </w:rPr>
              <w:t xml:space="preserve">HUD-WoW</w:t>
            </w:r>
          </w:p>
        </w:tc>
        <w:tc>
          <w:tcPr>
            <w:tcW w:type="pct" w:w="31%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Null / overlay state</w:t>
            </w:r>
          </w:p>
        </w:tc>
      </w:tr>
    </w:tbl>
    <w:p>
      <w:pPr>
        <w:spacing w:after="200" w:before="0"/>
      </w:pPr>
    </w:p>
    <w:p>
      <w:pPr>
        <w:pStyle w:val="Heading1"/>
        <w:pBdr>
          <w:left w:val="single" w:color="3A3A5C" w:sz="30" w:space="8"/>
        </w:pBdr>
        <w:shd w:fill="1A1A2E" w:color="auto" w:val="clear"/>
        <w:spacing w:after="100" w:before="560" w:line="360" w:lineRule="auto"/>
        <w:ind w:left="215"/>
      </w:pPr>
      <w:r>
        <w:rPr>
          <w:rFonts w:ascii="Consolas" w:cs="Consolas" w:eastAsia="Consolas" w:hAnsi="Consolas"/>
          <w:color w:val="FFFFFF"/>
          <w:spacing w:val="10"/>
          <w:sz w:val="32"/>
          <w:szCs w:val="32"/>
        </w:rPr>
        <w:t xml:space="preserve">SECTION 2 — FIELD-TO-GLYPH MAPPING &amp; DESCRIPTIONS</w:t>
      </w:r>
    </w:p>
    <w:p>
      <w:pPr>
        <w:pBdr>
          <w:top w:val="single" w:color="3A3A5C" w:sz="6"/>
        </w:pBdr>
        <w:spacing w:after="200" w:before="0"/>
      </w:pPr>
    </w:p>
    <w:p>
      <w:pPr>
        <w:pStyle w:val="Heading2"/>
        <w:spacing w:after="100" w:before="360" w:line="360" w:lineRule="auto"/>
      </w:pPr>
      <w:r>
        <w:rPr>
          <w:rFonts w:ascii="Consolas" w:cs="Consolas" w:eastAsia="Consolas" w:hAnsi="Consolas"/>
          <w:color w:val="1A1A2E"/>
          <w:spacing w:val="7"/>
          <w:sz w:val="24"/>
          <w:szCs w:val="24"/>
        </w:rPr>
        <w:t xml:space="preserve">GLYPH DESCRIPTIONS</w:t>
      </w:r>
    </w:p>
    <w:p>
      <w:pPr>
        <w:pBdr>
          <w:top w:val="single" w:color="1A1A2E" w:sz="6"/>
        </w:pBd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Each glyph is defined below with its field color context and functional role within the Earth³ system. Glyph IDs are permanent identifiers — they must be rendered in their canonical field color wherever they appear in UI or promo materials.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nil" w:color="FFFFFF" w:sz="0"/>
              <w:left w:val="single" w:color="CCCCCC" w:sz="24"/>
              <w:bottom w:val="nil" w:color="FFFFFF" w:sz="0"/>
              <w:right w:val="nil" w:color="FFFFFF" w:sz="0"/>
            </w:tcBorders>
            <w:shd w:fill="F7F7FA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4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A2A2A"/>
                <w:sz w:val="20"/>
                <w:szCs w:val="20"/>
              </w:rPr>
              <w:t xml:space="preserve">PlayerPowerID</w:t>
            </w:r>
          </w:p>
          <w:p>
            <w:pPr>
              <w:spacing w:after="10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A2A2A"/>
                <w:sz w:val="20"/>
                <w:szCs w:val="20"/>
              </w:rPr>
              <w:t xml:space="preserve">WHO  ·  Neon Violet  ·  #BF00FF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A2A2A"/>
                <w:sz w:val="20"/>
                <w:szCs w:val="20"/>
              </w:rPr>
              <w:t xml:space="preserve">Identity anchor. Defines who holds power within a given node. Every interaction in the Earth³ system traces back to a PlayerPowerID — the sovereign entity initiating or receiving value.</w:t>
            </w:r>
          </w:p>
        </w:tc>
      </w:tr>
    </w:tbl>
    <w:p>
      <w:pPr>
        <w:spacing w:after="24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nil" w:color="FFFFFF" w:sz="0"/>
              <w:left w:val="single" w:color="CCCCCC" w:sz="24"/>
              <w:bottom w:val="nil" w:color="FFFFFF" w:sz="0"/>
              <w:right w:val="nil" w:color="FFFFFF" w:sz="0"/>
            </w:tcBorders>
            <w:shd w:fill="F7F7FA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4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A2A2A"/>
                <w:sz w:val="20"/>
                <w:szCs w:val="20"/>
              </w:rPr>
              <w:t xml:space="preserve">aDaB</w:t>
            </w:r>
          </w:p>
          <w:p>
            <w:pPr>
              <w:spacing w:after="10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A2A2A"/>
                <w:sz w:val="20"/>
                <w:szCs w:val="20"/>
              </w:rPr>
              <w:t xml:space="preserve">WHAT  ·  ADA Blue  ·  #0057B8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A2A2A"/>
                <w:sz w:val="20"/>
                <w:szCs w:val="20"/>
              </w:rPr>
              <w:t xml:space="preserve">Action/data block. Encodes what is being exchanged — asset type, data payload, or contract action. aDaB is the content layer of every node transaction.</w:t>
            </w:r>
          </w:p>
        </w:tc>
      </w:tr>
    </w:tbl>
    <w:p>
      <w:pPr>
        <w:spacing w:after="24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nil" w:color="FFFFFF" w:sz="0"/>
              <w:left w:val="single" w:color="CCCCCC" w:sz="24"/>
              <w:bottom w:val="nil" w:color="FFFFFF" w:sz="0"/>
              <w:right w:val="nil" w:color="FFFFFF" w:sz="0"/>
            </w:tcBorders>
            <w:shd w:fill="F7F7FA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4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A2A2A"/>
                <w:sz w:val="20"/>
                <w:szCs w:val="20"/>
              </w:rPr>
              <w:t xml:space="preserve">moMintNTime</w:t>
            </w:r>
          </w:p>
          <w:p>
            <w:pPr>
              <w:spacing w:after="10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A2A2A"/>
                <w:sz w:val="20"/>
                <w:szCs w:val="20"/>
              </w:rPr>
              <w:t xml:space="preserve">WHEN  ·  Ghost Grey  ·  #B0B0B0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A2A2A"/>
                <w:sz w:val="20"/>
                <w:szCs w:val="20"/>
              </w:rPr>
              <w:t xml:space="preserve">Temporal marker. Records the moment of mint, event trigger, or timestamp. Ghost Grey signals neutral, non-urgent structural data — the clock of the system.</w:t>
            </w:r>
          </w:p>
        </w:tc>
      </w:tr>
    </w:tbl>
    <w:p>
      <w:pPr>
        <w:spacing w:after="24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nil" w:color="FFFFFF" w:sz="0"/>
              <w:left w:val="single" w:color="CCCCCC" w:sz="24"/>
              <w:bottom w:val="nil" w:color="FFFFFF" w:sz="0"/>
              <w:right w:val="nil" w:color="FFFFFF" w:sz="0"/>
            </w:tcBorders>
            <w:shd w:fill="F7F7FA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4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A2A2A"/>
                <w:sz w:val="20"/>
                <w:szCs w:val="20"/>
              </w:rPr>
              <w:t xml:space="preserve">TimeChain/Rails</w:t>
            </w:r>
          </w:p>
          <w:p>
            <w:pPr>
              <w:spacing w:after="10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A2A2A"/>
                <w:sz w:val="20"/>
                <w:szCs w:val="20"/>
              </w:rPr>
              <w:t xml:space="preserve">THEN  ·  Deep Grey  ·  #3A3A3A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A2A2A"/>
                <w:sz w:val="20"/>
                <w:szCs w:val="20"/>
              </w:rPr>
              <w:t xml:space="preserve">Sequence logic. Defines the ordered chain of consequence — what happens after a condition is met. Deep Grey denotes scaffolding and infrastructure-level logic.</w:t>
            </w:r>
          </w:p>
        </w:tc>
      </w:tr>
    </w:tbl>
    <w:p>
      <w:pPr>
        <w:spacing w:after="24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nil" w:color="FFFFFF" w:sz="0"/>
              <w:left w:val="single" w:color="CCCCCC" w:sz="24"/>
              <w:bottom w:val="nil" w:color="FFFFFF" w:sz="0"/>
              <w:right w:val="nil" w:color="FFFFFF" w:sz="0"/>
            </w:tcBorders>
            <w:shd w:fill="F7F7FA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4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A2A2A"/>
                <w:sz w:val="20"/>
                <w:szCs w:val="20"/>
              </w:rPr>
              <w:t xml:space="preserve">GXYZ</w:t>
            </w:r>
          </w:p>
          <w:p>
            <w:pPr>
              <w:spacing w:after="10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A2A2A"/>
                <w:sz w:val="20"/>
                <w:szCs w:val="20"/>
              </w:rPr>
              <w:t xml:space="preserve">WHERE  ·  Money Green  ·  #00A550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A2A2A"/>
                <w:sz w:val="20"/>
                <w:szCs w:val="20"/>
              </w:rPr>
              <w:t xml:space="preserve">Spatial coordinate. Anchors a geographic or grid-based address within the Earth³ map layer. Money Green signals value-bearing location data.</w:t>
            </w:r>
          </w:p>
        </w:tc>
      </w:tr>
    </w:tbl>
    <w:p>
      <w:pPr>
        <w:spacing w:after="24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nil" w:color="FFFFFF" w:sz="0"/>
              <w:left w:val="single" w:color="CCCCCC" w:sz="24"/>
              <w:bottom w:val="nil" w:color="FFFFFF" w:sz="0"/>
              <w:right w:val="nil" w:color="FFFFFF" w:sz="0"/>
            </w:tcBorders>
            <w:shd w:fill="F7F7FA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4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A2A2A"/>
                <w:sz w:val="20"/>
                <w:szCs w:val="20"/>
              </w:rPr>
              <w:t xml:space="preserve">CowsCome4Dayz</w:t>
            </w:r>
          </w:p>
          <w:p>
            <w:pPr>
              <w:spacing w:after="10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A2A2A"/>
                <w:sz w:val="20"/>
                <w:szCs w:val="20"/>
              </w:rPr>
              <w:t xml:space="preserve">WHY  ·  Sunset Orange  ·  #FF6200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A2A2A"/>
                <w:sz w:val="20"/>
                <w:szCs w:val="20"/>
              </w:rPr>
              <w:t xml:space="preserve">Motivation layer. Encodes the incentive, reward rationale, and player reason-to-engage. Sunset Orange is the energy that drives participation.</w:t>
            </w:r>
          </w:p>
        </w:tc>
      </w:tr>
    </w:tbl>
    <w:p>
      <w:pPr>
        <w:spacing w:after="24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nil" w:color="FFFFFF" w:sz="0"/>
              <w:left w:val="single" w:color="CCCCCC" w:sz="24"/>
              <w:bottom w:val="nil" w:color="FFFFFF" w:sz="0"/>
              <w:right w:val="nil" w:color="FFFFFF" w:sz="0"/>
            </w:tcBorders>
            <w:shd w:fill="F7F7FA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4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A2A2A"/>
                <w:sz w:val="20"/>
                <w:szCs w:val="20"/>
              </w:rPr>
              <w:t xml:space="preserve">PayTooPlay</w:t>
            </w:r>
          </w:p>
          <w:p>
            <w:pPr>
              <w:spacing w:after="10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A2A2A"/>
                <w:sz w:val="20"/>
                <w:szCs w:val="20"/>
              </w:rPr>
              <w:t xml:space="preserve">HOW  ·  Electric Green  ·  #39FF14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A2A2A"/>
                <w:sz w:val="20"/>
                <w:szCs w:val="20"/>
              </w:rPr>
              <w:t xml:space="preserve">Mechanism. Defines the payment rail, execution method, and transactional pathway. Electric Green is high-visibility by design — it marks the action trigger.</w:t>
            </w:r>
          </w:p>
        </w:tc>
      </w:tr>
    </w:tbl>
    <w:p>
      <w:pPr>
        <w:spacing w:after="24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nil" w:color="FFFFFF" w:sz="0"/>
              <w:left w:val="single" w:color="CCCCCC" w:sz="24"/>
              <w:bottom w:val="nil" w:color="FFFFFF" w:sz="0"/>
              <w:right w:val="nil" w:color="FFFFFF" w:sz="0"/>
            </w:tcBorders>
            <w:shd w:fill="F7F7FA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4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A2A2A"/>
                <w:sz w:val="20"/>
                <w:szCs w:val="20"/>
              </w:rPr>
              <w:t xml:space="preserve">HUD-WoW</w:t>
            </w:r>
          </w:p>
          <w:p>
            <w:pPr>
              <w:spacing w:after="10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A2A2A"/>
                <w:sz w:val="20"/>
                <w:szCs w:val="20"/>
              </w:rPr>
              <w:t xml:space="preserve">VOID  ·  Black  ·  #000000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2A2A2A"/>
                <w:sz w:val="20"/>
                <w:szCs w:val="20"/>
              </w:rPr>
              <w:t xml:space="preserve">Null/overlay state. Displayed when a field is empty, inactive, or rendering a HUD overlay. VOID is structural silence — the absence of assignment.</w:t>
            </w:r>
          </w:p>
        </w:tc>
      </w:tr>
    </w:tbl>
    <w:p>
      <w:pPr>
        <w:spacing w:after="240" w:before="0"/>
      </w:pPr>
    </w:p>
    <w:p>
      <w:pPr>
        <w:pStyle w:val="Heading1"/>
        <w:pBdr>
          <w:left w:val="single" w:color="3A3A5C" w:sz="30" w:space="8"/>
        </w:pBdr>
        <w:shd w:fill="1A1A2E" w:color="auto" w:val="clear"/>
        <w:spacing w:after="100" w:before="560" w:line="360" w:lineRule="auto"/>
        <w:ind w:left="215"/>
      </w:pPr>
      <w:r>
        <w:rPr>
          <w:rFonts w:ascii="Consolas" w:cs="Consolas" w:eastAsia="Consolas" w:hAnsi="Consolas"/>
          <w:color w:val="FFFFFF"/>
          <w:spacing w:val="10"/>
          <w:sz w:val="32"/>
          <w:szCs w:val="32"/>
        </w:rPr>
        <w:t xml:space="preserve">SECTION 3 — VISUAL RULES FOR ‘WHY BE AN XBOT?’ PROMO</w:t>
      </w:r>
    </w:p>
    <w:p>
      <w:pPr>
        <w:pBdr>
          <w:top w:val="single" w:color="3A3A5C" w:sz="6"/>
        </w:pBdr>
        <w:spacing w:after="200" w:before="0"/>
      </w:pPr>
    </w:p>
    <w:p>
      <w:pPr>
        <w:pStyle w:val="Heading2"/>
        <w:spacing w:after="100" w:before="360" w:line="360" w:lineRule="auto"/>
      </w:pPr>
      <w:r>
        <w:rPr>
          <w:rFonts w:ascii="Consolas" w:cs="Consolas" w:eastAsia="Consolas" w:hAnsi="Consolas"/>
          <w:color w:val="1A1A2E"/>
          <w:spacing w:val="7"/>
          <w:sz w:val="24"/>
          <w:szCs w:val="24"/>
        </w:rPr>
        <w:t xml:space="preserve">LAYOUT RULES</w:t>
      </w:r>
    </w:p>
    <w:p>
      <w:pPr>
        <w:pBdr>
          <w:top w:val="single" w:color="1A1A2E" w:sz="6"/>
        </w:pBd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The following specifications govern all visual treatments within the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1A1A1A"/>
          <w:sz w:val="22"/>
          <w:szCs w:val="22"/>
        </w:rPr>
        <w:t xml:space="preserve">Why Be an Xbot?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 promotional canvas. All values are fixed unless a version increment is issued.</w:t>
      </w:r>
    </w:p>
    <w:p>
      <w:pPr>
        <w:spacing w:after="60" w:line="360" w:lineRule="auto"/>
        <w:ind w:left="15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FFFFFF"/>
          <w:spacing w:val="10"/>
          <w:sz w:val="19"/>
          <w:szCs w:val="19"/>
          <w:shd w:fill="3A3A5C" w:color="auto" w:val="clear"/>
        </w:rPr>
        <w:t xml:space="preserve">BACKGROUND &amp; CANVAS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2A2A2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FFFFFF"/>
                <w:spacing w:val="12"/>
                <w:sz w:val="18"/>
                <w:szCs w:val="18"/>
              </w:rPr>
              <w:t xml:space="preserve">Property</w:t>
            </w:r>
          </w:p>
        </w:tc>
        <w:tc>
          <w:tcPr>
            <w:tcW w:type="pct" w:w="50%"/>
            <w:shd w:fill="2A2A2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FFFFFF"/>
                <w:spacing w:val="12"/>
                <w:sz w:val="18"/>
                <w:szCs w:val="18"/>
              </w:rPr>
              <w:t xml:space="preserve">Value / Specification</w:t>
            </w:r>
          </w:p>
        </w:tc>
      </w:tr>
      <w:tr>
        <w:trPr>
          <w:tblHeader w:val="false"/>
        </w:trPr>
        <w:tc>
          <w:tcPr>
            <w:tcW w:type="pct" w:w="50%"/>
            <w:shd w:fill="FAFAF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Page background</w:t>
            </w:r>
          </w:p>
        </w:tc>
        <w:tc>
          <w:tcPr>
            <w:tcW w:type="pct" w:w="50%"/>
            <w:shd w:fill="FAFAF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333355"/>
                <w:sz w:val="18"/>
                <w:szCs w:val="18"/>
              </w:rPr>
              <w:t xml:space="preserve">#0A0A0A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 — near-black</w:t>
            </w:r>
          </w:p>
        </w:tc>
      </w:tr>
      <w:tr>
        <w:trPr>
          <w:tblHeader w:val="false"/>
        </w:trPr>
        <w:tc>
          <w:tcPr>
            <w:tcW w:type="pct" w:w="50%"/>
            <w:shd w:fill="F0F0F4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Card / panel background</w:t>
            </w:r>
          </w:p>
        </w:tc>
        <w:tc>
          <w:tcPr>
            <w:tcW w:type="pct" w:w="50%"/>
            <w:shd w:fill="F0F0F4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333355"/>
                <w:sz w:val="18"/>
                <w:szCs w:val="18"/>
              </w:rPr>
              <w:t xml:space="preserve">#111111</w:t>
            </w:r>
          </w:p>
        </w:tc>
      </w:tr>
      <w:tr>
        <w:trPr>
          <w:tblHeader w:val="false"/>
        </w:trPr>
        <w:tc>
          <w:tcPr>
            <w:tcW w:type="pct" w:w="50%"/>
            <w:shd w:fill="FAFAF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Border / divider color</w:t>
            </w:r>
          </w:p>
        </w:tc>
        <w:tc>
          <w:tcPr>
            <w:tcW w:type="pct" w:w="50%"/>
            <w:shd w:fill="FAFAF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333355"/>
                <w:sz w:val="18"/>
                <w:szCs w:val="18"/>
              </w:rPr>
              <w:t xml:space="preserve">#1F1F1F</w:t>
            </w:r>
          </w:p>
        </w:tc>
      </w:tr>
    </w:tbl>
    <w:p>
      <w:pPr>
        <w:spacing w:after="200" w:before="0"/>
      </w:pPr>
    </w:p>
    <w:p>
      <w:pPr>
        <w:spacing w:after="60" w:line="360" w:lineRule="auto"/>
        <w:ind w:left="15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FFFFFF"/>
          <w:spacing w:val="10"/>
          <w:sz w:val="19"/>
          <w:szCs w:val="19"/>
          <w:shd w:fill="3A3A5C" w:color="auto" w:val="clear"/>
        </w:rPr>
        <w:t xml:space="preserve">TYPOGRAPHY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2A2A2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FFFFFF"/>
                <w:spacing w:val="12"/>
                <w:sz w:val="18"/>
                <w:szCs w:val="18"/>
              </w:rPr>
              <w:t xml:space="preserve">Element</w:t>
            </w:r>
          </w:p>
        </w:tc>
        <w:tc>
          <w:tcPr>
            <w:tcW w:type="pct" w:w="50%"/>
            <w:shd w:fill="2A2A2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FFFFFF"/>
                <w:spacing w:val="12"/>
                <w:sz w:val="18"/>
                <w:szCs w:val="18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pct" w:w="50%"/>
            <w:shd w:fill="FAFAF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Display / headline font</w:t>
            </w:r>
          </w:p>
        </w:tc>
        <w:tc>
          <w:tcPr>
            <w:tcW w:type="pct" w:w="50%"/>
            <w:shd w:fill="FAFAF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Space Mono (monospace), ALL CAPS, letter-spacing 0.15em</w:t>
            </w:r>
          </w:p>
        </w:tc>
      </w:tr>
      <w:tr>
        <w:trPr>
          <w:tblHeader w:val="false"/>
        </w:trPr>
        <w:tc>
          <w:tcPr>
            <w:tcW w:type="pct" w:w="50%"/>
            <w:shd w:fill="F0F0F4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Body font</w:t>
            </w:r>
          </w:p>
        </w:tc>
        <w:tc>
          <w:tcPr>
            <w:tcW w:type="pct" w:w="50%"/>
            <w:shd w:fill="F0F0F4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Inter or system sans-serif, regular weight, 16px</w:t>
            </w:r>
          </w:p>
        </w:tc>
      </w:tr>
      <w:tr>
        <w:trPr>
          <w:tblHeader w:val="false"/>
        </w:trPr>
        <w:tc>
          <w:tcPr>
            <w:tcW w:type="pct" w:w="50%"/>
            <w:shd w:fill="FAFAF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Code / Glyph ID labels</w:t>
            </w:r>
          </w:p>
        </w:tc>
        <w:tc>
          <w:tcPr>
            <w:tcW w:type="pct" w:w="50%"/>
            <w:shd w:fill="FAFAF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Monospace, colored per field assignment</w:t>
            </w:r>
          </w:p>
        </w:tc>
      </w:tr>
    </w:tbl>
    <w:p>
      <w:pPr>
        <w:spacing w:after="200" w:before="0"/>
      </w:pPr>
    </w:p>
    <w:p>
      <w:pPr>
        <w:spacing w:after="60" w:line="360" w:lineRule="auto"/>
        <w:ind w:left="150"/>
      </w:pPr>
      <w:r>
        <w:rPr>
          <w:rFonts w:ascii="Consolas" w:cs="Consolas" w:eastAsia="Consolas" w:hAnsi="Consolas"/>
          <w:b/>
          <w:bCs/>
          <w:i w:val="false"/>
          <w:iCs w:val="false"/>
          <w:strike w:val="false"/>
          <w:color w:val="FFFFFF"/>
          <w:spacing w:val="10"/>
          <w:sz w:val="19"/>
          <w:szCs w:val="19"/>
          <w:shd w:fill="3A3A5C" w:color="auto" w:val="clear"/>
        </w:rPr>
        <w:t xml:space="preserve">COLOR USAGE BY ELEMENT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2A2A2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FFFFFF"/>
                <w:spacing w:val="12"/>
                <w:sz w:val="18"/>
                <w:szCs w:val="18"/>
              </w:rPr>
              <w:t xml:space="preserve">UI Element</w:t>
            </w:r>
          </w:p>
        </w:tc>
        <w:tc>
          <w:tcPr>
            <w:tcW w:type="pct" w:w="50%"/>
            <w:shd w:fill="2A2A2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FFFFFF"/>
                <w:spacing w:val="12"/>
                <w:sz w:val="18"/>
                <w:szCs w:val="18"/>
              </w:rPr>
              <w:t xml:space="preserve">Color Specification</w:t>
            </w:r>
          </w:p>
        </w:tc>
      </w:tr>
      <w:tr>
        <w:trPr>
          <w:tblHeader w:val="false"/>
        </w:trPr>
        <w:tc>
          <w:tcPr>
            <w:tcW w:type="pct" w:w="50%"/>
            <w:shd w:fill="FAFAF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Primary headline</w:t>
            </w:r>
          </w:p>
        </w:tc>
        <w:tc>
          <w:tcPr>
            <w:tcW w:type="pct" w:w="50%"/>
            <w:shd w:fill="FAFAF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WHY field — Sunset Orange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333355"/>
                <w:sz w:val="18"/>
                <w:szCs w:val="18"/>
              </w:rPr>
              <w:t xml:space="preserve">#FF6200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, 48px+, bold</w:t>
            </w:r>
          </w:p>
        </w:tc>
      </w:tr>
      <w:tr>
        <w:trPr>
          <w:tblHeader w:val="false"/>
        </w:trPr>
        <w:tc>
          <w:tcPr>
            <w:tcW w:type="pct" w:w="50%"/>
            <w:shd w:fill="F0F0F4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Subheadings</w:t>
            </w:r>
          </w:p>
        </w:tc>
        <w:tc>
          <w:tcPr>
            <w:tcW w:type="pct" w:w="50%"/>
            <w:shd w:fill="F0F0F4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WHO field — Neon Violet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333355"/>
                <w:sz w:val="18"/>
                <w:szCs w:val="18"/>
              </w:rPr>
              <w:t xml:space="preserve">#BF00FF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, 24px</w:t>
            </w:r>
          </w:p>
        </w:tc>
      </w:tr>
      <w:tr>
        <w:trPr>
          <w:tblHeader w:val="false"/>
        </w:trPr>
        <w:tc>
          <w:tcPr>
            <w:tcW w:type="pct" w:w="50%"/>
            <w:shd w:fill="FAFAF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Body copy</w:t>
            </w:r>
          </w:p>
        </w:tc>
        <w:tc>
          <w:tcPr>
            <w:tcW w:type="pct" w:w="50%"/>
            <w:shd w:fill="FAFAF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Ghost Grey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333355"/>
                <w:sz w:val="18"/>
                <w:szCs w:val="18"/>
              </w:rPr>
              <w:t xml:space="preserve">#B0B0B0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 on dark background</w:t>
            </w:r>
          </w:p>
        </w:tc>
      </w:tr>
      <w:tr>
        <w:trPr>
          <w:tblHeader w:val="false"/>
        </w:trPr>
        <w:tc>
          <w:tcPr>
            <w:tcW w:type="pct" w:w="50%"/>
            <w:shd w:fill="F0F0F4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CTA button</w:t>
            </w:r>
          </w:p>
        </w:tc>
        <w:tc>
          <w:tcPr>
            <w:tcW w:type="pct" w:w="50%"/>
            <w:shd w:fill="F0F0F4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HOW field — Electric Green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333355"/>
                <w:sz w:val="18"/>
                <w:szCs w:val="18"/>
              </w:rPr>
              <w:t xml:space="preserve">#39FF14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, black text, sharp corners (0px border-radius), uppercase label</w:t>
            </w:r>
          </w:p>
        </w:tc>
      </w:tr>
    </w:tbl>
    <w:p>
      <w:pPr>
        <w:spacing w:after="200" w:before="0"/>
      </w:pPr>
    </w:p>
    <w:p>
      <w:pPr>
        <w:pStyle w:val="Heading2"/>
        <w:spacing w:after="100" w:before="360" w:line="360" w:lineRule="auto"/>
      </w:pPr>
      <w:r>
        <w:rPr>
          <w:rFonts w:ascii="Consolas" w:cs="Consolas" w:eastAsia="Consolas" w:hAnsi="Consolas"/>
          <w:color w:val="1A1A2E"/>
          <w:spacing w:val="7"/>
          <w:sz w:val="24"/>
          <w:szCs w:val="24"/>
        </w:rPr>
        <w:t xml:space="preserve">GLYPH USAGE IN PROMO</w:t>
      </w:r>
    </w:p>
    <w:p>
      <w:pPr>
        <w:pBdr>
          <w:top w:val="single" w:color="1A1A2E" w:sz="6"/>
        </w:pBd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The following table defines glyph placement positions within the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1A1A1A"/>
          <w:sz w:val="22"/>
          <w:szCs w:val="22"/>
        </w:rPr>
        <w:t xml:space="preserve">Why Be an Xbot?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 promo layout.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2A2A2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FFFFFF"/>
                <w:spacing w:val="12"/>
                <w:sz w:val="18"/>
                <w:szCs w:val="18"/>
              </w:rPr>
              <w:t xml:space="preserve">Position</w:t>
            </w:r>
          </w:p>
        </w:tc>
        <w:tc>
          <w:tcPr>
            <w:tcW w:type="pct" w:w="33%"/>
            <w:shd w:fill="2A2A2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FFFFFF"/>
                <w:spacing w:val="12"/>
                <w:sz w:val="18"/>
                <w:szCs w:val="18"/>
              </w:rPr>
              <w:t xml:space="preserve">Glyph ID</w:t>
            </w:r>
          </w:p>
        </w:tc>
        <w:tc>
          <w:tcPr>
            <w:tcW w:type="pct" w:w="34%"/>
            <w:shd w:fill="2A2A2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FFFFFF"/>
                <w:spacing w:val="12"/>
                <w:sz w:val="18"/>
                <w:szCs w:val="18"/>
              </w:rPr>
              <w:t xml:space="preserve">Field</w:t>
            </w:r>
          </w:p>
        </w:tc>
      </w:tr>
      <w:tr>
        <w:trPr>
          <w:tblHeader w:val="false"/>
        </w:trPr>
        <w:tc>
          <w:tcPr>
            <w:tcW w:type="pct" w:w="33%"/>
            <w:shd w:fill="FAFAF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Lead / Center-Top</w:t>
            </w:r>
          </w:p>
        </w:tc>
        <w:tc>
          <w:tcPr>
            <w:tcW w:type="pct" w:w="33%"/>
            <w:shd w:fill="FAFAF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1A1A2E"/>
                <w:sz w:val="18"/>
                <w:szCs w:val="18"/>
              </w:rPr>
              <w:t xml:space="preserve">CowsCome4Dayz</w:t>
            </w:r>
          </w:p>
        </w:tc>
        <w:tc>
          <w:tcPr>
            <w:tcW w:type="pct" w:w="34%"/>
            <w:shd w:fill="FAFAF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6200"/>
                <w:sz w:val="22"/>
                <w:szCs w:val="22"/>
              </w:rPr>
              <w:t xml:space="preserve">WHY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 — Sunset Orange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333355"/>
                <w:sz w:val="18"/>
                <w:szCs w:val="18"/>
              </w:rPr>
              <w:t xml:space="preserve">#FF6200</w:t>
            </w:r>
          </w:p>
        </w:tc>
      </w:tr>
      <w:tr>
        <w:trPr>
          <w:tblHeader w:val="false"/>
        </w:trPr>
        <w:tc>
          <w:tcPr>
            <w:tcW w:type="pct" w:w="33%"/>
            <w:shd w:fill="F0F0F4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Flanking Left</w:t>
            </w:r>
          </w:p>
        </w:tc>
        <w:tc>
          <w:tcPr>
            <w:tcW w:type="pct" w:w="33%"/>
            <w:shd w:fill="F0F0F4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1A1A2E"/>
                <w:sz w:val="18"/>
                <w:szCs w:val="18"/>
              </w:rPr>
              <w:t xml:space="preserve">PlayerPowerID</w:t>
            </w:r>
          </w:p>
        </w:tc>
        <w:tc>
          <w:tcPr>
            <w:tcW w:type="pct" w:w="34%"/>
            <w:shd w:fill="F0F0F4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BF00FF"/>
                <w:sz w:val="22"/>
                <w:szCs w:val="22"/>
              </w:rPr>
              <w:t xml:space="preserve">WHO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 — Neon Violet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333355"/>
                <w:sz w:val="18"/>
                <w:szCs w:val="18"/>
              </w:rPr>
              <w:t xml:space="preserve">#BF00FF</w:t>
            </w:r>
          </w:p>
        </w:tc>
      </w:tr>
      <w:tr>
        <w:trPr>
          <w:tblHeader w:val="false"/>
        </w:trPr>
        <w:tc>
          <w:tcPr>
            <w:tcW w:type="pct" w:w="33%"/>
            <w:shd w:fill="FAFAF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Flanking Right</w:t>
            </w:r>
          </w:p>
        </w:tc>
        <w:tc>
          <w:tcPr>
            <w:tcW w:type="pct" w:w="33%"/>
            <w:shd w:fill="FAFAF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1A1A2E"/>
                <w:sz w:val="18"/>
                <w:szCs w:val="18"/>
              </w:rPr>
              <w:t xml:space="preserve">PayTooPlay</w:t>
            </w:r>
          </w:p>
        </w:tc>
        <w:tc>
          <w:tcPr>
            <w:tcW w:type="pct" w:w="34%"/>
            <w:shd w:fill="FAFAF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39FF14"/>
                <w:sz w:val="22"/>
                <w:szCs w:val="22"/>
              </w:rPr>
              <w:t xml:space="preserve">HOW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 — Electric Green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333355"/>
                <w:sz w:val="18"/>
                <w:szCs w:val="18"/>
              </w:rPr>
              <w:t xml:space="preserve">#39FF14</w:t>
            </w:r>
          </w:p>
        </w:tc>
      </w:tr>
      <w:tr>
        <w:trPr>
          <w:tblHeader w:val="false"/>
        </w:trPr>
        <w:tc>
          <w:tcPr>
            <w:tcW w:type="pct" w:w="33%"/>
            <w:shd w:fill="F0F0F4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Background Watermark</w:t>
            </w:r>
          </w:p>
        </w:tc>
        <w:tc>
          <w:tcPr>
            <w:tcW w:type="pct" w:w="33%"/>
            <w:shd w:fill="F0F0F4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1A1A2E"/>
                <w:sz w:val="18"/>
                <w:szCs w:val="18"/>
              </w:rPr>
              <w:t xml:space="preserve">HUD-WoW</w:t>
            </w:r>
          </w:p>
        </w:tc>
        <w:tc>
          <w:tcPr>
            <w:tcW w:type="pct" w:w="34%"/>
            <w:shd w:fill="F0F0F4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VOID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 — 8% opacity, tiled</w:t>
            </w:r>
          </w:p>
        </w:tc>
      </w:tr>
    </w:tbl>
    <w:p>
      <w:pPr>
        <w:spacing w:after="200" w:before="0"/>
      </w:pPr>
    </w:p>
    <w:p>
      <w:pPr>
        <w:pStyle w:val="Heading2"/>
        <w:spacing w:after="100" w:before="360" w:line="360" w:lineRule="auto"/>
      </w:pPr>
      <w:r>
        <w:rPr>
          <w:rFonts w:ascii="Consolas" w:cs="Consolas" w:eastAsia="Consolas" w:hAnsi="Consolas"/>
          <w:color w:val="1A1A2E"/>
          <w:spacing w:val="7"/>
          <w:sz w:val="24"/>
          <w:szCs w:val="24"/>
        </w:rPr>
        <w:t xml:space="preserve">ANIMATION RULES (LIVE / WEB PROMO)</w:t>
      </w:r>
    </w:p>
    <w:p>
      <w:pPr>
        <w:pBdr>
          <w:top w:val="single" w:color="1A1A2E" w:sz="6"/>
        </w:pBd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The following animation specifications apply to the live web version of the Xbot promo asset only. Print and static export versions are unaffected.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2"/>
          <w:szCs w:val="22"/>
        </w:rPr>
        <w:t xml:space="preserve">Entry: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0"/>
          <w:szCs w:val="20"/>
        </w:rPr>
        <w:t xml:space="preserve"> All glyphs fade-in from 0% to 100% opacity, staggered 150ms per glyph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2"/>
          <w:szCs w:val="22"/>
        </w:rPr>
        <w:t xml:space="preserve">Hover state: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0"/>
          <w:szCs w:val="20"/>
        </w:rPr>
        <w:t xml:space="preserve"> Glyph border pulses in its assigned field color (box-shadow glow effect)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2"/>
          <w:szCs w:val="22"/>
        </w:rPr>
        <w:t xml:space="preserve">CTA idle state: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0"/>
          <w:szCs w:val="20"/>
        </w:rPr>
        <w:t xml:space="preserve"> Electric Green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333355"/>
          <w:sz w:val="18"/>
          <w:szCs w:val="18"/>
        </w:rPr>
        <w:t xml:space="preserve">#39FF14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0"/>
          <w:szCs w:val="20"/>
        </w:rPr>
        <w:t xml:space="preserve">) outer glow pulse, 2s loop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2"/>
          <w:szCs w:val="22"/>
        </w:rPr>
        <w:t xml:space="preserve">VOID / HUD-WoW: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0"/>
          <w:szCs w:val="20"/>
        </w:rPr>
        <w:t xml:space="preserve"> No animation — watermark is always static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2A2A2A" w:sz="6"/>
              <w:left w:val="single" w:color="2A2A2A" w:sz="6"/>
              <w:bottom w:val="single" w:color="2A2A2A" w:sz="6"/>
              <w:right w:val="single" w:color="2A2A2A" w:sz="6"/>
            </w:tcBorders>
            <w:shd w:fill="F5F5F5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80" w:line="360" w:lineRule="auto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2A2A2A"/>
                <w:spacing w:val="12"/>
                <w:sz w:val="20"/>
                <w:szCs w:val="20"/>
              </w:rPr>
              <w:t xml:space="preserve">ⓘ Web-Only Note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Animation specifications are binding for interactive/web deliverables only. VOID/HUD-WoW must never animate under any circumstance — including hover events — to preserve the null-state semantic.</w:t>
            </w:r>
          </w:p>
        </w:tc>
      </w:tr>
    </w:tbl>
    <w:p>
      <w:pPr>
        <w:spacing w:after="240" w:before="0"/>
      </w:pPr>
    </w:p>
    <w:p>
      <w:pPr>
        <w:pStyle w:val="Heading1"/>
        <w:pBdr>
          <w:left w:val="single" w:color="3A3A5C" w:sz="30" w:space="8"/>
        </w:pBdr>
        <w:shd w:fill="1A1A2E" w:color="auto" w:val="clear"/>
        <w:spacing w:after="100" w:before="560" w:line="360" w:lineRule="auto"/>
        <w:ind w:left="215"/>
      </w:pPr>
      <w:r>
        <w:rPr>
          <w:rFonts w:ascii="Consolas" w:cs="Consolas" w:eastAsia="Consolas" w:hAnsi="Consolas"/>
          <w:color w:val="FFFFFF"/>
          <w:spacing w:val="10"/>
          <w:sz w:val="32"/>
          <w:szCs w:val="32"/>
        </w:rPr>
        <w:t xml:space="preserve">SECTION 4 — QUICK-REFERENCE LEGEND</w:t>
      </w:r>
    </w:p>
    <w:p>
      <w:pPr>
        <w:pBdr>
          <w:top w:val="single" w:color="3A3A5C" w:sz="6"/>
        </w:pBdr>
        <w:spacing w:after="200" w:before="0"/>
      </w:pPr>
    </w:p>
    <w:p>
      <w:pPr>
        <w:pStyle w:val="Heading2"/>
        <w:spacing w:after="100" w:before="360" w:line="360" w:lineRule="auto"/>
      </w:pPr>
      <w:r>
        <w:rPr>
          <w:rFonts w:ascii="Consolas" w:cs="Consolas" w:eastAsia="Consolas" w:hAnsi="Consolas"/>
          <w:color w:val="1A1A2E"/>
          <w:spacing w:val="7"/>
          <w:sz w:val="24"/>
          <w:szCs w:val="24"/>
        </w:rPr>
        <w:t xml:space="preserve">FIELD COLOR PILLS — REFERENCE STRIP</w:t>
      </w:r>
    </w:p>
    <w:p>
      <w:pPr>
        <w:pBdr>
          <w:top w:val="single" w:color="1A1A2E" w:sz="6"/>
        </w:pBd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2"/>
          <w:szCs w:val="22"/>
        </w:rPr>
        <w:t xml:space="preserve">The strip below provides a single-row color reference for all eight Earth³ fields. Each cell is shaded to its canonical field color for at-a-glance identification.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3%"/>
            <w:shd w:fill="2A2A2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FFFFFF"/>
                <w:spacing w:val="12"/>
                <w:sz w:val="16"/>
                <w:szCs w:val="16"/>
              </w:rPr>
              <w:t xml:space="preserve">WHO</w:t>
            </w:r>
          </w:p>
        </w:tc>
        <w:tc>
          <w:tcPr>
            <w:tcW w:type="pct" w:w="13%"/>
            <w:shd w:fill="2A2A2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FFFFFF"/>
                <w:spacing w:val="12"/>
                <w:sz w:val="16"/>
                <w:szCs w:val="16"/>
              </w:rPr>
              <w:t xml:space="preserve">WHAT</w:t>
            </w:r>
          </w:p>
        </w:tc>
        <w:tc>
          <w:tcPr>
            <w:tcW w:type="pct" w:w="13%"/>
            <w:shd w:fill="2A2A2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FFFFFF"/>
                <w:spacing w:val="12"/>
                <w:sz w:val="16"/>
                <w:szCs w:val="16"/>
              </w:rPr>
              <w:t xml:space="preserve">WHEN</w:t>
            </w:r>
          </w:p>
        </w:tc>
        <w:tc>
          <w:tcPr>
            <w:tcW w:type="pct" w:w="13%"/>
            <w:shd w:fill="2A2A2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FFFFFF"/>
                <w:spacing w:val="12"/>
                <w:sz w:val="16"/>
                <w:szCs w:val="16"/>
              </w:rPr>
              <w:t xml:space="preserve">THEN</w:t>
            </w:r>
          </w:p>
        </w:tc>
        <w:tc>
          <w:tcPr>
            <w:tcW w:type="pct" w:w="13%"/>
            <w:shd w:fill="2A2A2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FFFFFF"/>
                <w:spacing w:val="12"/>
                <w:sz w:val="16"/>
                <w:szCs w:val="16"/>
              </w:rPr>
              <w:t xml:space="preserve">WHERE</w:t>
            </w:r>
          </w:p>
        </w:tc>
        <w:tc>
          <w:tcPr>
            <w:tcW w:type="pct" w:w="13%"/>
            <w:shd w:fill="2A2A2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FFFFFF"/>
                <w:spacing w:val="12"/>
                <w:sz w:val="16"/>
                <w:szCs w:val="16"/>
              </w:rPr>
              <w:t xml:space="preserve">WHY</w:t>
            </w:r>
          </w:p>
        </w:tc>
        <w:tc>
          <w:tcPr>
            <w:tcW w:type="pct" w:w="13%"/>
            <w:shd w:fill="2A2A2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FFFFFF"/>
                <w:spacing w:val="12"/>
                <w:sz w:val="16"/>
                <w:szCs w:val="16"/>
              </w:rPr>
              <w:t xml:space="preserve">HOW</w:t>
            </w:r>
          </w:p>
        </w:tc>
        <w:tc>
          <w:tcPr>
            <w:tcW w:type="pct" w:w="9%"/>
            <w:shd w:fill="2A2A2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FFFFFF"/>
                <w:spacing w:val="12"/>
                <w:sz w:val="16"/>
                <w:szCs w:val="16"/>
              </w:rPr>
              <w:t xml:space="preserve">VOID</w:t>
            </w:r>
          </w:p>
        </w:tc>
      </w:tr>
      <w:tr>
        <w:trPr>
          <w:tblHeader w:val="false"/>
        </w:trPr>
        <w:tc>
          <w:tcPr>
            <w:tcW w:type="pct" w:w="13%"/>
            <w:shd w:fill="BF00FF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FFFFFF"/>
                <w:sz w:val="16"/>
                <w:szCs w:val="16"/>
              </w:rPr>
              <w:t xml:space="preserve">#BF00FF</w:t>
            </w:r>
          </w:p>
        </w:tc>
        <w:tc>
          <w:tcPr>
            <w:tcW w:type="pct" w:w="13%"/>
            <w:shd w:fill="0057B8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FFFFFF"/>
                <w:sz w:val="16"/>
                <w:szCs w:val="16"/>
              </w:rPr>
              <w:t xml:space="preserve">#0057B8</w:t>
            </w:r>
          </w:p>
        </w:tc>
        <w:tc>
          <w:tcPr>
            <w:tcW w:type="pct" w:w="13%"/>
            <w:shd w:fill="B0B0B0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1A1A1A"/>
                <w:sz w:val="16"/>
                <w:szCs w:val="16"/>
              </w:rPr>
              <w:t xml:space="preserve">#B0B0B0</w:t>
            </w:r>
          </w:p>
        </w:tc>
        <w:tc>
          <w:tcPr>
            <w:tcW w:type="pct" w:w="13%"/>
            <w:shd w:fill="3A3A3A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FFFFFF"/>
                <w:sz w:val="16"/>
                <w:szCs w:val="16"/>
              </w:rPr>
              <w:t xml:space="preserve">#3A3A3A</w:t>
            </w:r>
          </w:p>
        </w:tc>
        <w:tc>
          <w:tcPr>
            <w:tcW w:type="pct" w:w="13%"/>
            <w:shd w:fill="00A550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FFFFFF"/>
                <w:sz w:val="16"/>
                <w:szCs w:val="16"/>
              </w:rPr>
              <w:t xml:space="preserve">#00A550</w:t>
            </w:r>
          </w:p>
        </w:tc>
        <w:tc>
          <w:tcPr>
            <w:tcW w:type="pct" w:w="13%"/>
            <w:shd w:fill="FF6200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FFFFFF"/>
                <w:sz w:val="16"/>
                <w:szCs w:val="16"/>
              </w:rPr>
              <w:t xml:space="preserve">#FF6200</w:t>
            </w:r>
          </w:p>
        </w:tc>
        <w:tc>
          <w:tcPr>
            <w:tcW w:type="pct" w:w="13%"/>
            <w:shd w:fill="39FF14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1A1A1A"/>
                <w:sz w:val="16"/>
                <w:szCs w:val="16"/>
              </w:rPr>
              <w:t xml:space="preserve">#39FF14</w:t>
            </w:r>
          </w:p>
        </w:tc>
        <w:tc>
          <w:tcPr>
            <w:tcW w:type="pct" w:w="9%"/>
            <w:shd w:fill="000000" w:color="auto" w:val="clear"/>
            <w:tcMar>
              <w:top w:type="dxa" w:w="90"/>
              <w:left w:type="dxa" w:w="135"/>
              <w:bottom w:type="dxa" w:w="90"/>
              <w:right w:type="dxa" w:w="135"/>
            </w:tcMar>
          </w:tcPr>
          <w:p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FFFFFF"/>
                <w:sz w:val="16"/>
                <w:szCs w:val="16"/>
              </w:rPr>
              <w:t xml:space="preserve">#000000</w:t>
            </w:r>
          </w:p>
        </w:tc>
      </w:tr>
    </w:tbl>
    <w:p>
      <w:pPr>
        <w:spacing w:after="200" w:before="0"/>
      </w:pPr>
    </w:p>
    <w:p>
      <w:pPr>
        <w:pStyle w:val="Heading2"/>
        <w:spacing w:after="100" w:before="360" w:line="360" w:lineRule="auto"/>
      </w:pPr>
      <w:r>
        <w:rPr>
          <w:rFonts w:ascii="Consolas" w:cs="Consolas" w:eastAsia="Consolas" w:hAnsi="Consolas"/>
          <w:color w:val="1A1A2E"/>
          <w:spacing w:val="7"/>
          <w:sz w:val="24"/>
          <w:szCs w:val="24"/>
        </w:rPr>
        <w:t xml:space="preserve">USAGE NOTES</w:t>
      </w:r>
    </w:p>
    <w:p>
      <w:pPr>
        <w:pBdr>
          <w:top w:val="single" w:color="1A1A2E" w:sz="6"/>
        </w:pBdr>
        <w:spacing w:after="200" w:before="0"/>
      </w:pP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0"/>
          <w:szCs w:val="20"/>
        </w:rPr>
        <w:t xml:space="preserve">All field colors are fixed.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2"/>
          <w:szCs w:val="22"/>
        </w:rPr>
        <w:t xml:space="preserve">Never swap color assignments between fields.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2"/>
          <w:szCs w:val="22"/>
        </w:rPr>
        <w:t xml:space="preserve">VOID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0"/>
          <w:szCs w:val="20"/>
        </w:rPr>
        <w:t xml:space="preserve"> (Black,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333355"/>
          <w:sz w:val="18"/>
          <w:szCs w:val="18"/>
        </w:rPr>
        <w:t xml:space="preserve">#000000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0"/>
          <w:szCs w:val="20"/>
        </w:rPr>
        <w:t xml:space="preserve">) is reserved for null, empty, or overlay states only. It must not be used as a decorative color.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2"/>
          <w:szCs w:val="22"/>
        </w:rPr>
        <w:t xml:space="preserve">ADA Blue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0"/>
          <w:szCs w:val="20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333355"/>
          <w:sz w:val="18"/>
          <w:szCs w:val="18"/>
        </w:rPr>
        <w:t xml:space="preserve">#0057B8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0"/>
          <w:szCs w:val="20"/>
        </w:rPr>
        <w:t xml:space="preserve">) meets WCAG AA contrast on white/light backgrounds — validate contrast ratio before using on dark field backgrounds.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2"/>
          <w:szCs w:val="22"/>
        </w:rPr>
        <w:t xml:space="preserve">Electric Green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0"/>
          <w:szCs w:val="20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333355"/>
          <w:sz w:val="18"/>
          <w:szCs w:val="18"/>
        </w:rPr>
        <w:t xml:space="preserve">#39FF14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0"/>
          <w:szCs w:val="20"/>
        </w:rPr>
        <w:t xml:space="preserve">) is high-visibility — use sparingly as an accent or CTA only. Overuse degrades signal value.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2"/>
          <w:szCs w:val="22"/>
        </w:rPr>
        <w:t xml:space="preserve">Ghost Grey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0"/>
          <w:szCs w:val="20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333355"/>
          <w:sz w:val="18"/>
          <w:szCs w:val="18"/>
        </w:rPr>
        <w:t xml:space="preserve">#B0B0B0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0"/>
          <w:szCs w:val="20"/>
        </w:rPr>
        <w:t xml:space="preserve">) and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2"/>
          <w:szCs w:val="22"/>
        </w:rPr>
        <w:t xml:space="preserve">Deep Grey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0"/>
          <w:szCs w:val="20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333355"/>
          <w:sz w:val="18"/>
          <w:szCs w:val="18"/>
        </w:rPr>
        <w:t xml:space="preserve">#3A3A3A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0"/>
          <w:szCs w:val="20"/>
        </w:rPr>
        <w:t xml:space="preserve">) are structural colors — use for scaffolding, timestamps, and metadata elements only.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2A2A2A" w:sz="6"/>
              <w:left w:val="single" w:color="2A2A2A" w:sz="6"/>
              <w:bottom w:val="single" w:color="2A2A2A" w:sz="6"/>
              <w:right w:val="single" w:color="2A2A2A" w:sz="6"/>
            </w:tcBorders>
            <w:shd w:fill="F5F5F5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80" w:line="360" w:lineRule="auto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strike w:val="false"/>
                <w:color w:val="2A2A2A"/>
                <w:spacing w:val="12"/>
                <w:sz w:val="20"/>
                <w:szCs w:val="20"/>
              </w:rPr>
              <w:t xml:space="preserve">⚠ Accessibility Reminder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Before finalizing any Earth³ promo asset for public release, validate all text-on-field-color combinations against WCAG 2.1 AA contrast ratios (minimum 4.5:1 for normal text, 3:1 for large text). Ghost Grey on dark backgrounds and ADA Blue on dark backgrounds require particular attention.</w:t>
            </w:r>
          </w:p>
        </w:tc>
      </w:tr>
    </w:tbl>
    <w:p>
      <w:pPr>
        <w:spacing w:after="240" w:before="0"/>
      </w:pPr>
    </w:p>
    <w:p>
      <w:pPr>
        <w:pBdr>
          <w:bottom w:val="single" w:color="1A1A1A" w:sz="6"/>
        </w:pBdr>
        <w:spacing w:after="240" w:before="240"/>
      </w:pPr>
    </w:p>
    <w:p>
      <w:pPr>
        <w:pBdr>
          <w:bottom w:val="single" w:color="1A1A2E" w:sz="6"/>
        </w:pBdr>
        <w:spacing w:after="240" w:before="240"/>
      </w:pPr>
    </w:p>
    <w:p>
      <w:pPr>
        <w:spacing w:after="240" w:line="360" w:lineRule="auto"/>
        <w:jc w:val="center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666688"/>
          <w:spacing w:val="12"/>
          <w:sz w:val="16"/>
          <w:szCs w:val="16"/>
        </w:rPr>
        <w:t xml:space="preserve">Earth³ Visual Layout Guide  ·  v0.1  ·  Xbot Promo Section  ·  Internal Reference Only  ·  October 2026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csk2GBan9q9uhj2xuTVfP</dc:title>
  <dc:creator>Un-named</dc:creator>
  <dc:description>Generated document</dc:description>
  <cp:lastModifiedBy>Un-named</cp:lastModifiedBy>
  <cp:revision>1</cp:revision>
  <dcterms:created xsi:type="dcterms:W3CDTF">2026-10-04T18:37:04.836Z</dcterms:created>
  <dcterms:modified xsi:type="dcterms:W3CDTF">2026-10-04T18:37:04.836Z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