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rFonts w:ascii="Garamond" w:cs="Garamond" w:eastAsia="Garamond" w:hAnsi="Garamond"/>
          <w:b w:val="1"/>
          <w:sz w:val="32"/>
          <w:szCs w:val="32"/>
        </w:rPr>
      </w:pPr>
      <w:r w:rsidDel="00000000" w:rsidR="00000000" w:rsidRPr="00000000">
        <w:rPr>
          <w:rFonts w:ascii="Garamond" w:cs="Garamond" w:eastAsia="Garamond" w:hAnsi="Garamond"/>
          <w:b w:val="1"/>
          <w:sz w:val="32"/>
          <w:szCs w:val="32"/>
          <w:rtl w:val="0"/>
        </w:rPr>
        <w:t xml:space="preserve">General Programming Standards and Guidelines Code Review Checklist</w:t>
      </w:r>
    </w:p>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tbl>
      <w:tblPr>
        <w:tblStyle w:val="Table1"/>
        <w:tblW w:w="8640.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1796"/>
        <w:gridCol w:w="4052"/>
        <w:gridCol w:w="1886"/>
        <w:gridCol w:w="906"/>
        <w:tblGridChange w:id="0">
          <w:tblGrid>
            <w:gridCol w:w="1796"/>
            <w:gridCol w:w="4052"/>
            <w:gridCol w:w="1886"/>
            <w:gridCol w:w="906"/>
          </w:tblGrid>
        </w:tblGridChange>
      </w:tblGrid>
      <w:tr>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Name</w:t>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UTut: University Tutorial</w:t>
            </w:r>
            <w:r w:rsidDel="00000000" w:rsidR="00000000" w:rsidRPr="00000000">
              <w:rPr>
                <w:rtl w:val="0"/>
              </w:rPr>
            </w:r>
          </w:p>
        </w:tc>
        <w:tc>
          <w:tcPr>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Project ID</w:t>
            </w:r>
          </w:p>
        </w:tc>
        <w:tc>
          <w:tcPr>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Reviewer’s Name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Nicole Jade R. De Guzman</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Sprint No.</w:t>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1</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Review Date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02/09/18</w:t>
            </w: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File Name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0"/>
                <w:i w:val="0"/>
                <w:smallCaps w:val="0"/>
                <w:strike w:val="0"/>
                <w:color w:val="000000"/>
                <w:sz w:val="16"/>
                <w:szCs w:val="16"/>
                <w:u w:val="none"/>
                <w:shd w:fill="auto" w:val="clear"/>
                <w:vertAlign w:val="baseline"/>
                <w:rtl w:val="0"/>
              </w:rPr>
              <w:t xml:space="preserve">(Source Code)</w:t>
            </w:r>
          </w:p>
        </w:tc>
        <w:tc>
          <w:tcPr>
            <w:gridSpan w:val="3"/>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sz w:val="24"/>
                <w:szCs w:val="24"/>
                <w:rtl w:val="0"/>
              </w:rPr>
              <w:t xml:space="preserve">loginerror.html.erb</w:t>
            </w:r>
            <w:r w:rsidDel="00000000" w:rsidR="00000000" w:rsidRPr="00000000">
              <w:rPr>
                <w:rtl w:val="0"/>
              </w:rPr>
            </w:r>
          </w:p>
        </w:tc>
      </w:tr>
    </w:tbl>
    <w:p w:rsidR="00000000" w:rsidDel="00000000" w:rsidP="00000000" w:rsidRDefault="00000000" w:rsidRPr="00000000">
      <w:pPr>
        <w:tabs>
          <w:tab w:val="left" w:pos="3060"/>
        </w:tabs>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This checklist is to be used to assess source code during a peer review.  Items which represent the code being reviewed should be checked off.</w:t>
      </w:r>
    </w:p>
    <w:p w:rsidR="00000000" w:rsidDel="00000000" w:rsidP="00000000" w:rsidRDefault="00000000" w:rsidRPr="00000000">
      <w:pPr>
        <w:contextualSpacing w:val="0"/>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Place a check mark if the code complies with the criteria.  If not, place comments at the remarks column.</w:t>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1.  License</w:t>
      </w:r>
    </w:p>
    <w:tbl>
      <w:tblPr>
        <w:tblStyle w:val="Table2"/>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8"/>
                <w:szCs w:val="18"/>
                <w:u w:val="none"/>
                <w:shd w:fill="auto" w:val="clear"/>
                <w:vertAlign w:val="baseline"/>
              </w:rPr>
            </w:pPr>
            <w:r w:rsidDel="00000000" w:rsidR="00000000" w:rsidRPr="00000000">
              <w:rPr>
                <w:rFonts w:ascii="Garamond" w:cs="Garamond" w:eastAsia="Garamond" w:hAnsi="Garamond"/>
                <w:b w:val="1"/>
                <w:i w:val="0"/>
                <w:smallCaps w:val="0"/>
                <w:strike w:val="0"/>
                <w:color w:val="000000"/>
                <w:sz w:val="18"/>
                <w:szCs w:val="18"/>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exists at the top of the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name of the author</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License contains the following:</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“This is a course requirement for CS 192 Software Engineering II under the supervision of Asst. Prof. Ma. Rowena C. Solamo of the Department of Computer Science, College of Engineering, University of the Philippines, Diliman for the AY 2015-2016”.</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2.  Code History</w:t>
      </w:r>
    </w:p>
    <w:tbl>
      <w:tblPr>
        <w:tblStyle w:val="Table3"/>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appears after the license of the source code.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Code History has been updated accordingly based on name of programmer, change date and change description.</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tl w:val="0"/>
        </w:rPr>
      </w:r>
    </w:p>
    <w:p w:rsidR="00000000" w:rsidDel="00000000" w:rsidP="00000000" w:rsidRDefault="00000000" w:rsidRPr="00000000">
      <w:pPr>
        <w:contextualSpacing w:val="0"/>
        <w:jc w:val="both"/>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3.  Internal Documentation</w:t>
      </w:r>
    </w:p>
    <w:tbl>
      <w:tblPr>
        <w:tblStyle w:val="Table4"/>
        <w:tblW w:w="9468.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138"/>
        <w:gridCol w:w="828"/>
        <w:gridCol w:w="828"/>
        <w:gridCol w:w="3674"/>
        <w:tblGridChange w:id="0">
          <w:tblGrid>
            <w:gridCol w:w="4138"/>
            <w:gridCol w:w="828"/>
            <w:gridCol w:w="828"/>
            <w:gridCol w:w="3674"/>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Criteria</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Comply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Yes</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No</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 comment block exists after the Code History containing the following information: file creation date, development group, client group and a brief statement of the purpose of the software in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Add: each variable would have a corresponding descriptions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variable_name; #description</w:t>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Each method in the file is preceded by a comment block which provides the following information: method name, routine's creation date, purpose of the routine, a list of the calling arguments (their types and what they do), a list of required files and/or database tables, and return value.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Indentions are 5 spaces. TABS ARE NOT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Inline comments are found at the top of the statement using '/*' and '*/'.</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Bracketing of block statements follows the following format: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if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     statements;</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Exceptions are being handled appropriately.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variable names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Variable are initialized prior to use.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Program statements are limited to one per line.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Parenthesis are used to remove operator precedence ambituity and improve code readability.</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Meaningful error messages are used.</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Arial Unicode MS" w:cs="Arial Unicode MS" w:eastAsia="Arial Unicode MS" w:hAnsi="Arial Unicode MS"/>
                <w:sz w:val="20"/>
                <w:szCs w:val="20"/>
                <w:rtl w:val="0"/>
              </w:rPr>
              <w:t xml:space="preserve">✓</w:t>
            </w: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Fonts w:ascii="Garamond" w:cs="Garamond" w:eastAsia="Garamond" w:hAnsi="Garamond"/>
          <w:b w:val="0"/>
          <w:sz w:val="20"/>
          <w:szCs w:val="20"/>
          <w:rtl w:val="0"/>
        </w:rPr>
        <w:t xml:space="preserve">Design Principles (Modularity, Cohesion, Coupling).  Place a check mark if the method complies with Coupling and Cohesion.  If not, leave it blank.</w:t>
      </w:r>
    </w:p>
    <w:tbl>
      <w:tblPr>
        <w:tblStyle w:val="Table5"/>
        <w:tblW w:w="9456.0" w:type="dxa"/>
        <w:jc w:val="left"/>
        <w:tblInd w:w="55.0" w:type="dxa"/>
        <w:tblBorders>
          <w:top w:color="000000" w:space="0" w:sz="4" w:val="single"/>
          <w:left w:color="000000" w:space="0" w:sz="4" w:val="single"/>
          <w:bottom w:color="000000" w:space="0" w:sz="4" w:val="single"/>
          <w:insideH w:color="000000" w:space="0" w:sz="4" w:val="single"/>
        </w:tblBorders>
        <w:tblLayout w:type="fixed"/>
        <w:tblLook w:val="0000"/>
      </w:tblPr>
      <w:tblGrid>
        <w:gridCol w:w="4409"/>
        <w:gridCol w:w="1173"/>
        <w:gridCol w:w="1261"/>
        <w:gridCol w:w="2613"/>
        <w:tblGridChange w:id="0">
          <w:tblGrid>
            <w:gridCol w:w="4409"/>
            <w:gridCol w:w="1173"/>
            <w:gridCol w:w="1261"/>
            <w:gridCol w:w="2613"/>
          </w:tblGrid>
        </w:tblGridChange>
      </w:tblGrid>
      <w:tr>
        <w:tc>
          <w:tcPr>
            <w:vMerge w:val="restart"/>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List of Method Signature</w:t>
            </w:r>
          </w:p>
        </w:tc>
        <w:tc>
          <w:tcPr>
            <w:gridSpan w:val="2"/>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Modularity</w:t>
            </w:r>
          </w:p>
        </w:tc>
        <w:tc>
          <w:tcPr>
            <w:vMerge w:val="restart"/>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1"/>
                <w:i w:val="0"/>
                <w:smallCaps w:val="0"/>
                <w:strike w:val="0"/>
                <w:color w:val="000000"/>
                <w:sz w:val="20"/>
                <w:szCs w:val="20"/>
                <w:u w:val="none"/>
                <w:shd w:fill="auto" w:val="clear"/>
                <w:vertAlign w:val="baseline"/>
                <w:rtl w:val="0"/>
              </w:rPr>
              <w:t xml:space="preserve">Remarks</w:t>
            </w:r>
          </w:p>
        </w:tc>
      </w:tr>
      <w:tr>
        <w:tc>
          <w:tcPr>
            <w:vMerge w:val="continue"/>
            <w:tcBorders>
              <w:top w:color="000000" w:space="0" w:sz="4" w:val="single"/>
              <w:left w:color="000000" w:space="0" w:sz="4" w:val="single"/>
              <w:bottom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Coupling</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Garamond" w:cs="Garamond" w:eastAsia="Garamond" w:hAnsi="Garamond"/>
                <w:b w:val="1"/>
                <w:i w:val="0"/>
                <w:smallCaps w:val="0"/>
                <w:strike w:val="0"/>
                <w:color w:val="000000"/>
                <w:sz w:val="16"/>
                <w:szCs w:val="16"/>
                <w:u w:val="none"/>
                <w:shd w:fill="auto" w:val="clear"/>
                <w:vertAlign w:val="baseline"/>
              </w:rPr>
            </w:pPr>
            <w:r w:rsidDel="00000000" w:rsidR="00000000" w:rsidRPr="00000000">
              <w:rPr>
                <w:rFonts w:ascii="Garamond" w:cs="Garamond" w:eastAsia="Garamond" w:hAnsi="Garamond"/>
                <w:b w:val="1"/>
                <w:i w:val="0"/>
                <w:smallCaps w:val="0"/>
                <w:strike w:val="0"/>
                <w:color w:val="000000"/>
                <w:sz w:val="16"/>
                <w:szCs w:val="16"/>
                <w:u w:val="none"/>
                <w:shd w:fill="auto" w:val="clear"/>
                <w:vertAlign w:val="baseline"/>
                <w:rtl w:val="0"/>
              </w:rPr>
              <w:t xml:space="preserve">Cohesion</w:t>
            </w:r>
          </w:p>
        </w:tc>
        <w:tc>
          <w:tcPr>
            <w:vMerge w:val="continue"/>
            <w:tcBorders>
              <w:top w:color="000000" w:space="0" w:sz="4" w:val="single"/>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contextualSpacing w:val="0"/>
              <w:rPr/>
            </w:pPr>
            <w:r w:rsidDel="00000000" w:rsidR="00000000" w:rsidRPr="00000000">
              <w:rPr>
                <w:rtl w:val="0"/>
              </w:rPr>
            </w:r>
          </w:p>
        </w:tc>
      </w:tr>
      <w:tr>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0"/>
                <w:strike w:val="0"/>
                <w:color w:val="000000"/>
                <w:sz w:val="20"/>
                <w:szCs w:val="20"/>
                <w:u w:val="none"/>
                <w:shd w:fill="auto" w:val="clear"/>
                <w:vertAlign w:val="baseline"/>
                <w:rtl w:val="0"/>
              </w:rPr>
              <w:t xml:space="preserve">[List here all methods found inside the file.]</w:t>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auto" w:val="clear"/>
            <w:tcMar>
              <w:left w:w="54.0" w:type="dxa"/>
            </w:tcMar>
          </w:tcPr>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Garamond" w:cs="Garamond" w:eastAsia="Garamond" w:hAnsi="Garamond"/>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contextualSpacing w:val="0"/>
        <w:rPr>
          <w:rFonts w:ascii="Garamond" w:cs="Garamond" w:eastAsia="Garamond" w:hAnsi="Garamond"/>
          <w:b w:val="0"/>
          <w:sz w:val="20"/>
          <w:szCs w:val="20"/>
        </w:rPr>
      </w:pPr>
      <w:r w:rsidDel="00000000" w:rsidR="00000000" w:rsidRPr="00000000">
        <w:rPr>
          <w:rtl w:val="0"/>
        </w:rPr>
      </w:r>
    </w:p>
    <w:p w:rsidR="00000000" w:rsidDel="00000000" w:rsidP="00000000" w:rsidRDefault="00000000" w:rsidRPr="00000000">
      <w:pPr>
        <w:pStyle w:val="Heading1"/>
        <w:numPr>
          <w:ilvl w:val="0"/>
          <w:numId w:val="1"/>
        </w:numPr>
        <w:ind w:left="432" w:hanging="432"/>
        <w:contextualSpacing w:val="0"/>
        <w:rPr>
          <w:rFonts w:ascii="Garamond" w:cs="Garamond" w:eastAsia="Garamond" w:hAnsi="Garamond"/>
          <w:sz w:val="20"/>
          <w:szCs w:val="20"/>
        </w:rPr>
      </w:pPr>
      <w:r w:rsidDel="00000000" w:rsidR="00000000" w:rsidRPr="00000000">
        <w:rPr>
          <w:rFonts w:ascii="Garamond" w:cs="Garamond" w:eastAsia="Garamond" w:hAnsi="Garamond"/>
          <w:sz w:val="20"/>
          <w:szCs w:val="20"/>
          <w:rtl w:val="0"/>
        </w:rPr>
        <w:t xml:space="preserve">Reviewer’s Comments:</w:t>
        <w:br w:type="textWrapping"/>
      </w:r>
      <w:r w:rsidDel="00000000" w:rsidR="00000000" w:rsidRPr="00000000">
        <w:rPr>
          <w:rtl w:val="0"/>
        </w:rPr>
      </w:r>
    </w:p>
    <w:sectPr>
      <w:headerReference r:id="rId6" w:type="default"/>
      <w:footerReference r:id="rId7" w:type="default"/>
      <w:pgSz w:h="15840" w:w="12240"/>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Arial Unicode MS"/>
  <w:font w:name="Verdan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color="000000" w:space="1" w:sz="4" w:val="single"/>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12"/>
        <w:szCs w:val="1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color="000000" w:space="1" w:sz="4" w:val="single"/>
        <w:right w:space="0" w:sz="0" w:val="nil"/>
        <w:between w:space="0" w:sz="0" w:val="nil"/>
      </w:pBdr>
      <w:shd w:fill="auto" w:val="clear"/>
      <w:tabs>
        <w:tab w:val="center" w:pos="4320"/>
        <w:tab w:val="right" w:pos="8640"/>
      </w:tabs>
      <w:spacing w:after="240" w:before="0" w:line="240" w:lineRule="auto"/>
      <w:ind w:left="0" w:right="0" w:firstLine="0"/>
      <w:contextualSpacing w:val="0"/>
      <w:jc w:val="left"/>
      <w:rPr>
        <w:rFonts w:ascii="Garamond" w:cs="Garamond" w:eastAsia="Garamond" w:hAnsi="Garamond"/>
        <w:b w:val="0"/>
        <w:i w:val="0"/>
        <w:smallCaps w:val="0"/>
        <w:strike w:val="0"/>
        <w:color w:val="000000"/>
        <w:sz w:val="24"/>
        <w:szCs w:val="24"/>
        <w:u w:val="none"/>
        <w:shd w:fill="auto" w:val="clear"/>
        <w:vertAlign w:val="baseline"/>
      </w:rPr>
    </w:pPr>
    <w:r w:rsidDel="00000000" w:rsidR="00000000" w:rsidRPr="00000000">
      <w:rPr>
        <w:rFonts w:ascii="Garamond" w:cs="Garamond" w:eastAsia="Garamond" w:hAnsi="Garamond"/>
        <w:b w:val="0"/>
        <w:i w:val="0"/>
        <w:smallCaps w:val="0"/>
        <w:strike w:val="0"/>
        <w:color w:val="000000"/>
        <w:sz w:val="24"/>
        <w:szCs w:val="24"/>
        <w:u w:val="none"/>
        <w:shd w:fill="auto" w:val="clear"/>
        <w:vertAlign w:val="baseline"/>
        <w:rtl w:val="0"/>
      </w:rPr>
      <w:t xml:space="preserve">Software Engineering II</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
      <w:lvlJc w:val="left"/>
      <w:pPr>
        <w:ind w:left="432" w:hanging="432"/>
      </w:pPr>
      <w:rPr/>
    </w:lvl>
    <w:lvl w:ilvl="1">
      <w:start w:val="1"/>
      <w:numFmt w:val="decimal"/>
      <w:lvlText w:val=""/>
      <w:lvlJc w:val="left"/>
      <w:pPr>
        <w:ind w:left="576" w:hanging="576"/>
      </w:pPr>
      <w:rPr/>
    </w:lvl>
    <w:lvl w:ilvl="2">
      <w:start w:val="1"/>
      <w:numFmt w:val="decimal"/>
      <w:lvlText w:val=""/>
      <w:lvlJc w:val="left"/>
      <w:pPr>
        <w:ind w:left="720" w:hanging="720"/>
      </w:pPr>
      <w:rPr/>
    </w:lvl>
    <w:lvl w:ilvl="3">
      <w:start w:val="1"/>
      <w:numFmt w:val="decimal"/>
      <w:lvlText w:val=""/>
      <w:lvlJc w:val="left"/>
      <w:pPr>
        <w:ind w:left="864" w:hanging="864"/>
      </w:pPr>
      <w:rPr/>
    </w:lvl>
    <w:lvl w:ilvl="4">
      <w:start w:val="1"/>
      <w:numFmt w:val="decimal"/>
      <w:lvlText w:val=""/>
      <w:lvlJc w:val="left"/>
      <w:pPr>
        <w:ind w:left="1008" w:hanging="1008"/>
      </w:pPr>
      <w:rPr/>
    </w:lvl>
    <w:lvl w:ilvl="5">
      <w:start w:val="1"/>
      <w:numFmt w:val="decimal"/>
      <w:lvlText w:val=""/>
      <w:lvlJc w:val="left"/>
      <w:pPr>
        <w:ind w:left="1152" w:hanging="1152"/>
      </w:pPr>
      <w:rPr/>
    </w:lvl>
    <w:lvl w:ilvl="6">
      <w:start w:val="1"/>
      <w:numFmt w:val="decimal"/>
      <w:lvlText w:val=""/>
      <w:lvlJc w:val="left"/>
      <w:pPr>
        <w:ind w:left="1296" w:hanging="1296"/>
      </w:pPr>
      <w:rPr/>
    </w:lvl>
    <w:lvl w:ilvl="7">
      <w:start w:val="1"/>
      <w:numFmt w:val="decimal"/>
      <w:lvlText w:val=""/>
      <w:lvlJc w:val="left"/>
      <w:pPr>
        <w:ind w:left="1440" w:hanging="1440"/>
      </w:pPr>
      <w:rPr/>
    </w:lvl>
    <w:lvl w:ilvl="8">
      <w:start w:val="1"/>
      <w:numFmt w:val="decimal"/>
      <w:lvlText w:val=""/>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48"/>
        <w:szCs w:val="48"/>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432" w:hanging="432"/>
      <w:contextualSpacing w:val="0"/>
    </w:pPr>
    <w:rPr>
      <w:rFonts w:ascii="Arial" w:cs="Arial" w:eastAsia="Arial" w:hAnsi="Arial"/>
      <w:b w:val="1"/>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4.0" w:type="dxa"/>
        <w:bottom w:w="55.0" w:type="dxa"/>
        <w:right w:w="55.0" w:type="dxa"/>
      </w:tblCellMar>
    </w:tblPr>
  </w:style>
  <w:style w:type="table" w:styleId="Table2">
    <w:basedOn w:val="TableNormal"/>
    <w:tblPr>
      <w:tblStyleRowBandSize w:val="1"/>
      <w:tblStyleColBandSize w:val="1"/>
      <w:tblCellMar>
        <w:top w:w="55.0" w:type="dxa"/>
        <w:left w:w="54.0" w:type="dxa"/>
        <w:bottom w:w="55.0" w:type="dxa"/>
        <w:right w:w="55.0" w:type="dxa"/>
      </w:tblCellMar>
    </w:tblPr>
  </w:style>
  <w:style w:type="table" w:styleId="Table3">
    <w:basedOn w:val="TableNormal"/>
    <w:tblPr>
      <w:tblStyleRowBandSize w:val="1"/>
      <w:tblStyleColBandSize w:val="1"/>
      <w:tblCellMar>
        <w:top w:w="55.0" w:type="dxa"/>
        <w:left w:w="54.0" w:type="dxa"/>
        <w:bottom w:w="55.0" w:type="dxa"/>
        <w:right w:w="55.0" w:type="dxa"/>
      </w:tblCellMar>
    </w:tblPr>
  </w:style>
  <w:style w:type="table" w:styleId="Table4">
    <w:basedOn w:val="TableNormal"/>
    <w:tblPr>
      <w:tblStyleRowBandSize w:val="1"/>
      <w:tblStyleColBandSize w:val="1"/>
      <w:tblCellMar>
        <w:top w:w="55.0" w:type="dxa"/>
        <w:left w:w="54.0" w:type="dxa"/>
        <w:bottom w:w="55.0" w:type="dxa"/>
        <w:right w:w="55.0" w:type="dxa"/>
      </w:tblCellMar>
    </w:tblPr>
  </w:style>
  <w:style w:type="table" w:styleId="Table5">
    <w:basedOn w:val="TableNormal"/>
    <w:tblPr>
      <w:tblStyleRowBandSize w:val="1"/>
      <w:tblStyleColBandSize w:val="1"/>
      <w:tblCellMar>
        <w:top w:w="55.0" w:type="dxa"/>
        <w:left w:w="54.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