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1F273A78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9006B9" w:rsidRPr="009006B9">
              <w:rPr>
                <w:rFonts w:hint="eastAsia"/>
              </w:rPr>
              <w:t>ベースレジストリの町字IDを記載。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EPSGコード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7EA" w14:textId="77777777" w:rsidR="007F7C08" w:rsidRDefault="007F7C08" w:rsidP="00835262">
      <w:r>
        <w:separator/>
      </w:r>
    </w:p>
  </w:endnote>
  <w:endnote w:type="continuationSeparator" w:id="0">
    <w:p w14:paraId="0412D836" w14:textId="77777777" w:rsidR="007F7C08" w:rsidRDefault="007F7C08" w:rsidP="00835262">
      <w:r>
        <w:continuationSeparator/>
      </w:r>
    </w:p>
  </w:endnote>
  <w:endnote w:type="continuationNotice" w:id="1">
    <w:p w14:paraId="4BF841E8" w14:textId="77777777" w:rsidR="007F7C08" w:rsidRDefault="007F7C08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B4F3" w14:textId="77777777" w:rsidR="007F7C08" w:rsidRDefault="007F7C08" w:rsidP="00835262">
      <w:r>
        <w:separator/>
      </w:r>
    </w:p>
  </w:footnote>
  <w:footnote w:type="continuationSeparator" w:id="0">
    <w:p w14:paraId="3FC67EBD" w14:textId="77777777" w:rsidR="007F7C08" w:rsidRDefault="007F7C08" w:rsidP="00835262">
      <w:r>
        <w:continuationSeparator/>
      </w:r>
    </w:p>
  </w:footnote>
  <w:footnote w:type="continuationNotice" w:id="1">
    <w:p w14:paraId="365C2016" w14:textId="77777777" w:rsidR="007F7C08" w:rsidRDefault="007F7C08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57689-F27A-4502-8F32-AE147CC17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E6CB3-B061-4F7F-A9F3-739AF4F638A0}">
  <ds:schemaRefs>
    <ds:schemaRef ds:uri="8c3438c2-774e-4b56-8e53-485ea73e7025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sharepoint/v3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753eb55-ace7-47fe-8293-79a8dad7846a"/>
  </ds:schemaRefs>
</ds:datastoreItem>
</file>

<file path=customXml/itemProps4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2022-08-26T09:04:00Z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