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7777777"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2022年（令和4年）3月</w:t>
      </w:r>
      <w:r w:rsidRPr="00E838EF">
        <w:t>31</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17289221" w:displacedByCustomXml="next"/>
    <w:bookmarkStart w:id="9" w:name="_Toc24707100"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4D281024" w14:textId="5ABADCD5" w:rsidR="00FD14FF"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78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背景と課題</w:t>
            </w:r>
            <w:r w:rsidR="00FD14FF">
              <w:rPr>
                <w:noProof/>
                <w:webHidden/>
              </w:rPr>
              <w:tab/>
            </w:r>
            <w:r w:rsidR="00FD14FF">
              <w:rPr>
                <w:noProof/>
                <w:webHidden/>
              </w:rPr>
              <w:fldChar w:fldCharType="begin"/>
            </w:r>
            <w:r w:rsidR="00FD14FF">
              <w:rPr>
                <w:noProof/>
                <w:webHidden/>
              </w:rPr>
              <w:instrText xml:space="preserve"> PAGEREF _Toc99385785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15001510" w14:textId="0D5F9787"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86" w:history="1">
            <w:r w:rsidR="00FD14FF" w:rsidRPr="001B5886">
              <w:rPr>
                <w:rStyle w:val="aff0"/>
                <w:noProof/>
              </w:rPr>
              <w:t>1.1</w:t>
            </w:r>
            <w:r w:rsidR="00FD14FF">
              <w:rPr>
                <w:rFonts w:asciiTheme="minorHAnsi" w:eastAsiaTheme="minorEastAsia" w:hAnsiTheme="minorHAnsi" w:cstheme="minorBidi"/>
                <w:noProof/>
                <w:sz w:val="21"/>
              </w:rPr>
              <w:tab/>
            </w:r>
            <w:r w:rsidR="00FD14FF" w:rsidRPr="001B5886">
              <w:rPr>
                <w:rStyle w:val="aff0"/>
                <w:noProof/>
              </w:rPr>
              <w:t>背景</w:t>
            </w:r>
            <w:r w:rsidR="00FD14FF">
              <w:rPr>
                <w:noProof/>
                <w:webHidden/>
              </w:rPr>
              <w:tab/>
            </w:r>
            <w:r w:rsidR="00FD14FF">
              <w:rPr>
                <w:noProof/>
                <w:webHidden/>
              </w:rPr>
              <w:fldChar w:fldCharType="begin"/>
            </w:r>
            <w:r w:rsidR="00FD14FF">
              <w:rPr>
                <w:noProof/>
                <w:webHidden/>
              </w:rPr>
              <w:instrText xml:space="preserve"> PAGEREF _Toc99385786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3F34D470" w14:textId="22204414"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87" w:history="1">
            <w:r w:rsidR="00FD14FF" w:rsidRPr="001B5886">
              <w:rPr>
                <w:rStyle w:val="aff0"/>
                <w:noProof/>
              </w:rPr>
              <w:t>1.2</w:t>
            </w:r>
            <w:r w:rsidR="00FD14FF">
              <w:rPr>
                <w:rFonts w:asciiTheme="minorHAnsi" w:eastAsiaTheme="minorEastAsia" w:hAnsiTheme="minorHAnsi" w:cstheme="minorBidi"/>
                <w:noProof/>
                <w:sz w:val="21"/>
              </w:rPr>
              <w:tab/>
            </w:r>
            <w:r w:rsidR="00FD14FF" w:rsidRPr="001B5886">
              <w:rPr>
                <w:rStyle w:val="aff0"/>
                <w:noProof/>
              </w:rPr>
              <w:t>課題</w:t>
            </w:r>
            <w:r w:rsidR="00FD14FF">
              <w:rPr>
                <w:noProof/>
                <w:webHidden/>
              </w:rPr>
              <w:tab/>
            </w:r>
            <w:r w:rsidR="00FD14FF">
              <w:rPr>
                <w:noProof/>
                <w:webHidden/>
              </w:rPr>
              <w:fldChar w:fldCharType="begin"/>
            </w:r>
            <w:r w:rsidR="00FD14FF">
              <w:rPr>
                <w:noProof/>
                <w:webHidden/>
              </w:rPr>
              <w:instrText xml:space="preserve"> PAGEREF _Toc99385787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68C6AD6B" w14:textId="63A989A2"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88" w:history="1">
            <w:r w:rsidR="00FD14FF" w:rsidRPr="001B5886">
              <w:rPr>
                <w:rStyle w:val="aff0"/>
                <w:noProof/>
              </w:rPr>
              <w:t>1.3</w:t>
            </w:r>
            <w:r w:rsidR="00FD14FF">
              <w:rPr>
                <w:rFonts w:asciiTheme="minorHAnsi" w:eastAsiaTheme="minorEastAsia" w:hAnsiTheme="minorHAnsi" w:cstheme="minorBidi"/>
                <w:noProof/>
                <w:sz w:val="21"/>
              </w:rPr>
              <w:tab/>
            </w:r>
            <w:r w:rsidR="00FD14FF" w:rsidRPr="001B5886">
              <w:rPr>
                <w:rStyle w:val="aff0"/>
                <w:noProof/>
              </w:rPr>
              <w:t>投資対効果</w:t>
            </w:r>
            <w:r w:rsidR="00FD14FF">
              <w:rPr>
                <w:noProof/>
                <w:webHidden/>
              </w:rPr>
              <w:tab/>
            </w:r>
            <w:r w:rsidR="00FD14FF">
              <w:rPr>
                <w:noProof/>
                <w:webHidden/>
              </w:rPr>
              <w:fldChar w:fldCharType="begin"/>
            </w:r>
            <w:r w:rsidR="00FD14FF">
              <w:rPr>
                <w:noProof/>
                <w:webHidden/>
              </w:rPr>
              <w:instrText xml:space="preserve"> PAGEREF _Toc99385788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28F7CED2" w14:textId="66250BD8" w:rsidR="00FD14FF" w:rsidRDefault="004067A4">
          <w:pPr>
            <w:pStyle w:val="11"/>
            <w:tabs>
              <w:tab w:val="left" w:pos="1050"/>
            </w:tabs>
            <w:rPr>
              <w:rFonts w:asciiTheme="minorHAnsi" w:eastAsiaTheme="minorEastAsia" w:hAnsiTheme="minorHAnsi" w:cstheme="minorBidi"/>
              <w:noProof/>
              <w:sz w:val="21"/>
            </w:rPr>
          </w:pPr>
          <w:hyperlink w:anchor="_Toc9938578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目的と概要</w:t>
            </w:r>
            <w:r w:rsidR="00FD14FF">
              <w:rPr>
                <w:noProof/>
                <w:webHidden/>
              </w:rPr>
              <w:tab/>
            </w:r>
            <w:r w:rsidR="00FD14FF">
              <w:rPr>
                <w:noProof/>
                <w:webHidden/>
              </w:rPr>
              <w:fldChar w:fldCharType="begin"/>
            </w:r>
            <w:r w:rsidR="00FD14FF">
              <w:rPr>
                <w:noProof/>
                <w:webHidden/>
              </w:rPr>
              <w:instrText xml:space="preserve"> PAGEREF _Toc99385789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45C605D0" w14:textId="33367522"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0" w:history="1">
            <w:r w:rsidR="00FD14FF" w:rsidRPr="001B5886">
              <w:rPr>
                <w:rStyle w:val="aff0"/>
                <w:noProof/>
              </w:rPr>
              <w:t>2.1</w:t>
            </w:r>
            <w:r w:rsidR="00FD14FF">
              <w:rPr>
                <w:rFonts w:asciiTheme="minorHAnsi" w:eastAsiaTheme="minorEastAsia" w:hAnsiTheme="minorHAnsi" w:cstheme="minorBidi"/>
                <w:noProof/>
                <w:sz w:val="21"/>
              </w:rPr>
              <w:tab/>
            </w:r>
            <w:r w:rsidR="00FD14FF" w:rsidRPr="001B5886">
              <w:rPr>
                <w:rStyle w:val="aff0"/>
                <w:noProof/>
              </w:rPr>
              <w:t>目的</w:t>
            </w:r>
            <w:r w:rsidR="00FD14FF">
              <w:rPr>
                <w:noProof/>
                <w:webHidden/>
              </w:rPr>
              <w:tab/>
            </w:r>
            <w:r w:rsidR="00FD14FF">
              <w:rPr>
                <w:noProof/>
                <w:webHidden/>
              </w:rPr>
              <w:fldChar w:fldCharType="begin"/>
            </w:r>
            <w:r w:rsidR="00FD14FF">
              <w:rPr>
                <w:noProof/>
                <w:webHidden/>
              </w:rPr>
              <w:instrText xml:space="preserve"> PAGEREF _Toc99385790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58D9C6E4" w14:textId="6CA27141"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1" w:history="1">
            <w:r w:rsidR="00FD14FF" w:rsidRPr="001B5886">
              <w:rPr>
                <w:rStyle w:val="aff0"/>
                <w:noProof/>
              </w:rPr>
              <w:t>2.2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_Toc99385791 \h </w:instrText>
            </w:r>
            <w:r w:rsidR="00FD14FF">
              <w:rPr>
                <w:noProof/>
                <w:webHidden/>
              </w:rPr>
            </w:r>
            <w:r w:rsidR="00FD14FF">
              <w:rPr>
                <w:noProof/>
                <w:webHidden/>
              </w:rPr>
              <w:fldChar w:fldCharType="separate"/>
            </w:r>
            <w:r w:rsidR="00FD14FF">
              <w:rPr>
                <w:noProof/>
                <w:webHidden/>
              </w:rPr>
              <w:t>6</w:t>
            </w:r>
            <w:r w:rsidR="00FD14FF">
              <w:rPr>
                <w:noProof/>
                <w:webHidden/>
              </w:rPr>
              <w:fldChar w:fldCharType="end"/>
            </w:r>
          </w:hyperlink>
        </w:p>
        <w:p w14:paraId="35AFF9DC" w14:textId="1016AB94"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2" w:history="1">
            <w:r w:rsidR="00FD14FF" w:rsidRPr="001B5886">
              <w:rPr>
                <w:rStyle w:val="aff0"/>
                <w:noProof/>
              </w:rPr>
              <w:t>2.3</w:t>
            </w:r>
            <w:r w:rsidR="00FD14FF">
              <w:rPr>
                <w:rFonts w:asciiTheme="minorHAnsi" w:eastAsiaTheme="minorEastAsia" w:hAnsiTheme="minorHAnsi" w:cstheme="minorBidi"/>
                <w:noProof/>
                <w:sz w:val="21"/>
              </w:rPr>
              <w:tab/>
            </w:r>
            <w:r w:rsidR="00FD14FF" w:rsidRPr="001B5886">
              <w:rPr>
                <w:rStyle w:val="aff0"/>
                <w:noProof/>
              </w:rPr>
              <w:t>証明、通知データの再利用について</w:t>
            </w:r>
            <w:r w:rsidR="00FD14FF">
              <w:rPr>
                <w:noProof/>
                <w:webHidden/>
              </w:rPr>
              <w:tab/>
            </w:r>
            <w:r w:rsidR="00FD14FF">
              <w:rPr>
                <w:noProof/>
                <w:webHidden/>
              </w:rPr>
              <w:fldChar w:fldCharType="begin"/>
            </w:r>
            <w:r w:rsidR="00FD14FF">
              <w:rPr>
                <w:noProof/>
                <w:webHidden/>
              </w:rPr>
              <w:instrText xml:space="preserve"> PAGEREF _Toc99385792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3B114F61" w14:textId="7A66F4F0" w:rsidR="00FD14FF" w:rsidRDefault="004067A4">
          <w:pPr>
            <w:pStyle w:val="11"/>
            <w:tabs>
              <w:tab w:val="left" w:pos="1050"/>
            </w:tabs>
            <w:rPr>
              <w:rFonts w:asciiTheme="minorHAnsi" w:eastAsiaTheme="minorEastAsia" w:hAnsiTheme="minorHAnsi" w:cstheme="minorBidi"/>
              <w:noProof/>
              <w:sz w:val="21"/>
            </w:rPr>
          </w:pPr>
          <w:hyperlink w:anchor="_Toc99385793" w:history="1">
            <w:r w:rsidR="00FD14FF" w:rsidRPr="001B5886">
              <w:rPr>
                <w:rStyle w:val="aff0"/>
                <w:noProof/>
              </w:rPr>
              <w:t>3</w:t>
            </w:r>
            <w:r w:rsidR="00FD14FF">
              <w:rPr>
                <w:rFonts w:asciiTheme="minorHAnsi" w:eastAsiaTheme="minorEastAsia" w:hAnsiTheme="minorHAnsi" w:cstheme="minorBidi"/>
                <w:noProof/>
                <w:sz w:val="21"/>
              </w:rPr>
              <w:tab/>
            </w:r>
            <w:r w:rsidR="00FD14FF" w:rsidRPr="001B5886">
              <w:rPr>
                <w:rStyle w:val="aff0"/>
                <w:noProof/>
              </w:rPr>
              <w:t>データモデル</w:t>
            </w:r>
            <w:r w:rsidR="00FD14FF">
              <w:rPr>
                <w:noProof/>
                <w:webHidden/>
              </w:rPr>
              <w:tab/>
            </w:r>
            <w:r w:rsidR="00FD14FF">
              <w:rPr>
                <w:noProof/>
                <w:webHidden/>
              </w:rPr>
              <w:fldChar w:fldCharType="begin"/>
            </w:r>
            <w:r w:rsidR="00FD14FF">
              <w:rPr>
                <w:noProof/>
                <w:webHidden/>
              </w:rPr>
              <w:instrText xml:space="preserve"> PAGEREF _Toc99385793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221F09A4" w14:textId="2C4C5914"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4" w:history="1">
            <w:r w:rsidR="00FD14FF" w:rsidRPr="001B5886">
              <w:rPr>
                <w:rStyle w:val="aff0"/>
                <w:noProof/>
              </w:rPr>
              <w:t>3.1</w:t>
            </w:r>
            <w:r w:rsidR="00FD14FF">
              <w:rPr>
                <w:rFonts w:asciiTheme="minorHAnsi" w:eastAsiaTheme="minorEastAsia" w:hAnsiTheme="minorHAnsi" w:cstheme="minorBidi"/>
                <w:noProof/>
                <w:sz w:val="21"/>
              </w:rPr>
              <w:tab/>
            </w:r>
            <w:r w:rsidR="00FD14FF" w:rsidRPr="001B5886">
              <w:rPr>
                <w:rStyle w:val="aff0"/>
                <w:noProof/>
              </w:rPr>
              <w:t>データモデルの全体概要図（クラス図）</w:t>
            </w:r>
            <w:r w:rsidR="00FD14FF">
              <w:rPr>
                <w:noProof/>
                <w:webHidden/>
              </w:rPr>
              <w:tab/>
            </w:r>
            <w:r w:rsidR="00FD14FF">
              <w:rPr>
                <w:noProof/>
                <w:webHidden/>
              </w:rPr>
              <w:fldChar w:fldCharType="begin"/>
            </w:r>
            <w:r w:rsidR="00FD14FF">
              <w:rPr>
                <w:noProof/>
                <w:webHidden/>
              </w:rPr>
              <w:instrText xml:space="preserve"> PAGEREF _Toc99385794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1BC1A468" w14:textId="029D009A"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5" w:history="1">
            <w:r w:rsidR="00FD14FF" w:rsidRPr="001B5886">
              <w:rPr>
                <w:rStyle w:val="aff0"/>
                <w:noProof/>
              </w:rPr>
              <w:t>3.2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_Toc99385795 \h </w:instrText>
            </w:r>
            <w:r w:rsidR="00FD14FF">
              <w:rPr>
                <w:noProof/>
                <w:webHidden/>
              </w:rPr>
            </w:r>
            <w:r w:rsidR="00FD14FF">
              <w:rPr>
                <w:noProof/>
                <w:webHidden/>
              </w:rPr>
              <w:fldChar w:fldCharType="separate"/>
            </w:r>
            <w:r w:rsidR="00FD14FF">
              <w:rPr>
                <w:noProof/>
                <w:webHidden/>
              </w:rPr>
              <w:t>8</w:t>
            </w:r>
            <w:r w:rsidR="00FD14FF">
              <w:rPr>
                <w:noProof/>
                <w:webHidden/>
              </w:rPr>
              <w:fldChar w:fldCharType="end"/>
            </w:r>
          </w:hyperlink>
        </w:p>
        <w:p w14:paraId="6ECCFCB9" w14:textId="100407B5" w:rsidR="00FD14FF" w:rsidRDefault="004067A4">
          <w:pPr>
            <w:pStyle w:val="11"/>
            <w:tabs>
              <w:tab w:val="left" w:pos="1050"/>
            </w:tabs>
            <w:rPr>
              <w:rFonts w:asciiTheme="minorHAnsi" w:eastAsiaTheme="minorEastAsia" w:hAnsiTheme="minorHAnsi" w:cstheme="minorBidi"/>
              <w:noProof/>
              <w:sz w:val="21"/>
            </w:rPr>
          </w:pPr>
          <w:hyperlink w:anchor="_Toc99385796" w:history="1">
            <w:r w:rsidR="00FD14FF" w:rsidRPr="001B5886">
              <w:rPr>
                <w:rStyle w:val="aff0"/>
                <w:noProof/>
              </w:rPr>
              <w:t>4</w:t>
            </w:r>
            <w:r w:rsidR="00FD14FF">
              <w:rPr>
                <w:rFonts w:asciiTheme="minorHAnsi" w:eastAsiaTheme="minorEastAsia" w:hAnsiTheme="minorHAnsi" w:cstheme="minorBidi"/>
                <w:noProof/>
                <w:sz w:val="21"/>
              </w:rPr>
              <w:tab/>
            </w:r>
            <w:r w:rsidR="00FD14FF" w:rsidRPr="001B5886">
              <w:rPr>
                <w:rStyle w:val="aff0"/>
                <w:noProof/>
              </w:rPr>
              <w:t>活用場面イメージ</w:t>
            </w:r>
            <w:r w:rsidR="00FD14FF">
              <w:rPr>
                <w:noProof/>
                <w:webHidden/>
              </w:rPr>
              <w:tab/>
            </w:r>
            <w:r w:rsidR="00FD14FF">
              <w:rPr>
                <w:noProof/>
                <w:webHidden/>
              </w:rPr>
              <w:fldChar w:fldCharType="begin"/>
            </w:r>
            <w:r w:rsidR="00FD14FF">
              <w:rPr>
                <w:noProof/>
                <w:webHidden/>
              </w:rPr>
              <w:instrText xml:space="preserve"> PAGEREF _Toc99385796 \h </w:instrText>
            </w:r>
            <w:r w:rsidR="00FD14FF">
              <w:rPr>
                <w:noProof/>
                <w:webHidden/>
              </w:rPr>
            </w:r>
            <w:r w:rsidR="00FD14FF">
              <w:rPr>
                <w:noProof/>
                <w:webHidden/>
              </w:rPr>
              <w:fldChar w:fldCharType="separate"/>
            </w:r>
            <w:r w:rsidR="00FD14FF">
              <w:rPr>
                <w:noProof/>
                <w:webHidden/>
              </w:rPr>
              <w:t>9</w:t>
            </w:r>
            <w:r w:rsidR="00FD14FF">
              <w:rPr>
                <w:noProof/>
                <w:webHidden/>
              </w:rPr>
              <w:fldChar w:fldCharType="end"/>
            </w:r>
          </w:hyperlink>
        </w:p>
        <w:p w14:paraId="49084855" w14:textId="67122A79"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7" w:history="1">
            <w:r w:rsidR="00FD14FF" w:rsidRPr="001B5886">
              <w:rPr>
                <w:rStyle w:val="aff0"/>
                <w:noProof/>
              </w:rPr>
              <w:t>4.1</w:t>
            </w:r>
            <w:r w:rsidR="00FD14FF">
              <w:rPr>
                <w:rFonts w:asciiTheme="minorHAnsi" w:eastAsiaTheme="minorEastAsia" w:hAnsiTheme="minorHAnsi" w:cstheme="minorBidi"/>
                <w:noProof/>
                <w:sz w:val="21"/>
              </w:rPr>
              <w:tab/>
            </w:r>
            <w:r w:rsidR="00FD14FF" w:rsidRPr="001B5886">
              <w:rPr>
                <w:rStyle w:val="aff0"/>
                <w:noProof/>
              </w:rPr>
              <w:t>機能イメージ</w:t>
            </w:r>
            <w:r w:rsidR="00FD14FF">
              <w:rPr>
                <w:noProof/>
                <w:webHidden/>
              </w:rPr>
              <w:tab/>
            </w:r>
            <w:r w:rsidR="00FD14FF">
              <w:rPr>
                <w:noProof/>
                <w:webHidden/>
              </w:rPr>
              <w:fldChar w:fldCharType="begin"/>
            </w:r>
            <w:r w:rsidR="00FD14FF">
              <w:rPr>
                <w:noProof/>
                <w:webHidden/>
              </w:rPr>
              <w:instrText xml:space="preserve"> PAGEREF _Toc99385797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DCBB9EC" w14:textId="4E9438F1"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798"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自動照合</w:t>
            </w:r>
            <w:r w:rsidR="00FD14FF">
              <w:rPr>
                <w:noProof/>
                <w:webHidden/>
              </w:rPr>
              <w:tab/>
            </w:r>
            <w:r w:rsidR="00FD14FF">
              <w:rPr>
                <w:noProof/>
                <w:webHidden/>
              </w:rPr>
              <w:fldChar w:fldCharType="begin"/>
            </w:r>
            <w:r w:rsidR="00FD14FF">
              <w:rPr>
                <w:noProof/>
                <w:webHidden/>
              </w:rPr>
              <w:instrText xml:space="preserve"> PAGEREF _Toc99385798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6BA872CA" w14:textId="62693FFB"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79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通知</w:t>
            </w:r>
            <w:r w:rsidR="00FD14FF">
              <w:rPr>
                <w:noProof/>
                <w:webHidden/>
              </w:rPr>
              <w:tab/>
            </w:r>
            <w:r w:rsidR="00FD14FF">
              <w:rPr>
                <w:noProof/>
                <w:webHidden/>
              </w:rPr>
              <w:fldChar w:fldCharType="begin"/>
            </w:r>
            <w:r w:rsidR="00FD14FF">
              <w:rPr>
                <w:noProof/>
                <w:webHidden/>
              </w:rPr>
              <w:instrText xml:space="preserve"> PAGEREF _Toc99385799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3848AA57" w14:textId="2238E44E"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800" w:history="1">
            <w:r w:rsidR="00FD14FF" w:rsidRPr="001B5886">
              <w:rPr>
                <w:rStyle w:val="aff0"/>
                <w:noProof/>
              </w:rPr>
              <w:t>4.2</w:t>
            </w:r>
            <w:r w:rsidR="00FD14FF">
              <w:rPr>
                <w:rFonts w:asciiTheme="minorHAnsi" w:eastAsiaTheme="minorEastAsia" w:hAnsiTheme="minorHAnsi" w:cstheme="minorBidi"/>
                <w:noProof/>
                <w:sz w:val="21"/>
              </w:rPr>
              <w:tab/>
            </w:r>
            <w:r w:rsidR="00FD14FF" w:rsidRPr="001B5886">
              <w:rPr>
                <w:rStyle w:val="aff0"/>
                <w:noProof/>
              </w:rPr>
              <w:t>サービスイメージ</w:t>
            </w:r>
            <w:r w:rsidR="00FD14FF">
              <w:rPr>
                <w:noProof/>
                <w:webHidden/>
              </w:rPr>
              <w:tab/>
            </w:r>
            <w:r w:rsidR="00FD14FF">
              <w:rPr>
                <w:noProof/>
                <w:webHidden/>
              </w:rPr>
              <w:fldChar w:fldCharType="begin"/>
            </w:r>
            <w:r w:rsidR="00FD14FF">
              <w:rPr>
                <w:noProof/>
                <w:webHidden/>
              </w:rPr>
              <w:instrText xml:space="preserve"> PAGEREF _Toc99385800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6BBA84A" w14:textId="4B840B30"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1"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個人向け</w:t>
            </w:r>
            <w:r w:rsidR="00FD14FF">
              <w:rPr>
                <w:noProof/>
                <w:webHidden/>
              </w:rPr>
              <w:tab/>
            </w:r>
            <w:r w:rsidR="00FD14FF">
              <w:rPr>
                <w:noProof/>
                <w:webHidden/>
              </w:rPr>
              <w:fldChar w:fldCharType="begin"/>
            </w:r>
            <w:r w:rsidR="00FD14FF">
              <w:rPr>
                <w:noProof/>
                <w:webHidden/>
              </w:rPr>
              <w:instrText xml:space="preserve"> PAGEREF _Toc99385801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7834132B" w14:textId="519D2FB7"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2"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法人向け</w:t>
            </w:r>
            <w:r w:rsidR="00FD14FF">
              <w:rPr>
                <w:noProof/>
                <w:webHidden/>
              </w:rPr>
              <w:tab/>
            </w:r>
            <w:r w:rsidR="00FD14FF">
              <w:rPr>
                <w:noProof/>
                <w:webHidden/>
              </w:rPr>
              <w:fldChar w:fldCharType="begin"/>
            </w:r>
            <w:r w:rsidR="00FD14FF">
              <w:rPr>
                <w:noProof/>
                <w:webHidden/>
              </w:rPr>
              <w:instrText xml:space="preserve"> PAGEREF _Toc99385802 \h </w:instrText>
            </w:r>
            <w:r w:rsidR="00FD14FF">
              <w:rPr>
                <w:noProof/>
                <w:webHidden/>
              </w:rPr>
            </w:r>
            <w:r w:rsidR="00FD14FF">
              <w:rPr>
                <w:noProof/>
                <w:webHidden/>
              </w:rPr>
              <w:fldChar w:fldCharType="separate"/>
            </w:r>
            <w:r w:rsidR="00FD14FF">
              <w:rPr>
                <w:noProof/>
                <w:webHidden/>
              </w:rPr>
              <w:t>11</w:t>
            </w:r>
            <w:r w:rsidR="00FD14FF">
              <w:rPr>
                <w:noProof/>
                <w:webHidden/>
              </w:rPr>
              <w:fldChar w:fldCharType="end"/>
            </w:r>
          </w:hyperlink>
        </w:p>
        <w:p w14:paraId="00D0553B" w14:textId="34116282" w:rsidR="00FD14FF" w:rsidRDefault="004067A4">
          <w:pPr>
            <w:pStyle w:val="11"/>
            <w:tabs>
              <w:tab w:val="left" w:pos="1050"/>
            </w:tabs>
            <w:rPr>
              <w:rFonts w:asciiTheme="minorHAnsi" w:eastAsiaTheme="minorEastAsia" w:hAnsiTheme="minorHAnsi" w:cstheme="minorBidi"/>
              <w:noProof/>
              <w:sz w:val="21"/>
            </w:rPr>
          </w:pPr>
          <w:hyperlink w:anchor="_Toc99385803" w:history="1">
            <w:r w:rsidR="00FD14FF" w:rsidRPr="001B5886">
              <w:rPr>
                <w:rStyle w:val="aff0"/>
                <w:noProof/>
              </w:rPr>
              <w:t>5</w:t>
            </w:r>
            <w:r w:rsidR="00FD14FF">
              <w:rPr>
                <w:rFonts w:asciiTheme="minorHAnsi" w:eastAsiaTheme="minorEastAsia" w:hAnsiTheme="minorHAnsi" w:cstheme="minorBidi"/>
                <w:noProof/>
                <w:sz w:val="21"/>
              </w:rPr>
              <w:tab/>
            </w:r>
            <w:r w:rsidR="00FD14FF" w:rsidRPr="001B5886">
              <w:rPr>
                <w:rStyle w:val="aff0"/>
                <w:noProof/>
              </w:rPr>
              <w:t>解説</w:t>
            </w:r>
            <w:r w:rsidR="00FD14FF">
              <w:rPr>
                <w:noProof/>
                <w:webHidden/>
              </w:rPr>
              <w:tab/>
            </w:r>
            <w:r w:rsidR="00FD14FF">
              <w:rPr>
                <w:noProof/>
                <w:webHidden/>
              </w:rPr>
              <w:fldChar w:fldCharType="begin"/>
            </w:r>
            <w:r w:rsidR="00FD14FF">
              <w:rPr>
                <w:noProof/>
                <w:webHidden/>
              </w:rPr>
              <w:instrText xml:space="preserve"> PAGEREF _Toc99385803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53626E9B" w14:textId="76DE465C"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804" w:history="1">
            <w:r w:rsidR="00FD14FF" w:rsidRPr="001B5886">
              <w:rPr>
                <w:rStyle w:val="aff0"/>
                <w:noProof/>
              </w:rPr>
              <w:t>5.1</w:t>
            </w:r>
            <w:r w:rsidR="00FD14FF">
              <w:rPr>
                <w:rFonts w:asciiTheme="minorHAnsi" w:eastAsiaTheme="minorEastAsia" w:hAnsiTheme="minorHAnsi" w:cstheme="minorBidi"/>
                <w:noProof/>
                <w:sz w:val="21"/>
              </w:rPr>
              <w:tab/>
            </w:r>
            <w:r w:rsidR="00FD14FF" w:rsidRPr="001B5886">
              <w:rPr>
                <w:rStyle w:val="aff0"/>
                <w:noProof/>
              </w:rPr>
              <w:t>データ標準</w:t>
            </w:r>
            <w:r w:rsidR="00FD14FF">
              <w:rPr>
                <w:noProof/>
                <w:webHidden/>
              </w:rPr>
              <w:tab/>
            </w:r>
            <w:r w:rsidR="00FD14FF">
              <w:rPr>
                <w:noProof/>
                <w:webHidden/>
              </w:rPr>
              <w:fldChar w:fldCharType="begin"/>
            </w:r>
            <w:r w:rsidR="00FD14FF">
              <w:rPr>
                <w:noProof/>
                <w:webHidden/>
              </w:rPr>
              <w:instrText xml:space="preserve"> PAGEREF _Toc99385804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23A16AA" w14:textId="10E55D21"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基準・証明データ</w:t>
            </w:r>
            <w:r w:rsidR="00FD14FF">
              <w:rPr>
                <w:noProof/>
                <w:webHidden/>
              </w:rPr>
              <w:tab/>
            </w:r>
            <w:r w:rsidR="00FD14FF">
              <w:rPr>
                <w:noProof/>
                <w:webHidden/>
              </w:rPr>
              <w:fldChar w:fldCharType="begin"/>
            </w:r>
            <w:r w:rsidR="00FD14FF">
              <w:rPr>
                <w:noProof/>
                <w:webHidden/>
              </w:rPr>
              <w:instrText xml:space="preserve"> PAGEREF _Toc99385805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9843B59" w14:textId="2F70C80C"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6"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資格証明データ</w:t>
            </w:r>
            <w:r w:rsidR="00FD14FF">
              <w:rPr>
                <w:noProof/>
                <w:webHidden/>
              </w:rPr>
              <w:tab/>
            </w:r>
            <w:r w:rsidR="00FD14FF">
              <w:rPr>
                <w:noProof/>
                <w:webHidden/>
              </w:rPr>
              <w:fldChar w:fldCharType="begin"/>
            </w:r>
            <w:r w:rsidR="00FD14FF">
              <w:rPr>
                <w:noProof/>
                <w:webHidden/>
              </w:rPr>
              <w:instrText xml:space="preserve"> PAGEREF _Toc99385806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30E572AB" w14:textId="321945A3" w:rsidR="00FD14FF" w:rsidRDefault="004067A4">
          <w:pPr>
            <w:pStyle w:val="11"/>
            <w:tabs>
              <w:tab w:val="left" w:pos="1050"/>
            </w:tabs>
            <w:rPr>
              <w:rFonts w:asciiTheme="minorHAnsi" w:eastAsiaTheme="minorEastAsia" w:hAnsiTheme="minorHAnsi" w:cstheme="minorBidi"/>
              <w:noProof/>
              <w:sz w:val="21"/>
            </w:rPr>
          </w:pPr>
          <w:hyperlink w:anchor="_Toc99385807" w:history="1">
            <w:r w:rsidR="00FD14FF" w:rsidRPr="001B5886">
              <w:rPr>
                <w:rStyle w:val="aff0"/>
                <w:noProof/>
              </w:rPr>
              <w:t>6</w:t>
            </w:r>
            <w:r w:rsidR="00FD14FF">
              <w:rPr>
                <w:rFonts w:asciiTheme="minorHAnsi" w:eastAsiaTheme="minorEastAsia" w:hAnsiTheme="minorHAnsi" w:cstheme="minorBidi"/>
                <w:noProof/>
                <w:sz w:val="21"/>
              </w:rPr>
              <w:tab/>
            </w:r>
            <w:r w:rsidR="00FD14FF" w:rsidRPr="001B5886">
              <w:rPr>
                <w:rStyle w:val="aff0"/>
                <w:noProof/>
              </w:rPr>
              <w:t>付録</w:t>
            </w:r>
            <w:r w:rsidR="00FD14FF">
              <w:rPr>
                <w:noProof/>
                <w:webHidden/>
              </w:rPr>
              <w:tab/>
            </w:r>
            <w:r w:rsidR="00FD14FF">
              <w:rPr>
                <w:noProof/>
                <w:webHidden/>
              </w:rPr>
              <w:fldChar w:fldCharType="begin"/>
            </w:r>
            <w:r w:rsidR="00FD14FF">
              <w:rPr>
                <w:noProof/>
                <w:webHidden/>
              </w:rPr>
              <w:instrText xml:space="preserve"> PAGEREF _Toc99385807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6D6CD078" w14:textId="7CDD3066" w:rsidR="00FD14FF" w:rsidRDefault="004067A4">
          <w:pPr>
            <w:pStyle w:val="11"/>
            <w:tabs>
              <w:tab w:val="left" w:pos="1050"/>
            </w:tabs>
            <w:rPr>
              <w:rFonts w:asciiTheme="minorHAnsi" w:eastAsiaTheme="minorEastAsia" w:hAnsiTheme="minorHAnsi" w:cstheme="minorBidi"/>
              <w:noProof/>
              <w:sz w:val="21"/>
            </w:rPr>
          </w:pPr>
          <w:hyperlink w:anchor="_Toc99385808" w:history="1">
            <w:r w:rsidR="00FD14FF" w:rsidRPr="001B5886">
              <w:rPr>
                <w:rStyle w:val="aff0"/>
                <w:noProof/>
              </w:rPr>
              <w:t>7</w:t>
            </w:r>
            <w:r w:rsidR="00FD14FF">
              <w:rPr>
                <w:rFonts w:asciiTheme="minorHAnsi" w:eastAsiaTheme="minorEastAsia" w:hAnsiTheme="minorHAnsi" w:cstheme="minorBidi"/>
                <w:noProof/>
                <w:sz w:val="21"/>
              </w:rPr>
              <w:tab/>
            </w:r>
            <w:r w:rsidR="00FD14FF" w:rsidRPr="001B5886">
              <w:rPr>
                <w:rStyle w:val="aff0"/>
                <w:noProof/>
              </w:rPr>
              <w:t>変更履歴</w:t>
            </w:r>
            <w:r w:rsidR="00FD14FF">
              <w:rPr>
                <w:noProof/>
                <w:webHidden/>
              </w:rPr>
              <w:tab/>
            </w:r>
            <w:r w:rsidR="00FD14FF">
              <w:rPr>
                <w:noProof/>
                <w:webHidden/>
              </w:rPr>
              <w:fldChar w:fldCharType="begin"/>
            </w:r>
            <w:r w:rsidR="00FD14FF">
              <w:rPr>
                <w:noProof/>
                <w:webHidden/>
              </w:rPr>
              <w:instrText xml:space="preserve"> PAGEREF _Toc99385808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4C0AA136" w14:textId="02866BB2"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9938578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9938578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6A6A3219">
            <wp:extent cx="4901609" cy="13201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1609" cy="1320165"/>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F10CBDA">
            <wp:extent cx="5221633" cy="2286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24" cy="2298429"/>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lastRenderedPageBreak/>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9938578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9938578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w:t>
      </w:r>
      <w:r w:rsidR="00642D3A">
        <w:rPr>
          <w:rFonts w:hint="eastAsia"/>
        </w:rPr>
        <w:lastRenderedPageBreak/>
        <w:t>どこからでも取得可能で複製も可能なことから、取得に関する人件費はもちろんのこと、証明書費用、送料等の直接費用も削減することができます。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99385789"/>
      <w:r>
        <w:rPr>
          <w:rFonts w:hint="eastAsia"/>
        </w:rPr>
        <w:t>目的と概要</w:t>
      </w:r>
      <w:bookmarkEnd w:id="17"/>
    </w:p>
    <w:p w14:paraId="6A496B30" w14:textId="2A9FD27B" w:rsidR="00223F9B" w:rsidRDefault="003C7420" w:rsidP="0065592D">
      <w:pPr>
        <w:pStyle w:val="2"/>
      </w:pPr>
      <w:bookmarkStart w:id="18" w:name="_Toc9938579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99385791"/>
      <w:bookmarkStart w:id="22" w:name="_Toc10185902"/>
      <w:bookmarkEnd w:id="19"/>
      <w:bookmarkEnd w:id="20"/>
      <w:r>
        <w:rPr>
          <w:rFonts w:hint="eastAsia"/>
        </w:rPr>
        <w:lastRenderedPageBreak/>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99385792"/>
      <w:r>
        <w:rPr>
          <w:rFonts w:hint="eastAsia"/>
        </w:rPr>
        <w:lastRenderedPageBreak/>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9938579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9938579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21194E6E" w:rsidR="00FE715E" w:rsidRDefault="00FE715E" w:rsidP="00FE715E">
      <w:pPr>
        <w:pStyle w:val="afa"/>
        <w:spacing w:before="360"/>
      </w:pPr>
      <w:r>
        <w:rPr>
          <w:noProof/>
        </w:rPr>
        <w:lastRenderedPageBreak/>
        <w:drawing>
          <wp:inline distT="0" distB="0" distL="0" distR="0" wp14:anchorId="62E29579" wp14:editId="147BA7FE">
            <wp:extent cx="5400040" cy="6780362"/>
            <wp:effectExtent l="0" t="0" r="0" b="1905"/>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780362"/>
                    </a:xfrm>
                    <a:prstGeom prst="rect">
                      <a:avLst/>
                    </a:prstGeom>
                    <a:ln>
                      <a:noFill/>
                    </a:ln>
                    <a:extLst>
                      <a:ext uri="{53640926-AAD7-44D8-BBD7-CCE9431645EC}">
                        <a14:shadowObscured xmlns:a14="http://schemas.microsoft.com/office/drawing/2010/main"/>
                      </a:ext>
                    </a:extLst>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9938579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lastRenderedPageBreak/>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9938579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lastRenderedPageBreak/>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99385797"/>
      <w:r>
        <w:rPr>
          <w:rFonts w:hint="eastAsia"/>
        </w:rPr>
        <w:t>機能イメージ</w:t>
      </w:r>
      <w:bookmarkEnd w:id="29"/>
    </w:p>
    <w:p w14:paraId="72738FF8" w14:textId="6B421DA6" w:rsidR="00AA5FC5" w:rsidRDefault="00074D7F" w:rsidP="00D15E6E">
      <w:pPr>
        <w:pStyle w:val="3"/>
      </w:pPr>
      <w:bookmarkStart w:id="30" w:name="_Toc9938579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証明書番号などを基に確認しに行く方式があります。</w:t>
      </w:r>
    </w:p>
    <w:p w14:paraId="415A4DDD" w14:textId="0D4B1A55" w:rsidR="00074D7F" w:rsidRDefault="00074D7F" w:rsidP="00D15E6E">
      <w:pPr>
        <w:pStyle w:val="3"/>
      </w:pPr>
      <w:bookmarkStart w:id="31" w:name="_Toc9938579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99385800"/>
      <w:r>
        <w:rPr>
          <w:rFonts w:hint="eastAsia"/>
        </w:rPr>
        <w:t>サービスイメージ</w:t>
      </w:r>
      <w:bookmarkEnd w:id="32"/>
    </w:p>
    <w:p w14:paraId="619FA0F7" w14:textId="357771E4" w:rsidR="00091F72" w:rsidRDefault="00091F72" w:rsidP="00D15E6E">
      <w:pPr>
        <w:pStyle w:val="3"/>
      </w:pPr>
      <w:bookmarkStart w:id="33" w:name="_Toc9938580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w:t>
      </w:r>
      <w:r w:rsidR="007F4CD1" w:rsidRPr="001B49E9">
        <w:rPr>
          <w:rFonts w:hint="eastAsia"/>
        </w:rPr>
        <w:lastRenderedPageBreak/>
        <w:t>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9938580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99385803"/>
      <w:r>
        <w:rPr>
          <w:rFonts w:hint="eastAsia"/>
        </w:rPr>
        <w:lastRenderedPageBreak/>
        <w:t>解説</w:t>
      </w:r>
      <w:bookmarkEnd w:id="35"/>
    </w:p>
    <w:p w14:paraId="29C3BDA5" w14:textId="5A68396E" w:rsidR="00C91E9F" w:rsidRDefault="00C91E9F" w:rsidP="0065592D">
      <w:pPr>
        <w:pStyle w:val="2"/>
      </w:pPr>
      <w:bookmarkStart w:id="36" w:name="_Toc16754054"/>
      <w:bookmarkStart w:id="37" w:name="_Toc99385804"/>
      <w:bookmarkEnd w:id="36"/>
      <w:r>
        <w:rPr>
          <w:rFonts w:hint="eastAsia"/>
        </w:rPr>
        <w:t>データ標準</w:t>
      </w:r>
      <w:bookmarkEnd w:id="37"/>
    </w:p>
    <w:p w14:paraId="08C04CE3" w14:textId="026550C8" w:rsidR="00A209CD" w:rsidRDefault="00BA0169" w:rsidP="00D15E6E">
      <w:pPr>
        <w:pStyle w:val="3"/>
      </w:pPr>
      <w:bookmarkStart w:id="38" w:name="_Toc9938580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proofErr w:type="spellStart"/>
            <w:r>
              <w:rPr>
                <w:rFonts w:hint="eastAsia"/>
              </w:rPr>
              <w:t>FomalFramework</w:t>
            </w:r>
            <w:proofErr w:type="spellEnd"/>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proofErr w:type="spellStart"/>
            <w:r>
              <w:rPr>
                <w:rFonts w:hint="eastAsia"/>
              </w:rPr>
              <w:t>RequirmentGroup</w:t>
            </w:r>
            <w:proofErr w:type="spellEnd"/>
          </w:p>
          <w:p w14:paraId="72181ED3" w14:textId="11F93374" w:rsidR="006B63FC" w:rsidRDefault="006B63FC" w:rsidP="00C837E2">
            <w:pPr>
              <w:pStyle w:val="affa"/>
            </w:pPr>
            <w:proofErr w:type="spellStart"/>
            <w:r>
              <w:rPr>
                <w:rFonts w:hint="eastAsia"/>
              </w:rPr>
              <w:t>CriterionRequirment</w:t>
            </w:r>
            <w:proofErr w:type="spellEnd"/>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proofErr w:type="spellStart"/>
            <w:r>
              <w:rPr>
                <w:rFonts w:hint="eastAsia"/>
              </w:rPr>
              <w:t>RequirementResponce</w:t>
            </w:r>
            <w:proofErr w:type="spellEnd"/>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t>参照資料</w:t>
            </w:r>
          </w:p>
        </w:tc>
        <w:tc>
          <w:tcPr>
            <w:tcW w:w="4247" w:type="dxa"/>
          </w:tcPr>
          <w:p w14:paraId="3115A6BA" w14:textId="77777777" w:rsidR="00E35513" w:rsidRDefault="003931B4" w:rsidP="00C837E2">
            <w:pPr>
              <w:pStyle w:val="affa"/>
            </w:pPr>
            <w:r>
              <w:rPr>
                <w:rFonts w:hint="eastAsia"/>
              </w:rPr>
              <w:t>Evidence</w:t>
            </w:r>
          </w:p>
          <w:p w14:paraId="361CF368" w14:textId="553D3FF4" w:rsidR="003931B4" w:rsidRDefault="009539FA" w:rsidP="00C837E2">
            <w:pPr>
              <w:pStyle w:val="affa"/>
            </w:pPr>
            <w:proofErr w:type="spellStart"/>
            <w:r>
              <w:rPr>
                <w:rFonts w:hint="eastAsia"/>
              </w:rPr>
              <w:t>DocumentReference</w:t>
            </w:r>
            <w:proofErr w:type="spellEnd"/>
          </w:p>
        </w:tc>
      </w:tr>
      <w:tr w:rsidR="00E35513" w14:paraId="313EA448" w14:textId="77777777" w:rsidTr="00C837E2">
        <w:tc>
          <w:tcPr>
            <w:tcW w:w="3826" w:type="dxa"/>
          </w:tcPr>
          <w:p w14:paraId="552BEDE8" w14:textId="3F144E70" w:rsidR="00E35513" w:rsidRDefault="009539FA" w:rsidP="00C837E2">
            <w:pPr>
              <w:pStyle w:val="affa"/>
            </w:pPr>
            <w:r>
              <w:rPr>
                <w:rFonts w:hint="eastAsia"/>
              </w:rPr>
              <w:t>証明期間</w:t>
            </w:r>
          </w:p>
        </w:tc>
        <w:tc>
          <w:tcPr>
            <w:tcW w:w="4247" w:type="dxa"/>
          </w:tcPr>
          <w:p w14:paraId="1152D193" w14:textId="7F49C124" w:rsidR="00E35513" w:rsidRDefault="009539FA" w:rsidP="00C837E2">
            <w:pPr>
              <w:pStyle w:val="affa"/>
            </w:pPr>
            <w:proofErr w:type="spellStart"/>
            <w:r>
              <w:rPr>
                <w:rFonts w:hint="eastAsia"/>
              </w:rPr>
              <w:t>PriodOfTime</w:t>
            </w:r>
            <w:proofErr w:type="spellEnd"/>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9938580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637D3227" w14:textId="77777777" w:rsidR="0078742C" w:rsidRDefault="0078742C">
      <w:pPr>
        <w:widowControl/>
        <w:ind w:leftChars="0" w:left="0" w:firstLine="0"/>
        <w:jc w:val="left"/>
        <w:rPr>
          <w:rFonts w:ascii="ＭＳ ゴシック" w:eastAsia="ＭＳ ゴシック" w:hAnsi="ＭＳ ゴシック"/>
          <w:bCs/>
          <w:szCs w:val="21"/>
        </w:rPr>
      </w:pPr>
      <w:r>
        <w:br w:type="page"/>
      </w:r>
    </w:p>
    <w:p w14:paraId="1C473CEB" w14:textId="00C6BE3F" w:rsidR="00994400" w:rsidRDefault="00994400" w:rsidP="00994400">
      <w:pPr>
        <w:pStyle w:val="afa"/>
        <w:spacing w:before="360"/>
      </w:pPr>
      <w:r>
        <w:rPr>
          <w:rFonts w:hint="eastAsia"/>
        </w:rPr>
        <w:lastRenderedPageBreak/>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proofErr w:type="spellStart"/>
            <w:r>
              <w:rPr>
                <w:rFonts w:hint="eastAsia"/>
              </w:rPr>
              <w:t>RequirementResponce</w:t>
            </w:r>
            <w:proofErr w:type="spellEnd"/>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proofErr w:type="spellStart"/>
            <w:r>
              <w:t>IssuedOn</w:t>
            </w:r>
            <w:proofErr w:type="spellEnd"/>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9938580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9938580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1903"/>
        <w:gridCol w:w="1985"/>
        <w:gridCol w:w="4246"/>
      </w:tblGrid>
      <w:tr w:rsidR="0043764D" w14:paraId="60EC296A" w14:textId="77777777" w:rsidTr="00415980">
        <w:tc>
          <w:tcPr>
            <w:tcW w:w="1903" w:type="dxa"/>
            <w:shd w:val="clear" w:color="auto" w:fill="DBE5F1" w:themeFill="accent1" w:themeFillTint="33"/>
          </w:tcPr>
          <w:p w14:paraId="1DA4060D" w14:textId="6CBAA3E7" w:rsidR="0043764D" w:rsidRPr="00415980" w:rsidRDefault="00415980" w:rsidP="00415980">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3888F2B2" w14:textId="6CDFBDDB" w:rsidR="0043764D" w:rsidRPr="00415980" w:rsidRDefault="00415980" w:rsidP="00415980">
            <w:pPr>
              <w:ind w:leftChars="0" w:left="0" w:firstLine="0"/>
              <w:jc w:val="center"/>
              <w:rPr>
                <w:sz w:val="18"/>
                <w:szCs w:val="18"/>
              </w:rPr>
            </w:pPr>
            <w:r>
              <w:rPr>
                <w:rFonts w:hint="eastAsia"/>
                <w:sz w:val="18"/>
                <w:szCs w:val="18"/>
              </w:rPr>
              <w:t>改定箇所</w:t>
            </w:r>
          </w:p>
        </w:tc>
        <w:tc>
          <w:tcPr>
            <w:tcW w:w="4246" w:type="dxa"/>
            <w:shd w:val="clear" w:color="auto" w:fill="DBE5F1" w:themeFill="accent1" w:themeFillTint="33"/>
          </w:tcPr>
          <w:p w14:paraId="78D3658F" w14:textId="4A9D7449" w:rsidR="0043764D" w:rsidRPr="00415980" w:rsidRDefault="00415980" w:rsidP="00415980">
            <w:pPr>
              <w:ind w:leftChars="0" w:left="0" w:firstLine="0"/>
              <w:jc w:val="center"/>
              <w:rPr>
                <w:sz w:val="18"/>
                <w:szCs w:val="18"/>
              </w:rPr>
            </w:pPr>
            <w:r>
              <w:rPr>
                <w:rFonts w:hint="eastAsia"/>
                <w:sz w:val="18"/>
                <w:szCs w:val="18"/>
              </w:rPr>
              <w:t>改定</w:t>
            </w:r>
            <w:r w:rsidR="0043764D" w:rsidRPr="00415980">
              <w:rPr>
                <w:rFonts w:hint="eastAsia"/>
                <w:sz w:val="18"/>
                <w:szCs w:val="18"/>
              </w:rPr>
              <w:t>内容</w:t>
            </w:r>
          </w:p>
        </w:tc>
      </w:tr>
      <w:tr w:rsidR="0043764D" w14:paraId="6E15B016" w14:textId="77777777" w:rsidTr="00415980">
        <w:tc>
          <w:tcPr>
            <w:tcW w:w="1903" w:type="dxa"/>
          </w:tcPr>
          <w:p w14:paraId="5EFDBB1F"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022</w:t>
            </w:r>
            <w:r w:rsidRPr="00415980">
              <w:rPr>
                <w:rFonts w:hint="eastAsia"/>
                <w:sz w:val="18"/>
                <w:szCs w:val="18"/>
              </w:rPr>
              <w:t>年3月3</w:t>
            </w:r>
            <w:r w:rsidRPr="00415980">
              <w:rPr>
                <w:sz w:val="18"/>
                <w:szCs w:val="18"/>
              </w:rPr>
              <w:t>1</w:t>
            </w:r>
            <w:r w:rsidRPr="00415980">
              <w:rPr>
                <w:rFonts w:hint="eastAsia"/>
                <w:sz w:val="18"/>
                <w:szCs w:val="18"/>
              </w:rPr>
              <w:t>日</w:t>
            </w:r>
          </w:p>
        </w:tc>
        <w:tc>
          <w:tcPr>
            <w:tcW w:w="1985" w:type="dxa"/>
          </w:tcPr>
          <w:p w14:paraId="47007884" w14:textId="77777777" w:rsidR="0043764D" w:rsidRPr="00415980" w:rsidRDefault="0043764D" w:rsidP="00CA32F0">
            <w:pPr>
              <w:ind w:leftChars="0" w:left="0" w:firstLine="0"/>
              <w:rPr>
                <w:sz w:val="18"/>
                <w:szCs w:val="18"/>
              </w:rPr>
            </w:pPr>
            <w:r w:rsidRPr="00415980">
              <w:rPr>
                <w:rFonts w:hint="eastAsia"/>
                <w:sz w:val="18"/>
                <w:szCs w:val="18"/>
              </w:rPr>
              <w:t>全体</w:t>
            </w:r>
          </w:p>
        </w:tc>
        <w:tc>
          <w:tcPr>
            <w:tcW w:w="4246" w:type="dxa"/>
          </w:tcPr>
          <w:p w14:paraId="781C3B23" w14:textId="77777777" w:rsidR="0043764D" w:rsidRPr="00415980" w:rsidRDefault="0043764D" w:rsidP="00CA32F0">
            <w:pPr>
              <w:ind w:leftChars="0" w:left="0" w:firstLine="0"/>
              <w:rPr>
                <w:sz w:val="18"/>
                <w:szCs w:val="18"/>
              </w:rPr>
            </w:pPr>
            <w:r w:rsidRPr="00415980">
              <w:rPr>
                <w:rFonts w:hint="eastAsia"/>
                <w:sz w:val="18"/>
                <w:szCs w:val="18"/>
              </w:rPr>
              <w:t>正式版決定</w:t>
            </w:r>
          </w:p>
        </w:tc>
      </w:tr>
      <w:tr w:rsidR="0043764D" w14:paraId="225FA826" w14:textId="77777777" w:rsidTr="00415980">
        <w:tc>
          <w:tcPr>
            <w:tcW w:w="1903" w:type="dxa"/>
          </w:tcPr>
          <w:p w14:paraId="51113E4B"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021</w:t>
            </w:r>
            <w:r w:rsidRPr="00415980">
              <w:rPr>
                <w:rFonts w:hint="eastAsia"/>
                <w:sz w:val="18"/>
                <w:szCs w:val="18"/>
              </w:rPr>
              <w:t>年6月</w:t>
            </w:r>
            <w:r w:rsidRPr="00415980">
              <w:rPr>
                <w:sz w:val="18"/>
                <w:szCs w:val="18"/>
              </w:rPr>
              <w:t>4</w:t>
            </w:r>
            <w:r w:rsidRPr="00415980">
              <w:rPr>
                <w:rFonts w:hint="eastAsia"/>
                <w:sz w:val="18"/>
                <w:szCs w:val="18"/>
              </w:rPr>
              <w:t>日</w:t>
            </w:r>
          </w:p>
        </w:tc>
        <w:tc>
          <w:tcPr>
            <w:tcW w:w="1985" w:type="dxa"/>
          </w:tcPr>
          <w:p w14:paraId="1D8F984B" w14:textId="773ABDFB" w:rsidR="0043764D" w:rsidRPr="00415980" w:rsidRDefault="00415980" w:rsidP="00CA32F0">
            <w:pPr>
              <w:ind w:leftChars="0" w:left="0" w:firstLine="0"/>
              <w:rPr>
                <w:sz w:val="18"/>
                <w:szCs w:val="18"/>
              </w:rPr>
            </w:pPr>
            <w:r>
              <w:rPr>
                <w:rFonts w:hint="eastAsia"/>
                <w:sz w:val="18"/>
                <w:szCs w:val="18"/>
              </w:rPr>
              <w:t>-</w:t>
            </w:r>
          </w:p>
        </w:tc>
        <w:tc>
          <w:tcPr>
            <w:tcW w:w="4246" w:type="dxa"/>
          </w:tcPr>
          <w:p w14:paraId="28D22EF1" w14:textId="77777777" w:rsidR="0043764D" w:rsidRPr="00415980" w:rsidRDefault="0043764D" w:rsidP="00CA32F0">
            <w:pPr>
              <w:ind w:leftChars="0" w:left="0" w:firstLine="0"/>
              <w:rPr>
                <w:sz w:val="18"/>
                <w:szCs w:val="18"/>
              </w:rPr>
            </w:pPr>
            <w:r w:rsidRPr="00415980">
              <w:rPr>
                <w:rFonts w:hint="eastAsia"/>
                <w:sz w:val="18"/>
                <w:szCs w:val="18"/>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21"/>
      <w:footerReference w:type="defaul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F24C" w14:textId="77777777" w:rsidR="004067A4" w:rsidRDefault="004067A4" w:rsidP="0065592D">
      <w:r>
        <w:separator/>
      </w:r>
    </w:p>
  </w:endnote>
  <w:endnote w:type="continuationSeparator" w:id="0">
    <w:p w14:paraId="382FB400" w14:textId="77777777" w:rsidR="004067A4" w:rsidRDefault="004067A4" w:rsidP="0065592D">
      <w:r>
        <w:continuationSeparator/>
      </w:r>
    </w:p>
  </w:endnote>
  <w:endnote w:type="continuationNotice" w:id="1">
    <w:p w14:paraId="781E5602" w14:textId="77777777" w:rsidR="004067A4" w:rsidRDefault="004067A4"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65592D">
        <w:pPr>
          <w:pStyle w:val="aa"/>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AD7C" w14:textId="77777777" w:rsidR="004067A4" w:rsidRDefault="004067A4" w:rsidP="0065592D">
      <w:r>
        <w:separator/>
      </w:r>
    </w:p>
  </w:footnote>
  <w:footnote w:type="continuationSeparator" w:id="0">
    <w:p w14:paraId="3BDAD2E9" w14:textId="77777777" w:rsidR="004067A4" w:rsidRDefault="004067A4" w:rsidP="0065592D">
      <w:r>
        <w:continuationSeparator/>
      </w:r>
    </w:p>
  </w:footnote>
  <w:footnote w:type="continuationNotice" w:id="1">
    <w:p w14:paraId="4D678857" w14:textId="77777777" w:rsidR="004067A4" w:rsidRDefault="004067A4"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661A88BD" w:rsidR="00D75EE7" w:rsidRDefault="00D75EE7" w:rsidP="009052A4">
      <w:pPr>
        <w:pStyle w:val="a1"/>
        <w:ind w:firstLineChars="0" w:firstLine="0"/>
        <w:jc w:val="left"/>
      </w:pPr>
      <w:r>
        <w:rPr>
          <w:rStyle w:val="aff3"/>
        </w:rPr>
        <w:footnoteRef/>
      </w:r>
      <w:r w:rsidR="0078742C">
        <w:t xml:space="preserve"> </w:t>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A41B20">
      <w:pPr>
        <w:pStyle w:val="aff1"/>
        <w:ind w:leftChars="0" w:left="0" w:firstLine="0"/>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3332D"/>
    <w:rsid w:val="000358BA"/>
    <w:rsid w:val="000373F6"/>
    <w:rsid w:val="00037735"/>
    <w:rsid w:val="00037EDA"/>
    <w:rsid w:val="00041ACE"/>
    <w:rsid w:val="00044DE0"/>
    <w:rsid w:val="00046DF7"/>
    <w:rsid w:val="000527C3"/>
    <w:rsid w:val="00054BA5"/>
    <w:rsid w:val="00057D62"/>
    <w:rsid w:val="00060048"/>
    <w:rsid w:val="000664E1"/>
    <w:rsid w:val="000666D0"/>
    <w:rsid w:val="00074D7F"/>
    <w:rsid w:val="0007565B"/>
    <w:rsid w:val="00091F72"/>
    <w:rsid w:val="00096FDE"/>
    <w:rsid w:val="00097BF6"/>
    <w:rsid w:val="000A1E09"/>
    <w:rsid w:val="000A7C5E"/>
    <w:rsid w:val="000B156B"/>
    <w:rsid w:val="000B1AAA"/>
    <w:rsid w:val="000C04A1"/>
    <w:rsid w:val="000C0AFD"/>
    <w:rsid w:val="000C114D"/>
    <w:rsid w:val="000C4BCA"/>
    <w:rsid w:val="000C5ADF"/>
    <w:rsid w:val="000D20FF"/>
    <w:rsid w:val="000D5ACF"/>
    <w:rsid w:val="000E2F30"/>
    <w:rsid w:val="000E50C3"/>
    <w:rsid w:val="000E5367"/>
    <w:rsid w:val="000E686C"/>
    <w:rsid w:val="000E767D"/>
    <w:rsid w:val="000F05C1"/>
    <w:rsid w:val="000F3713"/>
    <w:rsid w:val="000F4C04"/>
    <w:rsid w:val="000F5810"/>
    <w:rsid w:val="00101814"/>
    <w:rsid w:val="0011109A"/>
    <w:rsid w:val="001118D2"/>
    <w:rsid w:val="00115827"/>
    <w:rsid w:val="001210EE"/>
    <w:rsid w:val="001223FD"/>
    <w:rsid w:val="0012243E"/>
    <w:rsid w:val="001242CB"/>
    <w:rsid w:val="00124407"/>
    <w:rsid w:val="00125117"/>
    <w:rsid w:val="00131553"/>
    <w:rsid w:val="00134822"/>
    <w:rsid w:val="001353DC"/>
    <w:rsid w:val="00140E98"/>
    <w:rsid w:val="00143ACA"/>
    <w:rsid w:val="00145D13"/>
    <w:rsid w:val="00147E22"/>
    <w:rsid w:val="00150A1A"/>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436C"/>
    <w:rsid w:val="00195DB3"/>
    <w:rsid w:val="001A002D"/>
    <w:rsid w:val="001A264B"/>
    <w:rsid w:val="001A37B4"/>
    <w:rsid w:val="001A7553"/>
    <w:rsid w:val="001B49E9"/>
    <w:rsid w:val="001B6300"/>
    <w:rsid w:val="001C6FA6"/>
    <w:rsid w:val="001D1410"/>
    <w:rsid w:val="001D3222"/>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73C2"/>
    <w:rsid w:val="002A139D"/>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7420"/>
    <w:rsid w:val="003D3DF9"/>
    <w:rsid w:val="003E0016"/>
    <w:rsid w:val="003E1326"/>
    <w:rsid w:val="003E674F"/>
    <w:rsid w:val="003F4B71"/>
    <w:rsid w:val="003F7562"/>
    <w:rsid w:val="00401052"/>
    <w:rsid w:val="004013A5"/>
    <w:rsid w:val="00404206"/>
    <w:rsid w:val="00404612"/>
    <w:rsid w:val="004067A4"/>
    <w:rsid w:val="00406E55"/>
    <w:rsid w:val="00415463"/>
    <w:rsid w:val="00415980"/>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F2C"/>
    <w:rsid w:val="0075216B"/>
    <w:rsid w:val="00754B05"/>
    <w:rsid w:val="007624D6"/>
    <w:rsid w:val="00763C02"/>
    <w:rsid w:val="00764EC9"/>
    <w:rsid w:val="00765195"/>
    <w:rsid w:val="0076665D"/>
    <w:rsid w:val="007703B7"/>
    <w:rsid w:val="0077099D"/>
    <w:rsid w:val="007727EC"/>
    <w:rsid w:val="0077487E"/>
    <w:rsid w:val="00777802"/>
    <w:rsid w:val="00782F72"/>
    <w:rsid w:val="00783356"/>
    <w:rsid w:val="00784943"/>
    <w:rsid w:val="0078742C"/>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7DA2"/>
    <w:rsid w:val="008B4D51"/>
    <w:rsid w:val="008C0503"/>
    <w:rsid w:val="008C2CEC"/>
    <w:rsid w:val="008D1E0C"/>
    <w:rsid w:val="008D21EA"/>
    <w:rsid w:val="008D71F6"/>
    <w:rsid w:val="008E2275"/>
    <w:rsid w:val="008E2BE4"/>
    <w:rsid w:val="008E4A61"/>
    <w:rsid w:val="008E4B01"/>
    <w:rsid w:val="008E4B9C"/>
    <w:rsid w:val="008E4F09"/>
    <w:rsid w:val="008F38E1"/>
    <w:rsid w:val="009052A4"/>
    <w:rsid w:val="0090734F"/>
    <w:rsid w:val="00907E7A"/>
    <w:rsid w:val="00910148"/>
    <w:rsid w:val="009123A5"/>
    <w:rsid w:val="00916B80"/>
    <w:rsid w:val="00916CE9"/>
    <w:rsid w:val="0091707B"/>
    <w:rsid w:val="00920F00"/>
    <w:rsid w:val="009221EA"/>
    <w:rsid w:val="00924009"/>
    <w:rsid w:val="00926EC2"/>
    <w:rsid w:val="009305A3"/>
    <w:rsid w:val="00937C40"/>
    <w:rsid w:val="009409D3"/>
    <w:rsid w:val="0094223C"/>
    <w:rsid w:val="00951ACB"/>
    <w:rsid w:val="00951F5D"/>
    <w:rsid w:val="009539F2"/>
    <w:rsid w:val="009539FA"/>
    <w:rsid w:val="009549F3"/>
    <w:rsid w:val="00955BC2"/>
    <w:rsid w:val="009602D2"/>
    <w:rsid w:val="00960D6C"/>
    <w:rsid w:val="00960F23"/>
    <w:rsid w:val="00961B8A"/>
    <w:rsid w:val="009630A2"/>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C0E95"/>
    <w:rsid w:val="009C6603"/>
    <w:rsid w:val="009D17C1"/>
    <w:rsid w:val="009D4FF6"/>
    <w:rsid w:val="009E19E1"/>
    <w:rsid w:val="009E437A"/>
    <w:rsid w:val="009E480A"/>
    <w:rsid w:val="009E77C7"/>
    <w:rsid w:val="009E77F3"/>
    <w:rsid w:val="009F4524"/>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1B20"/>
    <w:rsid w:val="00A424B1"/>
    <w:rsid w:val="00A4285D"/>
    <w:rsid w:val="00A44F8D"/>
    <w:rsid w:val="00A50A86"/>
    <w:rsid w:val="00A52EC4"/>
    <w:rsid w:val="00A549F8"/>
    <w:rsid w:val="00A55E22"/>
    <w:rsid w:val="00A60890"/>
    <w:rsid w:val="00A62CEE"/>
    <w:rsid w:val="00A63116"/>
    <w:rsid w:val="00A63321"/>
    <w:rsid w:val="00A651FF"/>
    <w:rsid w:val="00A664E8"/>
    <w:rsid w:val="00A66597"/>
    <w:rsid w:val="00A72228"/>
    <w:rsid w:val="00A72DD3"/>
    <w:rsid w:val="00A7491F"/>
    <w:rsid w:val="00A7518D"/>
    <w:rsid w:val="00A77AEA"/>
    <w:rsid w:val="00A811E9"/>
    <w:rsid w:val="00A878A1"/>
    <w:rsid w:val="00A9168C"/>
    <w:rsid w:val="00A928E7"/>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E39"/>
    <w:rsid w:val="00CB65E8"/>
    <w:rsid w:val="00CC37AC"/>
    <w:rsid w:val="00CD0D8C"/>
    <w:rsid w:val="00CD0D90"/>
    <w:rsid w:val="00CD105F"/>
    <w:rsid w:val="00CD1786"/>
    <w:rsid w:val="00CD3878"/>
    <w:rsid w:val="00CD602C"/>
    <w:rsid w:val="00CE2903"/>
    <w:rsid w:val="00CE4349"/>
    <w:rsid w:val="00CE54D4"/>
    <w:rsid w:val="00CE7A69"/>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C1D7B"/>
    <w:rsid w:val="00ED1DB2"/>
    <w:rsid w:val="00ED336A"/>
    <w:rsid w:val="00EE0392"/>
    <w:rsid w:val="00EE1A54"/>
    <w:rsid w:val="00EE1D48"/>
    <w:rsid w:val="00EE2AE0"/>
    <w:rsid w:val="00EE33E8"/>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customXml/itemProps2.xml><?xml version="1.0" encoding="utf-8"?>
<ds:datastoreItem xmlns:ds="http://schemas.openxmlformats.org/officeDocument/2006/customXml" ds:itemID="{7CF0DB96-F915-4227-87C3-D68D5D9DFC6B}"/>
</file>

<file path=customXml/itemProps3.xml><?xml version="1.0" encoding="utf-8"?>
<ds:datastoreItem xmlns:ds="http://schemas.openxmlformats.org/officeDocument/2006/customXml" ds:itemID="{8E442A67-CDFD-49A3-A98C-9A3B7CA3954B}">
  <ds:schemaRefs>
    <ds:schemaRef ds:uri="http://schemas.microsoft.com/sharepoint/v3/contenttype/forms"/>
  </ds:schemaRefs>
</ds:datastoreItem>
</file>

<file path=customXml/itemProps4.xml><?xml version="1.0" encoding="utf-8"?>
<ds:datastoreItem xmlns:ds="http://schemas.openxmlformats.org/officeDocument/2006/customXml" ds:itemID="{26BA6FB7-AC72-45C7-8C67-0F38D6D71DF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917</Words>
  <Characters>5232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2022-09-02T10:35:00Z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b1f90271-23e4-40f9-bf91-5d33ced97462</vt:lpwstr>
  </property>
</Properties>
</file>