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006F076F">
        <w:tc>
          <w:tcPr>
            <w:tcW w:w="1479" w:type="dxa"/>
            <w:shd w:val="clear" w:color="auto" w:fill="DBE5F1" w:themeFill="accent1" w:themeFillTint="33"/>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DBE5F1" w:themeFill="accent1" w:themeFillTint="33"/>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DBE5F1" w:themeFill="accent1" w:themeFillTint="33"/>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1071E1" w14:paraId="24F5FF78" w14:textId="77777777" w:rsidTr="7B2FFCB7">
        <w:tc>
          <w:tcPr>
            <w:tcW w:w="1479" w:type="dxa"/>
          </w:tcPr>
          <w:p w14:paraId="3208D98C" w14:textId="400D1971" w:rsidR="001071E1" w:rsidRDefault="001071E1" w:rsidP="001071E1">
            <w:pPr>
              <w:kinsoku w:val="0"/>
              <w:autoSpaceDE w:val="0"/>
              <w:autoSpaceDN w:val="0"/>
              <w:rPr>
                <w:sz w:val="18"/>
                <w:szCs w:val="18"/>
              </w:rPr>
            </w:pPr>
            <w:r>
              <w:rPr>
                <w:rFonts w:hint="eastAsia"/>
                <w:sz w:val="18"/>
                <w:szCs w:val="18"/>
              </w:rPr>
              <w:t>20</w:t>
            </w:r>
            <w:r>
              <w:rPr>
                <w:sz w:val="18"/>
                <w:szCs w:val="18"/>
              </w:rPr>
              <w:t>22</w:t>
            </w:r>
            <w:r>
              <w:rPr>
                <w:rFonts w:hint="eastAsia"/>
                <w:sz w:val="18"/>
                <w:szCs w:val="18"/>
              </w:rPr>
              <w:t>年</w:t>
            </w:r>
            <w:r>
              <w:rPr>
                <w:sz w:val="18"/>
                <w:szCs w:val="18"/>
              </w:rPr>
              <w:t>3</w:t>
            </w:r>
            <w:r>
              <w:rPr>
                <w:rFonts w:hint="eastAsia"/>
                <w:sz w:val="18"/>
                <w:szCs w:val="18"/>
              </w:rPr>
              <w:t>月</w:t>
            </w:r>
            <w:r>
              <w:rPr>
                <w:sz w:val="18"/>
                <w:szCs w:val="18"/>
              </w:rPr>
              <w:t>31</w:t>
            </w:r>
            <w:r>
              <w:rPr>
                <w:rFonts w:hint="eastAsia"/>
                <w:sz w:val="18"/>
                <w:szCs w:val="18"/>
              </w:rPr>
              <w:t>日</w:t>
            </w:r>
          </w:p>
        </w:tc>
        <w:tc>
          <w:tcPr>
            <w:tcW w:w="1482" w:type="dxa"/>
          </w:tcPr>
          <w:p w14:paraId="47414FE8" w14:textId="77777777" w:rsidR="001071E1" w:rsidRDefault="001071E1" w:rsidP="001071E1">
            <w:pPr>
              <w:kinsoku w:val="0"/>
              <w:autoSpaceDE w:val="0"/>
              <w:autoSpaceDN w:val="0"/>
              <w:rPr>
                <w:sz w:val="18"/>
                <w:szCs w:val="18"/>
              </w:rPr>
            </w:pPr>
            <w:r>
              <w:rPr>
                <w:rFonts w:hint="eastAsia"/>
                <w:sz w:val="18"/>
                <w:szCs w:val="18"/>
              </w:rPr>
              <w:t>P</w:t>
            </w:r>
            <w:r>
              <w:rPr>
                <w:sz w:val="18"/>
                <w:szCs w:val="18"/>
              </w:rPr>
              <w:t>8</w:t>
            </w:r>
          </w:p>
          <w:p w14:paraId="188E8FA0" w14:textId="35B63E44" w:rsidR="001071E1" w:rsidRDefault="001071E1" w:rsidP="001071E1">
            <w:pPr>
              <w:kinsoku w:val="0"/>
              <w:autoSpaceDE w:val="0"/>
              <w:autoSpaceDN w:val="0"/>
              <w:rPr>
                <w:sz w:val="18"/>
                <w:szCs w:val="18"/>
              </w:rPr>
            </w:pPr>
            <w:r>
              <w:rPr>
                <w:rFonts w:hint="eastAsia"/>
                <w:sz w:val="18"/>
                <w:szCs w:val="18"/>
              </w:rPr>
              <w:t>P</w:t>
            </w:r>
            <w:r>
              <w:rPr>
                <w:sz w:val="18"/>
                <w:szCs w:val="18"/>
              </w:rPr>
              <w:t>17</w:t>
            </w:r>
          </w:p>
        </w:tc>
        <w:tc>
          <w:tcPr>
            <w:tcW w:w="5533" w:type="dxa"/>
          </w:tcPr>
          <w:p w14:paraId="6F4FAC07" w14:textId="77777777" w:rsidR="001071E1" w:rsidRDefault="001071E1" w:rsidP="001071E1">
            <w:pPr>
              <w:kinsoku w:val="0"/>
              <w:autoSpaceDE w:val="0"/>
              <w:autoSpaceDN w:val="0"/>
              <w:rPr>
                <w:sz w:val="18"/>
                <w:szCs w:val="18"/>
              </w:rPr>
            </w:pPr>
            <w:r w:rsidRPr="00706362">
              <w:rPr>
                <w:sz w:val="18"/>
                <w:szCs w:val="16"/>
              </w:rPr>
              <w:t>「外字を使用せざるを得ない」場合の解説を追加。</w:t>
            </w:r>
          </w:p>
          <w:p w14:paraId="3028B6B5" w14:textId="5E8788E5" w:rsidR="001071E1" w:rsidRDefault="001071E1" w:rsidP="001071E1">
            <w:pPr>
              <w:kinsoku w:val="0"/>
              <w:autoSpaceDE w:val="0"/>
              <w:autoSpaceDN w:val="0"/>
              <w:rPr>
                <w:sz w:val="18"/>
                <w:szCs w:val="18"/>
              </w:rPr>
            </w:pPr>
            <w:r w:rsidRPr="7B2FFCB7">
              <w:rPr>
                <w:sz w:val="18"/>
                <w:szCs w:val="18"/>
              </w:rPr>
              <w:t>文字情報基盤が、2020年に独立行政法人情報処理推進機構から一般社団法人文字情報技術促進協議会（https://moji.or.jp/）に民間移管したことを反映。</w:t>
            </w:r>
          </w:p>
        </w:tc>
      </w:tr>
      <w:tr w:rsidR="001071E1" w14:paraId="64DB9FA2" w14:textId="77777777" w:rsidTr="7B2FFCB7">
        <w:tc>
          <w:tcPr>
            <w:tcW w:w="1479" w:type="dxa"/>
          </w:tcPr>
          <w:p w14:paraId="422E8B84" w14:textId="54367586" w:rsidR="001071E1" w:rsidRDefault="001071E1" w:rsidP="001071E1">
            <w:pPr>
              <w:kinsoku w:val="0"/>
              <w:autoSpaceDE w:val="0"/>
              <w:autoSpaceDN w:val="0"/>
              <w:rPr>
                <w:sz w:val="18"/>
                <w:szCs w:val="18"/>
              </w:rPr>
            </w:pPr>
            <w:r>
              <w:rPr>
                <w:rFonts w:hint="eastAsia"/>
                <w:sz w:val="18"/>
                <w:szCs w:val="18"/>
              </w:rPr>
              <w:t>2022年3月</w:t>
            </w:r>
            <w:r>
              <w:rPr>
                <w:sz w:val="18"/>
                <w:szCs w:val="18"/>
              </w:rPr>
              <w:t>31</w:t>
            </w:r>
            <w:r>
              <w:rPr>
                <w:rFonts w:hint="eastAsia"/>
                <w:sz w:val="18"/>
                <w:szCs w:val="18"/>
              </w:rPr>
              <w:t>日</w:t>
            </w:r>
          </w:p>
        </w:tc>
        <w:tc>
          <w:tcPr>
            <w:tcW w:w="1482" w:type="dxa"/>
          </w:tcPr>
          <w:p w14:paraId="0EAB1DCC" w14:textId="4883B9A4" w:rsidR="001071E1" w:rsidRPr="001E1EF1" w:rsidRDefault="001071E1" w:rsidP="001071E1">
            <w:pPr>
              <w:kinsoku w:val="0"/>
              <w:autoSpaceDE w:val="0"/>
              <w:autoSpaceDN w:val="0"/>
              <w:rPr>
                <w:sz w:val="18"/>
                <w:szCs w:val="18"/>
              </w:rPr>
            </w:pPr>
            <w:r>
              <w:rPr>
                <w:rFonts w:hint="eastAsia"/>
                <w:sz w:val="18"/>
                <w:szCs w:val="18"/>
              </w:rPr>
              <w:t>全体</w:t>
            </w:r>
          </w:p>
        </w:tc>
        <w:tc>
          <w:tcPr>
            <w:tcW w:w="5533" w:type="dxa"/>
          </w:tcPr>
          <w:p w14:paraId="55A2E297" w14:textId="5B056942" w:rsidR="001071E1" w:rsidRPr="00D51DA9" w:rsidRDefault="001071E1" w:rsidP="001071E1">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1071E1" w14:paraId="66691AC7" w14:textId="77777777" w:rsidTr="7B2FFCB7">
        <w:tc>
          <w:tcPr>
            <w:tcW w:w="1479" w:type="dxa"/>
          </w:tcPr>
          <w:p w14:paraId="26792375" w14:textId="20584918" w:rsidR="001071E1" w:rsidRDefault="001071E1" w:rsidP="001071E1">
            <w:pPr>
              <w:kinsoku w:val="0"/>
              <w:autoSpaceDE w:val="0"/>
              <w:autoSpaceDN w:val="0"/>
              <w:rPr>
                <w:sz w:val="18"/>
                <w:szCs w:val="18"/>
              </w:rPr>
            </w:pPr>
            <w:r>
              <w:rPr>
                <w:rFonts w:hint="eastAsia"/>
                <w:sz w:val="18"/>
                <w:szCs w:val="18"/>
              </w:rPr>
              <w:t>2019年3月28日</w:t>
            </w:r>
          </w:p>
        </w:tc>
        <w:tc>
          <w:tcPr>
            <w:tcW w:w="1482" w:type="dxa"/>
          </w:tcPr>
          <w:p w14:paraId="1051F9F4" w14:textId="65391395" w:rsidR="001071E1" w:rsidRDefault="001071E1" w:rsidP="001071E1">
            <w:pPr>
              <w:kinsoku w:val="0"/>
              <w:autoSpaceDE w:val="0"/>
              <w:autoSpaceDN w:val="0"/>
              <w:rPr>
                <w:sz w:val="18"/>
                <w:szCs w:val="18"/>
              </w:rPr>
            </w:pPr>
            <w:r>
              <w:rPr>
                <w:rFonts w:hint="eastAsia"/>
                <w:sz w:val="18"/>
                <w:szCs w:val="18"/>
              </w:rPr>
              <w:t>－</w:t>
            </w:r>
          </w:p>
        </w:tc>
        <w:tc>
          <w:tcPr>
            <w:tcW w:w="5533" w:type="dxa"/>
          </w:tcPr>
          <w:p w14:paraId="33EEACD4" w14:textId="60706436" w:rsidR="001071E1" w:rsidRPr="001071E1" w:rsidRDefault="001071E1" w:rsidP="001071E1">
            <w:pPr>
              <w:kinsoku w:val="0"/>
              <w:autoSpaceDE w:val="0"/>
              <w:autoSpaceDN w:val="0"/>
              <w:rPr>
                <w:sz w:val="18"/>
                <w:szCs w:val="18"/>
              </w:rPr>
            </w:pPr>
            <w:r w:rsidRPr="001071E1">
              <w:rPr>
                <w:rFonts w:hint="eastAsia"/>
                <w:sz w:val="18"/>
                <w:szCs w:val="18"/>
              </w:rPr>
              <w:t>初版決定</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6F076F">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6F076F">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6F076F">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6F076F">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6F076F">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6F076F">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6F076F">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6F076F">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6F076F">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6F076F">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6F076F">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6F076F">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6F076F">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6F076F">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6F076F">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6F076F">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6F076F">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6F076F">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6F076F">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6F076F">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6F076F">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6F076F">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6F076F">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6F076F">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6F076F">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6F076F">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6F076F">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6F076F">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6F076F">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6F076F">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6F076F">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6F076F"/>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5"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r w:rsidR="006F076F">
        <w:fldChar w:fldCharType="begin"/>
      </w:r>
      <w:r w:rsidR="006F076F">
        <w:instrText xml:space="preserve"> HYPERLINK "http://www.soumu.go.jp/denshijiti/code.html" </w:instrText>
      </w:r>
      <w:r w:rsidR="006F076F">
        <w:fldChar w:fldCharType="separate"/>
      </w:r>
      <w:r>
        <w:rPr>
          <w:rStyle w:val="aff0"/>
        </w:rPr>
        <w:t>http://www.soumu.go.jp/denshijiti/code.html</w:t>
      </w:r>
      <w:r w:rsidR="006F076F">
        <w:rPr>
          <w:rStyle w:val="aff0"/>
        </w:rPr>
        <w:fldChar w:fldCharType="end"/>
      </w:r>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w:t>
      </w:r>
      <w:proofErr w:type="spellStart"/>
      <w:r>
        <w:rPr>
          <w:rFonts w:hint="eastAsia"/>
        </w:rPr>
        <w:t>shi</w:t>
      </w:r>
      <w:proofErr w:type="spellEnd"/>
      <w:r>
        <w:rPr>
          <w:rFonts w:hint="eastAsia"/>
        </w:rPr>
        <w:t>」のようにローマ字表記をすることが多いことから、一般</w:t>
      </w:r>
      <w:r w:rsidR="003C7E4E">
        <w:rPr>
          <w:rFonts w:hint="eastAsia"/>
        </w:rPr>
        <w:t>的な</w:t>
      </w:r>
      <w:r>
        <w:rPr>
          <w:rFonts w:hint="eastAsia"/>
        </w:rPr>
        <w:t>行政文書では、地方公共団体のローマ字名である</w:t>
      </w:r>
      <w:proofErr w:type="spellStart"/>
      <w:r>
        <w:rPr>
          <w:rFonts w:hint="eastAsia"/>
        </w:rPr>
        <w:t>shi</w:t>
      </w:r>
      <w:proofErr w:type="spellEnd"/>
      <w:r>
        <w:rPr>
          <w:rFonts w:hint="eastAsia"/>
        </w:rPr>
        <w:t>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6"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2"/>
      <w:bookmarkEnd w:id="283"/>
      <w:bookmarkEnd w:id="284"/>
      <w:bookmarkEnd w:id="285"/>
      <w:bookmarkEnd w:id="286"/>
      <w:bookmarkEnd w:id="287"/>
      <w:bookmarkEnd w:id="288"/>
      <w:bookmarkEnd w:id="289"/>
      <w:bookmarkEnd w:id="290"/>
      <w:bookmarkEnd w:id="291"/>
      <w:bookmarkEnd w:id="29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333B" w14:textId="77777777" w:rsidR="008A6748" w:rsidRDefault="008A6748">
      <w:r>
        <w:separator/>
      </w:r>
    </w:p>
  </w:endnote>
  <w:endnote w:type="continuationSeparator" w:id="0">
    <w:p w14:paraId="1FB76BF6" w14:textId="77777777" w:rsidR="008A6748" w:rsidRDefault="008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202D" w14:textId="77777777" w:rsidR="008A6748" w:rsidRDefault="008A6748">
      <w:r>
        <w:separator/>
      </w:r>
    </w:p>
  </w:footnote>
  <w:footnote w:type="continuationSeparator" w:id="0">
    <w:p w14:paraId="37FAAEF8" w14:textId="77777777" w:rsidR="008A6748" w:rsidRDefault="008A6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isplayHorizontalDrawingGridEvery w:val="0"/>
  <w:displayVerticalDrawingGridEvery w:val="2"/>
  <w:characterSpacingControl w:val="doNotCompress"/>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071E1"/>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6F076F"/>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A6748"/>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v:textbox inset="5.85pt,.7pt,5.85pt,.7pt"/>
    </o:shapedefaults>
    <o:shapelayout v:ext="edit">
      <o:idmap v:ext="edit" data="2"/>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http://www.gsi.go.jp/common/00013886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ujin-bangou.nta.go.j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C4E589-ECD3-405D-AFC9-2A420F076C8D}">
  <ds:schemaRefs>
    <ds:schemaRef ds:uri="http://schemas.microsoft.com/sharepoint/v3/contenttype/forms"/>
  </ds:schemaRefs>
</ds:datastoreItem>
</file>

<file path=customXml/itemProps3.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4.xml><?xml version="1.0" encoding="utf-8"?>
<ds:datastoreItem xmlns:ds="http://schemas.openxmlformats.org/officeDocument/2006/customXml" ds:itemID="{0909EFA7-0656-4C8B-A5D8-0D5E0D7836B7}">
  <ds:schemaRefs>
    <ds:schemaRef ds:uri="http://schemas.microsoft.com/office/infopath/2007/PartnerControls"/>
    <ds:schemaRef ds:uri="http://purl.org/dc/dcmitype/"/>
    <ds:schemaRef ds:uri="http://www.w3.org/XML/1998/namespace"/>
    <ds:schemaRef ds:uri="8c3438c2-774e-4b56-8e53-485ea73e7025"/>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a753eb55-ace7-47fe-8293-79a8dad7846a"/>
    <ds:schemaRef ds:uri="http://schemas.microsoft.com/sharepoint/v3"/>
  </ds:schemaRefs>
</ds:datastoreItem>
</file>

<file path=customXml/itemProps5.xml><?xml version="1.0" encoding="utf-8"?>
<ds:datastoreItem xmlns:ds="http://schemas.openxmlformats.org/officeDocument/2006/customXml" ds:itemID="{3E13B31D-6A50-4540-8600-28829DEC475C}"/>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2022-08-26T08:44:00Z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y fmtid="{D5CDD505-2E9C-101B-9397-08002B2CF9AE}" pid="4" name="MediaServiceImageTags">
    <vt:lpwstr/>
  </property>
</Properties>
</file>