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81F8" w14:textId="3DD079A1" w:rsidR="00AD543E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Informe 1</w:t>
      </w:r>
    </w:p>
    <w:p w14:paraId="2A2483AB" w14:textId="77777777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4478FC6" w14:textId="5760850A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Problemática de investigación </w:t>
      </w:r>
    </w:p>
    <w:p w14:paraId="286DB6AA" w14:textId="77777777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F039658" w14:textId="7CD1E423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Datos</w:t>
      </w:r>
    </w:p>
    <w:p w14:paraId="36334991" w14:textId="77777777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A72D2E4" w14:textId="03FF2440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Metodología de análisis</w:t>
      </w:r>
    </w:p>
    <w:p w14:paraId="1EB490C7" w14:textId="77777777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6FC0F60" w14:textId="57464BA8" w:rsidR="00EC4DBB" w:rsidRDefault="00EC4DBB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Resultados preliminares </w:t>
      </w:r>
    </w:p>
    <w:p w14:paraId="219A6491" w14:textId="77777777" w:rsidR="00EC4DBB" w:rsidRPr="00AD543E" w:rsidRDefault="00EC4DBB" w:rsidP="00AD543E">
      <w:pPr>
        <w:jc w:val="both"/>
        <w:rPr>
          <w:rFonts w:ascii="Times New Roman" w:hAnsi="Times New Roman" w:cs="Times New Roman"/>
          <w:lang w:val="es-ES"/>
        </w:rPr>
      </w:pPr>
    </w:p>
    <w:p w14:paraId="67638289" w14:textId="77777777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⁠Tasa de referencia: Número de pacientes referidos / Número total de ingresos.</w:t>
      </w:r>
    </w:p>
    <w:p w14:paraId="4306574C" w14:textId="77777777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⁠Tasa de transferencia: Número de pacientes transferidos / Número total de ingresos.</w:t>
      </w:r>
    </w:p>
    <w:p w14:paraId="516F615E" w14:textId="272B4BC4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Porcentaje de pacientes referidos/transferidos: (Número de pacientes referidos/transferidos / Número total de ingresos) x 100.</w:t>
      </w:r>
    </w:p>
    <w:p w14:paraId="38F7260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7C7A639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Análisis de flujo</w:t>
      </w:r>
    </w:p>
    <w:p w14:paraId="7E4C30AF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04A445B2" w14:textId="2D127CAE" w:rsidR="00AD543E" w:rsidRPr="00AD543E" w:rsidRDefault="00AD543E" w:rsidP="00AD54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Matriz de flujo: Crea una matriz que muestre el número de pacientes referidos/transferidos entre cada par de hospitales.</w:t>
      </w:r>
    </w:p>
    <w:p w14:paraId="3D1A737D" w14:textId="77777777" w:rsidR="00AD543E" w:rsidRPr="00AD543E" w:rsidRDefault="00AD543E" w:rsidP="00AD54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centralidad: Calcula el grado de centralidad de cada hospital en la red, utilizando medidas como:</w:t>
      </w:r>
    </w:p>
    <w:p w14:paraId="7542310A" w14:textId="77777777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entrada (número de pacientes referidos).</w:t>
      </w:r>
    </w:p>
    <w:p w14:paraId="593D9F61" w14:textId="77777777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salida (número de pacientes transferidos).</w:t>
      </w:r>
    </w:p>
    <w:p w14:paraId="0F338685" w14:textId="68F6A5A5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total (suma de grados de entrada y salida).</w:t>
      </w:r>
    </w:p>
    <w:p w14:paraId="46BC5C0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3227B57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Análisis de redes</w:t>
      </w:r>
    </w:p>
    <w:p w14:paraId="1CE27E7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201EB070" w14:textId="5463771A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⁠Densidad de la red: Calcula la proporción de conexiones existentes entre hospitales con respecto al número total posible.</w:t>
      </w:r>
    </w:p>
    <w:p w14:paraId="298A2C53" w14:textId="77777777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Distancia promedio: Calcula la distancia promedio entre hospitales en la red.</w:t>
      </w:r>
    </w:p>
    <w:p w14:paraId="046181B1" w14:textId="7C6E2B90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⁠Coeficiente de </w:t>
      </w:r>
      <w:proofErr w:type="spellStart"/>
      <w:r w:rsidRPr="00AD543E">
        <w:rPr>
          <w:rFonts w:ascii="Times New Roman" w:hAnsi="Times New Roman" w:cs="Times New Roman"/>
          <w:lang w:val="es-ES"/>
        </w:rPr>
        <w:t>clustering</w:t>
      </w:r>
      <w:proofErr w:type="spellEnd"/>
      <w:r w:rsidRPr="00AD543E">
        <w:rPr>
          <w:rFonts w:ascii="Times New Roman" w:hAnsi="Times New Roman" w:cs="Times New Roman"/>
          <w:lang w:val="es-ES"/>
        </w:rPr>
        <w:t xml:space="preserve">: Mide la tendencia de los hospitales a formar </w:t>
      </w:r>
      <w:proofErr w:type="spellStart"/>
      <w:proofErr w:type="gramStart"/>
      <w:r w:rsidRPr="00AD543E">
        <w:rPr>
          <w:rFonts w:ascii="Times New Roman" w:hAnsi="Times New Roman" w:cs="Times New Roman"/>
          <w:lang w:val="es-ES"/>
        </w:rPr>
        <w:t>clusters</w:t>
      </w:r>
      <w:proofErr w:type="spellEnd"/>
      <w:proofErr w:type="gramEnd"/>
      <w:r w:rsidRPr="00AD543E">
        <w:rPr>
          <w:rFonts w:ascii="Times New Roman" w:hAnsi="Times New Roman" w:cs="Times New Roman"/>
          <w:lang w:val="es-ES"/>
        </w:rPr>
        <w:t xml:space="preserve"> o grupos.</w:t>
      </w:r>
    </w:p>
    <w:p w14:paraId="2BB91C3F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777D788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Indicadores de intensidad</w:t>
      </w:r>
    </w:p>
    <w:p w14:paraId="7593B39A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0B1975CF" w14:textId="6AC92D76" w:rsidR="00AD543E" w:rsidRPr="00AD543E" w:rsidRDefault="00AD543E" w:rsidP="00AD54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Índice de intensidad de referencia: (Número de pacientes referidos / Número total de ingresos) / (Número total de hospitales - 1).</w:t>
      </w:r>
    </w:p>
    <w:p w14:paraId="12DD21D8" w14:textId="5CF3ABFA" w:rsidR="00AD543E" w:rsidRDefault="00AD543E" w:rsidP="00AD54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Índice de intensidad de transferencia: (Número de pacientes transferidos / Número total de ingresos) / (Número total de hospitales - 1).</w:t>
      </w:r>
    </w:p>
    <w:p w14:paraId="7C9D9740" w14:textId="77777777" w:rsidR="00EC4DBB" w:rsidRDefault="00EC4DBB" w:rsidP="00EC4DBB">
      <w:pPr>
        <w:jc w:val="both"/>
        <w:rPr>
          <w:rFonts w:ascii="Times New Roman" w:hAnsi="Times New Roman" w:cs="Times New Roman"/>
          <w:lang w:val="es-ES"/>
        </w:rPr>
      </w:pPr>
    </w:p>
    <w:p w14:paraId="482A7F89" w14:textId="77777777" w:rsidR="00EC4DBB" w:rsidRPr="00EC4DBB" w:rsidRDefault="00EC4DBB" w:rsidP="00EC4DBB">
      <w:pPr>
        <w:jc w:val="both"/>
        <w:rPr>
          <w:rFonts w:ascii="Times New Roman" w:hAnsi="Times New Roman" w:cs="Times New Roman"/>
          <w:lang w:val="es-ES"/>
        </w:rPr>
      </w:pPr>
    </w:p>
    <w:p w14:paraId="5101C6B1" w14:textId="77777777" w:rsidR="00EC4DBB" w:rsidRDefault="00EC4DBB" w:rsidP="00EC4DBB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A8704B1" w14:textId="1B7ACC71" w:rsidR="00EC4DBB" w:rsidRDefault="00EC4DBB" w:rsidP="00EC4DBB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Conclusiones </w:t>
      </w:r>
    </w:p>
    <w:p w14:paraId="48681730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30F329DC" w14:textId="18D76CEF" w:rsidR="00AD543E" w:rsidRPr="00AD543E" w:rsidRDefault="00AD543E" w:rsidP="00EC4DBB">
      <w:pPr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br w:type="page"/>
      </w:r>
    </w:p>
    <w:sectPr w:rsidR="00AD543E" w:rsidRPr="00AD543E" w:rsidSect="00AD543E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D05"/>
    <w:multiLevelType w:val="hybridMultilevel"/>
    <w:tmpl w:val="9C0E4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B28"/>
    <w:multiLevelType w:val="hybridMultilevel"/>
    <w:tmpl w:val="3592A634"/>
    <w:lvl w:ilvl="0" w:tplc="E222B1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696"/>
    <w:multiLevelType w:val="hybridMultilevel"/>
    <w:tmpl w:val="EB76D022"/>
    <w:lvl w:ilvl="0" w:tplc="0FFC96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388E"/>
    <w:multiLevelType w:val="hybridMultilevel"/>
    <w:tmpl w:val="9AF41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496"/>
    <w:multiLevelType w:val="hybridMultilevel"/>
    <w:tmpl w:val="EFC86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30D12"/>
    <w:multiLevelType w:val="hybridMultilevel"/>
    <w:tmpl w:val="94A2B7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4833">
    <w:abstractNumId w:val="0"/>
  </w:num>
  <w:num w:numId="2" w16cid:durableId="986394496">
    <w:abstractNumId w:val="1"/>
  </w:num>
  <w:num w:numId="3" w16cid:durableId="1808889498">
    <w:abstractNumId w:val="5"/>
  </w:num>
  <w:num w:numId="4" w16cid:durableId="1802310956">
    <w:abstractNumId w:val="4"/>
  </w:num>
  <w:num w:numId="5" w16cid:durableId="1934897316">
    <w:abstractNumId w:val="3"/>
  </w:num>
  <w:num w:numId="6" w16cid:durableId="107165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E"/>
    <w:rsid w:val="00070804"/>
    <w:rsid w:val="000A37AD"/>
    <w:rsid w:val="00490A60"/>
    <w:rsid w:val="004B680C"/>
    <w:rsid w:val="00502316"/>
    <w:rsid w:val="00545304"/>
    <w:rsid w:val="005F153C"/>
    <w:rsid w:val="007C291B"/>
    <w:rsid w:val="008B4D5E"/>
    <w:rsid w:val="00AD543E"/>
    <w:rsid w:val="00AD7186"/>
    <w:rsid w:val="00C72DEE"/>
    <w:rsid w:val="00EC4215"/>
    <w:rsid w:val="00E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CFA"/>
  <w15:chartTrackingRefBased/>
  <w15:docId w15:val="{5CE89DC1-3BE7-3844-A399-225728C0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2</cp:revision>
  <dcterms:created xsi:type="dcterms:W3CDTF">2024-10-28T15:59:00Z</dcterms:created>
  <dcterms:modified xsi:type="dcterms:W3CDTF">2024-11-05T13:45:00Z</dcterms:modified>
</cp:coreProperties>
</file>