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53_2440990709">
            <w:r>
              <w:rPr>
                <w:rStyle w:val="IndexLink"/>
              </w:rPr>
              <w:t>Лабораторная работа №1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6_2440990709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8_2440990709">
            <w:r>
              <w:rPr>
                <w:rStyle w:val="IndexLink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18_3492897412">
            <w:r>
              <w:rPr>
                <w:rStyle w:val="IndexLink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20_3492897412">
            <w:r>
              <w:rPr>
                <w:rStyle w:val="IndexLink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2_3492897412">
            <w:r>
              <w:rPr>
                <w:rStyle w:val="IndexLink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4_3492897412">
            <w:r>
              <w:rPr>
                <w:rStyle w:val="IndexLink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06_2500951832">
            <w:r>
              <w:rPr>
                <w:rStyle w:val="IndexLink"/>
              </w:rPr>
              <w:t>ЛАБОРАТОРНАЯ РАБОТА №3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1_714890939">
            <w:r>
              <w:rPr>
                <w:rStyle w:val="IndexLink"/>
              </w:rPr>
              <w:t>Цель работы: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5_714890939">
            <w:r>
              <w:rPr>
                <w:rStyle w:val="IndexLink"/>
              </w:rPr>
              <w:t>Вывод:</w:t>
              <w:tab/>
              <w:t>28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13_1721718268">
            <w:r>
              <w:rPr>
                <w:rStyle w:val="IndexLink"/>
              </w:rPr>
              <w:t>ЛАБОРАТОРНАЯ РАБОТА №4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6341_1721718268">
            <w:r>
              <w:rPr>
                <w:rStyle w:val="IndexLink"/>
              </w:rPr>
              <w:t>Цель работы.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76_2152403033">
            <w:r>
              <w:rPr>
                <w:rStyle w:val="IndexLink"/>
              </w:rPr>
              <w:t>Выполнение работы</w:t>
              <w:tab/>
              <w:t>29</w:t>
            </w:r>
          </w:hyperlink>
        </w:p>
        <w:p>
          <w:pPr>
            <w:pStyle w:val="TOC4"/>
            <w:tabs>
              <w:tab w:val="clear" w:pos="708"/>
              <w:tab w:val="right" w:pos="9354" w:leader="dot"/>
            </w:tabs>
            <w:rPr/>
          </w:pPr>
          <w:hyperlink w:anchor="__RefHeading___Toc6339_1721718268">
            <w:r>
              <w:rPr>
                <w:rStyle w:val="IndexLink"/>
              </w:rPr>
              <w:t>Вывод.</w:t>
              <w:tab/>
              <w:t>31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778_1517724926">
            <w:r>
              <w:rPr>
                <w:rStyle w:val="IndexLink"/>
              </w:rPr>
              <w:t>Лабораторная работа №5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0_1517724926">
            <w:r>
              <w:rPr>
                <w:rStyle w:val="IndexLink"/>
              </w:rPr>
              <w:t>Цель работы</w:t>
              <w:tab/>
              <w:t>32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782_1517724926">
            <w:r>
              <w:rPr>
                <w:rStyle w:val="IndexLink"/>
              </w:rPr>
              <w:t>Лабораторная №7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4_1517724926">
            <w:r>
              <w:rPr>
                <w:rStyle w:val="IndexLink"/>
              </w:rPr>
              <w:t>Цель работы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786_1517724926">
            <w:r>
              <w:rPr>
                <w:rStyle w:val="IndexLink"/>
              </w:rPr>
              <w:t>Выполнение работы</w:t>
              <w:tab/>
              <w:t>32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378_2152403033">
            <w:r>
              <w:rPr>
                <w:rStyle w:val="IndexLink"/>
              </w:rPr>
              <w:t>Лабораторная работа №9</w:t>
              <w:tab/>
              <w:t>34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0_2152403033">
            <w:r>
              <w:rPr>
                <w:rStyle w:val="IndexLink"/>
              </w:rPr>
              <w:t>Цель работы</w:t>
              <w:tab/>
              <w:t>34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2_2152403033">
            <w:r>
              <w:rPr>
                <w:rStyle w:val="IndexLink"/>
              </w:rPr>
              <w:t>Последовательность выполнения работы</w:t>
              <w:tab/>
              <w:t>34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1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>
          <w:sz w:val="36"/>
          <w:szCs w:val="36"/>
        </w:rPr>
      </w:pPr>
      <w:bookmarkStart w:id="9" w:name="__RefHeading___Toc906_2500951832"/>
      <w:bookmarkEnd w:id="9"/>
      <w:r>
        <w:rPr>
          <w:sz w:val="36"/>
          <w:szCs w:val="36"/>
        </w:rPr>
        <w:t>ЛАБОРАТОРНАЯ РАБОТА №3</w:t>
      </w:r>
    </w:p>
    <w:p>
      <w:pPr>
        <w:pStyle w:val="Heading2"/>
        <w:ind w:hanging="0" w:left="0"/>
        <w:rPr/>
      </w:pPr>
      <w:bookmarkStart w:id="10" w:name="__RefHeading___Toc2221_714890939"/>
      <w:bookmarkEnd w:id="10"/>
      <w:r>
        <w:rPr/>
        <w:t>Цель работы: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Знакомство с программными каналами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rPr/>
      </w:pPr>
      <w:bookmarkStart w:id="11" w:name="__RefHeading___Toc2223_714890939"/>
      <w:bookmarkEnd w:id="11"/>
      <w:r>
        <w:rPr>
          <w:rStyle w:val="Style11"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3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Heading2"/>
        <w:ind w:hanging="0" w:left="0"/>
        <w:rPr>
          <w:b/>
          <w:bCs/>
          <w:sz w:val="28"/>
          <w:szCs w:val="28"/>
        </w:rPr>
      </w:pPr>
      <w:bookmarkStart w:id="12" w:name="__RefHeading___Toc2225_714890939"/>
      <w:bookmarkEnd w:id="12"/>
      <w:r>
        <w:rPr/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p>
      <w:pPr>
        <w:pStyle w:val="Heading1"/>
        <w:ind w:hanging="0" w:left="0"/>
        <w:rPr/>
      </w:pPr>
      <w:bookmarkStart w:id="13" w:name="__RefHeading___Toc913_1721718268"/>
      <w:bookmarkEnd w:id="13"/>
      <w:r>
        <w:rPr/>
        <w:t>ЛАБОРАТОРНАЯ РАБОТА №4</w:t>
      </w:r>
    </w:p>
    <w:p>
      <w:pPr>
        <w:pStyle w:val="Heading2"/>
        <w:ind w:hanging="0" w:left="0"/>
        <w:rPr/>
      </w:pPr>
      <w:bookmarkStart w:id="14" w:name="__RefHeading___Toc6341_1721718268"/>
      <w:bookmarkEnd w:id="14"/>
      <w:r>
        <w:rPr/>
        <w:t xml:space="preserve">Цель работы. </w:t>
      </w:r>
    </w:p>
    <w:p>
      <w:pPr>
        <w:pStyle w:val="Normal"/>
        <w:rPr/>
      </w:pPr>
      <w:r>
        <w:rPr>
          <w:sz w:val="32"/>
          <w:szCs w:val="32"/>
        </w:rPr>
        <w:t>Знакомство с важным атрибутом любой операционной системы – переменными среды (или переменными окружения) environment variables и с возможностями их использования в Linux. Освоение языка для составления командных сценариев и написание набора полезных для системного администрирования скрипто</w:t>
      </w:r>
      <w:r>
        <w:rPr>
          <w:sz w:val="32"/>
          <w:szCs w:val="32"/>
          <w:lang w:val="ru-RU"/>
        </w:rPr>
        <w:t>в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Heading2"/>
        <w:ind w:hanging="0" w:left="0"/>
        <w:rPr>
          <w:lang w:val="ru-RU"/>
        </w:rPr>
      </w:pPr>
      <w:bookmarkStart w:id="15" w:name="__RefHeading___Toc1376_2152403033"/>
      <w:bookmarkEnd w:id="15"/>
      <w:r>
        <w:rPr>
          <w:lang w:val="ru-RU"/>
        </w:rPr>
        <w:t>Выполнение работы</w:t>
      </w:r>
    </w:p>
    <w:p>
      <w:pPr>
        <w:pStyle w:val="Heading2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1. Создаем переменные в bash файле, выполняет конкатенацию строк, извлечение подстроки и заменяем значение в конкатенированной строке на произвольное</w:t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880745</wp:posOffset>
            </wp:positionH>
            <wp:positionV relativeFrom="paragraph">
              <wp:posOffset>-95885</wp:posOffset>
            </wp:positionV>
            <wp:extent cx="3267710" cy="214376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2. Создаем числовые переменные и выполняем с ними арифметические операции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490220</wp:posOffset>
            </wp:positionH>
            <wp:positionV relativeFrom="paragraph">
              <wp:posOffset>71755</wp:posOffset>
            </wp:positionV>
            <wp:extent cx="2551430" cy="154749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3. Запускаем 2 процесса последовательно. Первый файл запускает второй, название которого получает как параметр при вызове, после выполнения второго файла возвращаемся в первый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879475</wp:posOffset>
            </wp:positionH>
            <wp:positionV relativeFrom="paragraph">
              <wp:posOffset>134620</wp:posOffset>
            </wp:positionV>
            <wp:extent cx="3724275" cy="1410970"/>
            <wp:effectExtent l="0" t="0" r="0" b="0"/>
            <wp:wrapSquare wrapText="largest"/>
            <wp:docPr id="3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4.  Пишем скрипт для проверки различия в размерах и аттрибутах файлов в двух каталогах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43045"/>
            <wp:effectExtent l="0" t="0" r="0" b="0"/>
            <wp:wrapSquare wrapText="largest"/>
            <wp:docPr id="3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5. Создаем  командный файл, который принимает 2 аргумента: последовательность и имя результирующего файла, после чего запускаем. Программа ищет все текстовые файлы с заданной последовательностью и записывает его имя и номер строки с последовательностью в результирующий</w:t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459740</wp:posOffset>
            </wp:positionH>
            <wp:positionV relativeFrom="paragraph">
              <wp:posOffset>81280</wp:posOffset>
            </wp:positionV>
            <wp:extent cx="4867910" cy="552450"/>
            <wp:effectExtent l="0" t="0" r="0" b="0"/>
            <wp:wrapSquare wrapText="largest"/>
            <wp:docPr id="3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893445</wp:posOffset>
            </wp:positionH>
            <wp:positionV relativeFrom="paragraph">
              <wp:posOffset>198755</wp:posOffset>
            </wp:positionV>
            <wp:extent cx="3371850" cy="485775"/>
            <wp:effectExtent l="0" t="0" r="0" b="0"/>
            <wp:wrapSquare wrapText="largest"/>
            <wp:docPr id="3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4"/>
        <w:ind w:hanging="0" w:left="0"/>
        <w:rPr/>
      </w:pPr>
      <w:bookmarkStart w:id="16" w:name="__RefHeading___Toc6339_1721718268"/>
      <w:bookmarkEnd w:id="16"/>
      <w:r>
        <w:rPr/>
        <w:t>Вывод.</w:t>
      </w:r>
    </w:p>
    <w:p>
      <w:pPr>
        <w:pStyle w:val="BodyText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В ходе выполнения лабораторной работы были созданы и протестированы Bash-скрипты для работы с переменными окружения, выполнения арифметических операций, взаимодействия двух файлов и сравнения содержимого каталогов.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17" w:name="__RefHeading___Toc3778_1517724926"/>
      <w:bookmarkEnd w:id="17"/>
      <w:r>
        <w:rPr/>
        <w:t>Лабораторная работа №5</w:t>
      </w:r>
    </w:p>
    <w:p>
      <w:pPr>
        <w:pStyle w:val="Heading2"/>
        <w:ind w:hanging="0" w:left="0"/>
        <w:rPr/>
      </w:pPr>
      <w:bookmarkStart w:id="18" w:name="__RefHeading___Toc3780_1517724926"/>
      <w:bookmarkEnd w:id="18"/>
      <w:r>
        <w:rPr/>
        <w:t>Цель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Манипуляции с правами доступа при создании в системе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учетных записей и исследование влияния прав на файловые операции.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Изучение специфик фонового (background) и диалогового (foreground) режимов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  <w:t>исполнения процессов и способов переключений между этими режимами.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rPr/>
      </w:pPr>
      <w:r>
        <w:rPr/>
        <w:t>В</w:t>
      </w:r>
      <w:r>
        <w:rPr/>
        <w:t>ыполнение работы: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1.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1031240</wp:posOffset>
            </wp:positionH>
            <wp:positionV relativeFrom="paragraph">
              <wp:posOffset>-79375</wp:posOffset>
            </wp:positionV>
            <wp:extent cx="3877310" cy="4267200"/>
            <wp:effectExtent l="0" t="0" r="0" b="0"/>
            <wp:wrapSquare wrapText="largest"/>
            <wp:docPr id="3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64770</wp:posOffset>
            </wp:positionH>
            <wp:positionV relativeFrom="paragraph">
              <wp:posOffset>74930</wp:posOffset>
            </wp:positionV>
            <wp:extent cx="5810885" cy="2286000"/>
            <wp:effectExtent l="0" t="0" r="0" b="0"/>
            <wp:wrapSquare wrapText="largest"/>
            <wp:docPr id="3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835" cy="2305050"/>
            <wp:effectExtent l="0" t="0" r="0" b="0"/>
            <wp:wrapSquare wrapText="largest"/>
            <wp:docPr id="4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29765"/>
            <wp:effectExtent l="0" t="0" r="0" b="0"/>
            <wp:wrapSquare wrapText="largest"/>
            <wp:docPr id="4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Права доступа на новый файл определяются </w:t>
      </w:r>
      <w:r>
        <w:rPr>
          <w:rStyle w:val="Strong"/>
          <w:rFonts w:cs="Times New Roman" w:ascii="Times New Roman" w:hAnsi="Times New Roman"/>
          <w:iCs/>
          <w:sz w:val="24"/>
          <w:szCs w:val="24"/>
          <w:lang w:val="ru-RU"/>
        </w:rPr>
        <w:t>umask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(маской прав по умолчанию) текущей сессии или пользователя, который создаёт файл. Обычно umask по умолчанию для root — это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022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, что означает, что новый файл будет создан с правами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644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(владелец — чтение и запись, группа и другие — только чтение). </w:t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Права доступа на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file1.txt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и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file2.txt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 влияют только на то, сможешь ли ты их прочитать. Если у тебя нет прав на чтение этих файлов, ты не сможешь их объединить, даже с использованием </w:t>
      </w:r>
      <w:r>
        <w:rPr>
          <w:rStyle w:val="SourceText"/>
          <w:rFonts w:ascii="Times New Roman" w:hAnsi="Times New Roman"/>
          <w:bCs/>
          <w:iCs/>
          <w:sz w:val="24"/>
          <w:szCs w:val="24"/>
          <w:lang w:val="ru-RU"/>
        </w:rPr>
        <w:t>sudo</w:t>
      </w: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 xml:space="preserve">. </w:t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>2.</w:t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777740"/>
            <wp:effectExtent l="0" t="0" r="0" b="0"/>
            <wp:wrapSquare wrapText="largest"/>
            <wp:docPr id="4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>3.</w:t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765175</wp:posOffset>
            </wp:positionH>
            <wp:positionV relativeFrom="paragraph">
              <wp:posOffset>266065</wp:posOffset>
            </wp:positionV>
            <wp:extent cx="4410075" cy="5744210"/>
            <wp:effectExtent l="0" t="0" r="0" b="0"/>
            <wp:wrapSquare wrapText="largest"/>
            <wp:docPr id="4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74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 xml:space="preserve"> </w:t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sz w:val="28"/>
          <w:szCs w:val="28"/>
        </w:rPr>
        <w:t xml:space="preserve">Анализ запуска: </w:t>
        <w:br/>
        <w:t>- запущенный в фоновом режиме процесс был переведём в диалоговый режим для ввода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sz w:val="28"/>
          <w:szCs w:val="28"/>
        </w:rPr>
        <w:t>- после ввода его вернули в фоновый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sz w:val="28"/>
          <w:szCs w:val="28"/>
        </w:rPr>
        <w:t>- в фоновом режиме процесс выводит результат в терминал (для наглядности)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sz w:val="28"/>
          <w:szCs w:val="28"/>
        </w:rPr>
        <w:t>- fg переводит в диалоговый режимам</w:t>
      </w:r>
    </w:p>
    <w:p>
      <w:pPr>
        <w:pStyle w:val="Normal"/>
        <w:spacing w:lineRule="auto" w:line="240" w:before="280" w:after="280"/>
        <w:rPr/>
      </w:pPr>
      <w:r>
        <w:rPr>
          <w:rFonts w:cs="Times New Roman" w:ascii="Times New Roman" w:hAnsi="Times New Roman"/>
          <w:sz w:val="28"/>
          <w:szCs w:val="28"/>
        </w:rPr>
        <w:t>- bg переводит в фоновый режим (как запуск с &amp;)</w:t>
      </w:r>
    </w:p>
    <w:p>
      <w:pPr>
        <w:pStyle w:val="Normal"/>
        <w:spacing w:lineRule="auto" w:line="240" w:before="280" w:after="280"/>
        <w:rPr/>
      </w:pPr>
      <w:r>
        <w:rPr>
          <w:sz w:val="28"/>
          <w:szCs w:val="28"/>
        </w:rPr>
        <w:t>- jobs показывает статус процессов</w:t>
      </w:r>
      <w:r>
        <w:br w:type="page"/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ru-RU"/>
        </w:rPr>
        <w:t>4.</w:t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7560" cy="4867910"/>
            <wp:effectExtent l="0" t="0" r="0" b="0"/>
            <wp:wrapSquare wrapText="largest"/>
            <wp:docPr id="4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486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sz w:val="24"/>
          <w:szCs w:val="24"/>
          <w:lang w:val="en-US"/>
        </w:rPr>
        <w:t>5.</w:t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6510" cy="5191760"/>
            <wp:effectExtent l="0" t="0" r="0" b="0"/>
            <wp:wrapSquare wrapText="largest"/>
            <wp:docPr id="4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19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rPr>
          <w:sz w:val="24"/>
          <w:szCs w:val="24"/>
        </w:rPr>
      </w:pPr>
      <w:r>
        <w:rPr>
          <w:rFonts w:cs="Times New Roman" w:ascii="Times New Roman" w:hAnsi="Times New Roman"/>
          <w:bCs/>
          <w:iCs/>
          <w:lang w:val="en-US"/>
        </w:rPr>
      </w:r>
    </w:p>
    <w:p>
      <w:pPr>
        <w:pStyle w:val="BodyText"/>
        <w:spacing w:lineRule="auto" w:line="240" w:before="280" w:after="280"/>
        <w:rPr/>
      </w:pPr>
      <w:r>
        <w:rPr>
          <w:sz w:val="28"/>
          <w:szCs w:val="28"/>
        </w:rPr>
        <w:t xml:space="preserve">Программа проверяет, что переданы два аргумента (исходный и целевой каталоги). Для каждого файла в целевом каталоге проверяется, существует ли соответствующий файл в исходном каталоге. Если нет, файл удаляется. Для каждого файла в исходном каталоге: если файл существует в целевом каталоге, проверяется, новее ли файл в исходном каталоге. Если да, файл обновляется. Если файл не существует в целевом каталоге, он копируется. </w:t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r>
        <w:rPr/>
      </w:r>
    </w:p>
    <w:p>
      <w:pPr>
        <w:pStyle w:val="Heading1"/>
        <w:ind w:hanging="0" w:left="0"/>
        <w:rPr/>
      </w:pPr>
      <w:bookmarkStart w:id="19" w:name="__RefHeading___Toc3782_1517724926"/>
      <w:bookmarkEnd w:id="19"/>
      <w:r>
        <w:rPr/>
        <w:t xml:space="preserve">Лабораторная </w:t>
      </w:r>
      <w:r>
        <w:rPr>
          <w:lang w:val="ru-RU"/>
        </w:rPr>
        <w:t>№7</w:t>
      </w:r>
    </w:p>
    <w:p>
      <w:pPr>
        <w:pStyle w:val="Heading1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Heading2"/>
        <w:ind w:hanging="0" w:left="0"/>
        <w:rPr/>
      </w:pPr>
      <w:bookmarkStart w:id="20" w:name="__RefHeading___Toc3784_1517724926"/>
      <w:bookmarkEnd w:id="20"/>
      <w:r>
        <w:rPr/>
        <w:t>Цель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Освоение семафоров (semaphores) как эффективного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средства синхронизации доступа процессов к разделяемым ресурсам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операционной системы.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ind w:hanging="0" w:left="0"/>
        <w:rPr/>
      </w:pPr>
      <w:bookmarkStart w:id="21" w:name="__RefHeading___Toc3786_1517724926"/>
      <w:bookmarkEnd w:id="21"/>
      <w:r>
        <w:rPr/>
        <w:t>Выполнение работы</w:t>
      </w:r>
    </w:p>
    <w:p>
      <w:pPr>
        <w:pStyle w:val="Heading2"/>
        <w:ind w:hanging="0" w:left="0"/>
        <w:rPr/>
      </w:pPr>
      <w:r>
        <w:rPr/>
      </w:r>
    </w:p>
    <w:p>
      <w:pPr>
        <w:pStyle w:val="BodyText"/>
        <w:rPr/>
      </w:pPr>
      <w:r>
        <w:rPr/>
        <w:t>1.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9735" cy="5734685"/>
            <wp:effectExtent l="0" t="0" r="0" b="0"/>
            <wp:wrapSquare wrapText="largest"/>
            <wp:docPr id="4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573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  <w:iCs/>
          <w:lang w:val="ru-RU"/>
        </w:rPr>
        <w:t>IPC_CREAT</w:t>
      </w:r>
      <w:r>
        <w:rPr>
          <w:rFonts w:cs="Times New Roman" w:ascii="Times New Roman" w:hAnsi="Times New Roman"/>
          <w:bCs/>
          <w:iCs/>
          <w:lang w:val="ru-RU"/>
        </w:rPr>
        <w:t>: Позволяет создать семафор, если он не существует, или получить доступ к уже существующему.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</w:rPr>
        <w:t>IPC_CREAT | IPC_EXCL</w:t>
      </w:r>
      <w:r>
        <w:rPr/>
        <w:t>: Гарантирует создание нового семафора. Если семафор уже существует, вызов завершится с ошибкой.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</w:rPr>
        <w:t>IPC_PRIVATE</w:t>
      </w:r>
      <w:r>
        <w:rPr/>
        <w:t>: Создает уникальный семафор, который существует только во время жизни процесса.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22" w:name="__RefHeading___Toc1378_2152403033"/>
      <w:bookmarkEnd w:id="22"/>
      <w:r>
        <w:rPr/>
        <w:t>Лабораторная работа №9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2"/>
        <w:ind w:hanging="0" w:left="0"/>
        <w:rPr/>
      </w:pPr>
      <w:bookmarkStart w:id="23" w:name="__RefHeading___Toc1380_2152403033"/>
      <w:bookmarkEnd w:id="23"/>
      <w:r>
        <w:rPr>
          <w:sz w:val="32"/>
          <w:szCs w:val="32"/>
        </w:rPr>
        <w:t>Цель работы</w:t>
      </w:r>
      <w:r>
        <w:rPr/>
        <w:b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Использование для обмена данными разделяемой памяти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(shared memory) – самого быстрого средства межпроцессного взаимодействия в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Linux.</w:t>
      </w:r>
    </w:p>
    <w:p>
      <w:pPr>
        <w:pStyle w:val="Heading2"/>
        <w:ind w:hanging="0" w:left="0"/>
        <w:rPr>
          <w:sz w:val="32"/>
          <w:szCs w:val="32"/>
        </w:rPr>
      </w:pPr>
      <w:bookmarkStart w:id="24" w:name="__RefHeading___Toc1382_2152403033"/>
      <w:bookmarkEnd w:id="24"/>
      <w:r>
        <w:rPr>
          <w:sz w:val="32"/>
          <w:szCs w:val="32"/>
        </w:rPr>
        <w:t>Последовательность выполнения работы</w:t>
      </w:r>
    </w:p>
    <w:p>
      <w:pPr>
        <w:pStyle w:val="Heading2"/>
        <w:ind w:hanging="0" w:left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  <w:br/>
      </w:r>
      <w:r>
        <w:rPr>
          <w:sz w:val="28"/>
          <w:szCs w:val="28"/>
          <w:lang w:val="ru-RU"/>
        </w:rPr>
        <w:t>Первый запуск:</w:t>
      </w:r>
    </w:p>
    <w:p>
      <w:pPr>
        <w:pStyle w:val="BodyText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375920</wp:posOffset>
            </wp:positionH>
            <wp:positionV relativeFrom="paragraph">
              <wp:posOffset>-111125</wp:posOffset>
            </wp:positionV>
            <wp:extent cx="4810760" cy="4144010"/>
            <wp:effectExtent l="0" t="0" r="0" b="0"/>
            <wp:wrapSquare wrapText="largest"/>
            <wp:docPr id="4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br/>
        <w:br/>
        <w:br/>
        <w:br/>
        <w:br/>
        <w:br/>
        <w:br/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запуск:</w:t>
        <w:b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337185</wp:posOffset>
            </wp:positionH>
            <wp:positionV relativeFrom="paragraph">
              <wp:posOffset>74295</wp:posOffset>
            </wp:positionV>
            <wp:extent cx="4770120" cy="4069080"/>
            <wp:effectExtent l="0" t="0" r="0" b="0"/>
            <wp:wrapSquare wrapText="largest"/>
            <wp:docPr id="4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программе создаётся два сегмента памяти. Первый — использует флаг </w:t>
      </w:r>
      <w:r>
        <w:rPr>
          <w:sz w:val="28"/>
          <w:szCs w:val="28"/>
          <w:lang w:val="en-US"/>
        </w:rPr>
        <w:t xml:space="preserve">IPC_CREAT – </w:t>
      </w:r>
      <w:r>
        <w:rPr>
          <w:sz w:val="28"/>
          <w:szCs w:val="28"/>
          <w:lang w:val="ru-RU"/>
        </w:rPr>
        <w:t>такой флаг позволяет создать новый сегмент памяти по ключу, если его нет ИЛИ получить идентификатор сегмента, если он уже был создан.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IPC_PRIVATE – </w:t>
      </w:r>
      <w:r>
        <w:rPr>
          <w:sz w:val="28"/>
          <w:szCs w:val="28"/>
          <w:lang w:val="ru-RU"/>
        </w:rPr>
        <w:t>КАЖДЫЙ РАЗ создаёт уникальный сегмент, который не связан с другими процессами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5114290"/>
            <wp:effectExtent l="0" t="0" r="0" b="0"/>
            <wp:wrapSquare wrapText="largest"/>
            <wp:docPr id="4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1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(Сначала правый терминал, потом левый)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-598170</wp:posOffset>
            </wp:positionH>
            <wp:positionV relativeFrom="paragraph">
              <wp:posOffset>170815</wp:posOffset>
            </wp:positionV>
            <wp:extent cx="6887210" cy="3620135"/>
            <wp:effectExtent l="0" t="0" r="0" b="0"/>
            <wp:wrapSquare wrapText="largest"/>
            <wp:docPr id="5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по ключу происходит аналогично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1143000"/>
            <wp:effectExtent l="0" t="0" r="0" b="0"/>
            <wp:wrapSquare wrapText="largest"/>
            <wp:docPr id="5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30030"/>
            <wp:effectExtent l="0" t="0" r="0" b="0"/>
            <wp:wrapSquare wrapText="largest"/>
            <wp:docPr id="5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1146175</wp:posOffset>
            </wp:positionH>
            <wp:positionV relativeFrom="paragraph">
              <wp:posOffset>181610</wp:posOffset>
            </wp:positionV>
            <wp:extent cx="3648075" cy="2562225"/>
            <wp:effectExtent l="0" t="0" r="0" b="0"/>
            <wp:wrapSquare wrapText="largest"/>
            <wp:docPr id="5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Удаление через </w:t>
      </w:r>
      <w:r>
        <w:rPr>
          <w:sz w:val="28"/>
          <w:szCs w:val="28"/>
          <w:lang w:val="en-US"/>
        </w:rPr>
        <w:t xml:space="preserve">ipcrm, </w:t>
      </w:r>
      <w:r>
        <w:rPr>
          <w:sz w:val="28"/>
          <w:szCs w:val="28"/>
          <w:lang w:val="ru-RU"/>
        </w:rPr>
        <w:t>как во втором шаге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-900430</wp:posOffset>
            </wp:positionH>
            <wp:positionV relativeFrom="paragraph">
              <wp:posOffset>41910</wp:posOffset>
            </wp:positionV>
            <wp:extent cx="7163435" cy="6853555"/>
            <wp:effectExtent l="0" t="0" r="0" b="0"/>
            <wp:wrapSquare wrapText="largest"/>
            <wp:docPr id="5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685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программы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331470</wp:posOffset>
            </wp:positionH>
            <wp:positionV relativeFrom="paragraph">
              <wp:posOffset>200660</wp:posOffset>
            </wp:positionV>
            <wp:extent cx="5163185" cy="2857500"/>
            <wp:effectExtent l="0" t="0" r="0" b="0"/>
            <wp:wrapSquare wrapText="largest"/>
            <wp:docPr id="5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rStyle w:val="SourceText"/>
          <w:sz w:val="28"/>
          <w:szCs w:val="28"/>
          <w:lang w:val="ru-RU"/>
        </w:rPr>
        <w:t>shared mem: 0x7fd6dff7a000</w:t>
      </w:r>
      <w:r>
        <w:rPr>
          <w:sz w:val="28"/>
          <w:szCs w:val="28"/>
          <w:lang w:val="ru-RU"/>
        </w:rPr>
        <w:t xml:space="preserve">: Адрес, по которому разделяемая память отображается в адресном пространстве родительского процесса.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program text (etext): 0x55e756dae3c9</w:t>
      </w:r>
      <w:r>
        <w:rPr>
          <w:sz w:val="28"/>
          <w:szCs w:val="28"/>
        </w:rPr>
        <w:t xml:space="preserve">: Адрес конца текстового сегмента. Это место, где заканчивается исполняемый код программы.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initialized data (edata): 0x55e756db1060</w:t>
      </w:r>
      <w:r>
        <w:rPr>
          <w:sz w:val="28"/>
          <w:szCs w:val="28"/>
        </w:rPr>
        <w:t xml:space="preserve">: Адрес конца сегмента инициализированных данных. Здесь хранятся глобальные и статические переменные с начальными значениями.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uninitialized data (end): 0x55e756db1068</w:t>
      </w:r>
      <w:r>
        <w:rPr>
          <w:sz w:val="28"/>
          <w:szCs w:val="28"/>
        </w:rPr>
        <w:t xml:space="preserve">: Адрес конца сегмента неинициализированных данных (BSS). Здесь хранятся глобальные и статические переменные, не имеющие начальных значений. </w:t>
      </w:r>
    </w:p>
    <w:p>
      <w:pPr>
        <w:pStyle w:val="BodyText"/>
        <w:rPr/>
      </w:pPr>
      <w:r>
        <w:rPr>
          <w:rStyle w:val="Strong"/>
          <w:sz w:val="28"/>
          <w:szCs w:val="28"/>
        </w:rPr>
        <w:t>Наблюдения:</w:t>
      </w:r>
      <w:r>
        <w:rPr>
          <w:sz w:val="28"/>
          <w:szCs w:val="28"/>
        </w:rPr>
        <w:t xml:space="preserve">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 xml:space="preserve">Адрес разделяемой памяти значительно отличается от адресов других сегментов программы (текст, данные). Это естественно, так как разделяемая память выделяется отдельно от основных сегментов программы.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sz w:val="28"/>
          <w:szCs w:val="28"/>
        </w:rPr>
        <w:t xml:space="preserve">Разница между </w:t>
      </w:r>
      <w:r>
        <w:rPr>
          <w:rStyle w:val="SourceText"/>
          <w:sz w:val="28"/>
          <w:szCs w:val="28"/>
        </w:rPr>
        <w:t>edata</w:t>
      </w:r>
      <w:r>
        <w:rPr>
          <w:sz w:val="28"/>
          <w:szCs w:val="28"/>
        </w:rPr>
        <w:t xml:space="preserve"> и </w:t>
      </w:r>
      <w:r>
        <w:rPr>
          <w:rStyle w:val="SourceText"/>
          <w:sz w:val="28"/>
          <w:szCs w:val="28"/>
        </w:rPr>
        <w:t>end</w:t>
      </w:r>
      <w:r>
        <w:rPr>
          <w:sz w:val="28"/>
          <w:szCs w:val="28"/>
        </w:rPr>
        <w:t xml:space="preserve"> невелика (всего 8 байт). Это говорит о том, что в программе очень мало неинициализированных глобальных или статических переменных.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Модификация: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Второй параметр у </w:t>
      </w:r>
      <w:r>
        <w:rPr>
          <w:sz w:val="28"/>
          <w:szCs w:val="28"/>
          <w:lang w:val="en-US"/>
        </w:rPr>
        <w:t xml:space="preserve">shmat </w:t>
      </w:r>
      <w:r>
        <w:rPr>
          <w:sz w:val="28"/>
          <w:szCs w:val="28"/>
          <w:lang w:val="ru-RU"/>
        </w:rPr>
        <w:t xml:space="preserve">не </w:t>
      </w:r>
      <w:r>
        <w:rPr>
          <w:sz w:val="28"/>
          <w:szCs w:val="28"/>
          <w:lang w:val="en-US"/>
        </w:rPr>
        <w:t xml:space="preserve">0, </w:t>
      </w:r>
      <w:r>
        <w:rPr>
          <w:sz w:val="28"/>
          <w:szCs w:val="28"/>
          <w:lang w:val="ru-RU"/>
        </w:rPr>
        <w:t>а адрес памяти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6. Текст:</w:t>
      </w:r>
    </w:p>
    <w:p>
      <w:pPr>
        <w:pStyle w:val="Normal"/>
        <w:rPr>
          <w:rFonts w:ascii="Consolas;Courier New;monospace" w:hAnsi="Consolas;Courier New;monospace"/>
          <w:b w:val="false"/>
          <w:color w:val="CCCCCC"/>
          <w:sz w:val="21"/>
          <w:szCs w:val="28"/>
          <w:shd w:fill="1F1F1F" w:val="clear"/>
          <w:lang w:val="ru-RU"/>
        </w:rPr>
      </w:pPr>
      <w:r>
        <w:rPr>
          <w:rFonts w:ascii="Consolas;Courier New;monospace" w:hAnsi="Consolas;Courier New;monospace"/>
          <w:b w:val="false"/>
          <w:color w:val="C586C0"/>
          <w:sz w:val="21"/>
          <w:szCs w:val="28"/>
          <w:shd w:fill="1F1F1F" w:val="clear"/>
          <w:lang w:val="ru-RU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zCs w:val="28"/>
          <w:shd w:fill="1F1F1F" w:val="clear"/>
          <w:lang w:val="ru-RU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zCs w:val="28"/>
          <w:shd w:fill="1F1F1F" w:val="clear"/>
          <w:lang w:val="ru-RU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&lt;sys/ipc.h&gt;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&lt;sys/shm.h&gt;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&lt;string.h&gt;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#define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SHM_SIZE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Размер каждого сегмента разделяемой памяти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main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Идентификаторы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  // Указатели на разделяемую память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первого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второго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третьего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первого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второго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третьего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Вывод адресов, по которым были подключены сегменты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1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2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3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Проверка, размещены ли сегменты в последовательных участках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&amp;&amp;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NOT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каждого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Attempting to access the 1024th byte of each segment: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первого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'A'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1023-й байт (последний допустимый)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"Success (last valid byte).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1024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'B'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1024-й байт (выход за пределы)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"This should cause a segmentation fault.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Отключение сегментов от адресного пространства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Удаление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104775</wp:posOffset>
            </wp:positionH>
            <wp:positionV relativeFrom="paragraph">
              <wp:posOffset>153035</wp:posOffset>
            </wp:positionV>
            <wp:extent cx="5940425" cy="4766310"/>
            <wp:effectExtent l="0" t="0" r="0" b="0"/>
            <wp:wrapSquare wrapText="largest"/>
            <wp:docPr id="5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Как видно, они разделены 4096 байтами. Есть предположение, что моя система выравнивает память именно так для более эффективного использования памятью. Обращение к </w:t>
      </w:r>
      <w:r>
        <w:rPr>
          <w:sz w:val="28"/>
          <w:szCs w:val="28"/>
          <w:lang w:val="en-US"/>
        </w:rPr>
        <w:t xml:space="preserve">shm1[4096] </w:t>
      </w:r>
      <w:r>
        <w:rPr>
          <w:sz w:val="28"/>
          <w:szCs w:val="28"/>
          <w:lang w:val="ru-RU"/>
        </w:rPr>
        <w:t>подтвердило предположение, но на такое не стоит рассчитывать не стоит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Я запустил parrent.cpp со значениями 5 5 Вот, что вывело: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P: [0] One polka_dot tree ran out.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C: [0] One polka_dot tree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The yellow spider broke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C: [4] The yellow spider broke away.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 spider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semop -- consumer -- acquire : Invalid argument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rStyle w:val="Strong"/>
          <w:sz w:val="32"/>
          <w:szCs w:val="32"/>
          <w:lang w:val="ru-RU"/>
        </w:rPr>
        <w:t>Ключевые моменты:</w:t>
      </w:r>
      <w:r>
        <w:rPr>
          <w:sz w:val="32"/>
          <w:szCs w:val="32"/>
          <w:lang w:val="ru-RU"/>
        </w:rPr>
        <w:t xml:space="preserve">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Разделяемая память:</w:t>
      </w:r>
      <w:r>
        <w:rPr>
          <w:sz w:val="32"/>
          <w:szCs w:val="32"/>
        </w:rPr>
        <w:t xml:space="preserve"> Используется для обмена данными между producer и consumer.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Семафоры:</w:t>
      </w:r>
      <w:r>
        <w:rPr>
          <w:sz w:val="32"/>
          <w:szCs w:val="32"/>
        </w:rPr>
        <w:t xml:space="preserve"> Используются для синхронизации доступа к разделяемой памяти и предотвращения гонок данных.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Producer:</w:t>
      </w:r>
      <w:r>
        <w:rPr>
          <w:sz w:val="32"/>
          <w:szCs w:val="32"/>
        </w:rPr>
        <w:t xml:space="preserve"> Генерирует данные и записывает их в разделяемую память.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Consumer:</w:t>
      </w:r>
      <w:r>
        <w:rPr>
          <w:sz w:val="32"/>
          <w:szCs w:val="32"/>
        </w:rPr>
        <w:t xml:space="preserve"> Читает данные из разделяемой памяти и отображает их.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sz w:val="32"/>
          <w:szCs w:val="32"/>
        </w:rPr>
        <w:t>Родительский процесс:</w:t>
      </w:r>
      <w:r>
        <w:rPr>
          <w:sz w:val="32"/>
          <w:szCs w:val="32"/>
        </w:rPr>
        <w:t xml:space="preserve"> Создает разделяемую память, семафоры и запускает producer и consumer.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before="0" w:after="1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sectPr>
      <w:headerReference w:type="even" r:id="rId58"/>
      <w:headerReference w:type="default" r:id="rId59"/>
      <w:headerReference w:type="first" r:id="rId60"/>
      <w:footerReference w:type="even" r:id="rId61"/>
      <w:footerReference w:type="default" r:id="rId62"/>
      <w:footerReference w:type="first" r:id="rId63"/>
      <w:type w:val="nextPage"/>
      <w:pgSz w:w="11906" w:h="16838"/>
      <w:pgMar w:left="1701" w:right="850" w:gutter="0" w:header="708" w:top="765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Mono">
    <w:altName w:val="Courier New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onsolas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53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Header"/>
      <w:rPr/>
    </w:pPr>
    <w:r>
      <w:rPr/>
    </w:r>
    <w:bookmarkStart w:id="25" w:name="Bookmark_"/>
    <w:bookmarkStart w:id="26" w:name="Bookmark_"/>
    <w:bookmarkEnd w:id="26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FootnoteCharacters21111111">
    <w:name w:val="Footnote Characters21111111"/>
    <w:qFormat/>
    <w:rPr>
      <w:vertAlign w:val="superscript"/>
    </w:rPr>
  </w:style>
  <w:style w:type="character" w:styleId="FootnoteCharacters211111111">
    <w:name w:val="Footnote Characters211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EndnoteCharacters21111111">
    <w:name w:val="Endnote Characters21111111"/>
    <w:qFormat/>
    <w:rPr>
      <w:vertAlign w:val="superscript"/>
    </w:rPr>
  </w:style>
  <w:style w:type="character" w:styleId="EndnoteCharacters211111111">
    <w:name w:val="Endnote Characters211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1">
    <w:name w:val="Основной шрифт абзаца"/>
    <w:qFormat/>
    <w:rPr/>
  </w:style>
  <w:style w:type="character" w:styleId="InternetLink7">
    <w:name w:val="Internet Link7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fill="F2F2F2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header" Target="header1.xml"/><Relationship Id="rId59" Type="http://schemas.openxmlformats.org/officeDocument/2006/relationships/header" Target="header2.xml"/><Relationship Id="rId60" Type="http://schemas.openxmlformats.org/officeDocument/2006/relationships/header" Target="header3.xml"/><Relationship Id="rId61" Type="http://schemas.openxmlformats.org/officeDocument/2006/relationships/footer" Target="footer1.xml"/><Relationship Id="rId62" Type="http://schemas.openxmlformats.org/officeDocument/2006/relationships/footer" Target="footer2.xml"/><Relationship Id="rId63" Type="http://schemas.openxmlformats.org/officeDocument/2006/relationships/footer" Target="footer3.xml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2253</TotalTime>
  <Application>LibreOffice/24.8.5.2$Windows_X86_64 LibreOffice_project/fddf2685c70b461e7832239a0162a77216259f22</Application>
  <AppVersion>15.0000</AppVersion>
  <Pages>53</Pages>
  <Words>2465</Words>
  <Characters>15412</Characters>
  <CharactersWithSpaces>18056</CharactersWithSpaces>
  <Paragraphs>297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2025-03-09T22:38:32Z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