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Informe Exhaustivo sobre Reconocimiento de Voz y Seguridad Biométrica en el Sector Bancario: Arquitecturas de Inteligencia Artificial y Procesamiento de Señales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Fundamentos de la Biometría de Voz en el Ecosistema Financiero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biometría de voz se ha erigido como una tecnología fundacional dentro de la arquitectura de seguridad del sector bancario moderno. Su adopción masiva responde a la necesidad crítica de autenticar la identidad de los clientes de manera transparente, eliminando la fricción inherente a los sistemas de autenticación basados en el conocimiento, tales como las contraseñas alfanuméricas o las preguntas de seguridad estáticas. La viabilidad de esta tecnología descansa sobre un principio biométrico inmutable: la frecuencia y la dinámica evolutiva de la onda sonora producida por los órganos vocales humanos pueden ser analizadas y destiladas en una representación matemática única. Esta unicidad no se deriva exclusivamente de características anatómicas permanentes, como la longitud de las cuerdas vocales o la estructura ósea del tracto vocal, sino que también engloba rasgos conductuales profundamente arraigados, tales como el acento, el ritmo, la prosodia y el dialecto.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contexto de la seguridad bancaria, los centros de llamadas (call centers) y las plataformas de banca móvil exigen sistemas de verificación de locutor (Speaker Verification, SV) que operen de manera independiente del texto y del idioma. Esta independencia permite la autenticación pasiva del cliente durante los primeros segundos de una interacción de voz natural, lo que resulta invaluable para la detección temprana de fraudes por suplantación de identidad y esquemas de suscripción fraudulenta. La métrica de rendimiento fundamental que define la eficacia operativa de estos sistemas biométricos es la Tasa de Igualdad de Errores (Equal Error Rate, EER), la cual representa el umbral matemático exacto en el que la Tasa de Falsa Aceptación (FAR) intersecta con la Tasa de Falso Rechazo (FRR). En aplicaciones de misión crítica como la banca comercial, la calibración de este umbral es una decisión estratégica; disminuir el umbral de aceptación incrementa la FAR pero reduce drásticamente la FRR, un compromiso táctico que las instituciones asumen para no obstaculizar la experiencia de usuario (CX) de los clientes de alto patrimonio, o a la inversa, para capturar a defraudadores recurrentes empleando listas negras de huellas vocales (voiceprints) fraudulentas conocidas.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pesar de sus innegables ventajas operativas, la verificación de locutor contemporánea enfrenta vulnerabilidades existenciales frente a los ataques de presentación (Presentation Attacks, PA) y las falsificaciones profundas (Deepfakes). El acceso democratizado a modelos generativos de inteligencia artificial de código abierto ha facilitado que actores maliciosos sinteticen la voz de una víctima objetivo utilizando apenas unos minutos de grabaciones de audio extraídas de redes sociales o entrevistas públicas. Para salvaguardar los activos financieros y cumplir con los rigurosos mandatos de cumplimiento normativo, la arquitectura de un sistema de reconocimiento de voz moderno debe trascender la simple validación biométrica. Exige un enfoque intensivo que amalgame el procesamiento de señales de alta fidelidad, la extracción de características mediante redes neuronales profundas (DNN), la normalización estadística bayesiana, la detección simultánea de algoritmos de suplantación (Anti-Spoofing) y la preservación de la privacidad mediante criptografía homomórfica.</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Matemáticas del Procesamiento de Señales Acústicas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pilar sobre el cual descansa cualquier red neuronal de reconocimiento de voz es la fase de procesamiento de señales en el extremo frontal (front-end), donde la forma de onda de audio acústica cruda se transforma en una representación de características espectro-temporales densas. Históricamente, este dominio ha estado dominado por los Coeficientes Cepstrales de las Frecuencias de Mel (MFCC) y los Coeficientes Cepstrales de Frecuencia Lineal (LFCC), los cuales aplican bancos de filtros estáticos para imitar la percepción auditiva humana. No obstante, la investigación en seguridad de audio ha demostrado que estos métodos heurísticos descartan sistemáticamente información crítica de fase y anomalías en las altas frecuencias, precisamente las áreas donde residen los artefactos dejados por los algoritmos de conversión de voz (VC) y síntesis de texto a voz (TTS).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Transformada Q Constante (CQT) y CQCC</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capturar las micro-irregularidades espectrales que delatan a una voz clonada, los sistemas de seguridad de estado del arte han migrado hacia el uso de la Transformada Q Constante (Constant Q Transform, CQT) y sus derivados, los Coeficientes Cepstrales Q Constantes (CQCC). A diferencia de la Transformada de Fourier a Corto Plazo (STFT), que aplica una resolución espacio-temporal rígida y uniforme a lo largo de todo el espectro de frecuencias, la CQT emplea una resolución algorítmicamente variable. Utiliza ventanas temporales extensas para resolver con alta fidelidad las frecuencias fundamentales bajas, y ventanas temporales extremadamente cortas para rastrear variaciones temporales rápidas en las frecuencias altas.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formulación matemática rigurosa de la transformada CQT para una señal discreta </w:t>
      </w:r>
      <w:r w:rsidDel="00000000" w:rsidR="00000000" w:rsidRPr="00000000">
        <w:rPr>
          <w:rFonts w:ascii="Google Sans" w:cs="Google Sans" w:eastAsia="Google Sans" w:hAnsi="Google Sans"/>
          <w:color w:val="1f1f1f"/>
        </w:rPr>
        <w:drawing>
          <wp:inline distB="19050" distT="19050" distL="19050" distR="19050">
            <wp:extent cx="382299" cy="243281"/>
            <wp:effectExtent b="0" l="0" r="0" t="0"/>
            <wp:docPr id="29"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382299" cy="2432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define de la siguiente manera: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1173278"/>
            <wp:effectExtent b="0" l="0" r="0" t="0"/>
            <wp:docPr id="31"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905500" cy="117327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esta ecuación, </w:t>
      </w:r>
      <w:r w:rsidDel="00000000" w:rsidR="00000000" w:rsidRPr="00000000">
        <w:rPr>
          <w:rFonts w:ascii="Google Sans" w:cs="Google Sans" w:eastAsia="Google Sans" w:hAnsi="Google Sans"/>
          <w:color w:val="1f1f1f"/>
        </w:rPr>
        <w:drawing>
          <wp:inline distB="19050" distT="19050" distL="19050" distR="19050">
            <wp:extent cx="117547" cy="257134"/>
            <wp:effectExtent b="0" l="0" r="0" t="0"/>
            <wp:docPr id="30" name="image39.png"/>
            <a:graphic>
              <a:graphicData uri="http://schemas.openxmlformats.org/drawingml/2006/picture">
                <pic:pic>
                  <pic:nvPicPr>
                    <pic:cNvPr id="0" name="image39.png"/>
                    <pic:cNvPicPr preferRelativeResize="0"/>
                  </pic:nvPicPr>
                  <pic:blipFill>
                    <a:blip r:embed="rId8"/>
                    <a:srcRect b="0" l="0" r="0" t="0"/>
                    <a:stretch>
                      <a:fillRect/>
                    </a:stretch>
                  </pic:blipFill>
                  <pic:spPr>
                    <a:xfrm>
                      <a:off x="0" y="0"/>
                      <a:ext cx="117547" cy="2571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representa el índice de la muestra temporal, </w:t>
      </w:r>
      <w:r w:rsidDel="00000000" w:rsidR="00000000" w:rsidRPr="00000000">
        <w:rPr>
          <w:rFonts w:ascii="Google Sans" w:cs="Google Sans" w:eastAsia="Google Sans" w:hAnsi="Google Sans"/>
          <w:color w:val="1f1f1f"/>
        </w:rPr>
        <w:drawing>
          <wp:inline distB="19050" distT="19050" distL="19050" distR="19050">
            <wp:extent cx="108238" cy="252556"/>
            <wp:effectExtent b="0" l="0" r="0" t="0"/>
            <wp:docPr id="33"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108238" cy="2525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el índice del contenedor (bin) de frecuencia discreto (donde </w:t>
      </w:r>
      <w:r w:rsidDel="00000000" w:rsidR="00000000" w:rsidRPr="00000000">
        <w:rPr>
          <w:rFonts w:ascii="Google Sans" w:cs="Google Sans" w:eastAsia="Google Sans" w:hAnsi="Google Sans"/>
          <w:color w:val="1f1f1f"/>
        </w:rPr>
        <w:drawing>
          <wp:inline distB="19050" distT="19050" distL="19050" distR="19050">
            <wp:extent cx="1170489" cy="242409"/>
            <wp:effectExtent b="0" l="0" r="0" t="0"/>
            <wp:docPr id="32"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1170489" cy="242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42779" cy="249919"/>
            <wp:effectExtent b="0" l="0" r="0" t="0"/>
            <wp:docPr id="35"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242779" cy="2499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denota la longitud de la ventana específica para el contenedor </w:t>
      </w:r>
      <w:r w:rsidDel="00000000" w:rsidR="00000000" w:rsidRPr="00000000">
        <w:rPr>
          <w:rFonts w:ascii="Google Sans" w:cs="Google Sans" w:eastAsia="Google Sans" w:hAnsi="Google Sans"/>
          <w:color w:val="1f1f1f"/>
        </w:rPr>
        <w:drawing>
          <wp:inline distB="19050" distT="19050" distL="19050" distR="19050">
            <wp:extent cx="108238" cy="252556"/>
            <wp:effectExtent b="0" l="0" r="0" t="0"/>
            <wp:docPr id="34"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108238" cy="2525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189093" cy="245121"/>
            <wp:effectExtent b="0" l="0" r="0" t="0"/>
            <wp:docPr id="37"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189093" cy="2451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el complejo conjugado de la función base subyacente. Estas funciones base se definen acoplando una función de ventana centrada en cero con una función exponencial compleja. El rasgo definitorio de esta transformada es que el factor de calidad, denotado como </w:t>
      </w:r>
      <w:r w:rsidDel="00000000" w:rsidR="00000000" w:rsidRPr="00000000">
        <w:rPr>
          <w:rFonts w:ascii="Google Sans" w:cs="Google Sans" w:eastAsia="Google Sans" w:hAnsi="Google Sans"/>
          <w:color w:val="1f1f1f"/>
        </w:rPr>
        <w:drawing>
          <wp:inline distB="19050" distT="19050" distL="19050" distR="19050">
            <wp:extent cx="906931" cy="244174"/>
            <wp:effectExtent b="0" l="0" r="0" t="0"/>
            <wp:docPr id="36"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906931" cy="2441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(donde </w:t>
      </w:r>
      <w:r w:rsidDel="00000000" w:rsidR="00000000" w:rsidRPr="00000000">
        <w:rPr>
          <w:rFonts w:ascii="Google Sans" w:cs="Google Sans" w:eastAsia="Google Sans" w:hAnsi="Google Sans"/>
          <w:color w:val="1f1f1f"/>
        </w:rPr>
        <w:drawing>
          <wp:inline distB="19050" distT="19050" distL="19050" distR="19050">
            <wp:extent cx="211390" cy="246622"/>
            <wp:effectExtent b="0" l="0" r="0" t="0"/>
            <wp:docPr id="40"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211390" cy="2466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el ancho de banda), permanece estrictamente constante para todos los contenedores de frecuencia, lo que resulta en un espaciado logarítmico o geométrico de los filtros.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 vez obtenido este espectro geométricamente espaciado, se aplica una técnica de interpolación spline para remuestrear los datos hacia una escala lineal uniforme, asegurando una ponderación equitativa en todas las bandas. Los coeficientes CQCC finales se derivan aplicando la Transformada del Coseno Discreta (DCT) sobre el logaritmo de la magnitud al cuadrado de la CQT. Esta proyección hacia el dominio de la quefrecuencia permite a las redes neuronales discernir fenómenos acústicos complejos, tales como discrepancias de fase, resonancias sintéticas anómalas y errores armónicos en la concatenación de fonemas, proporcionando una base empírica innegable para distinguir entre el habla humana genuina y las anomalías de los deepfakes.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Característica Acústica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Dominio de Análisis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Resolución Frecuencial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Aplicación Principal en Banca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MFCC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Quefrecuencia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Escala Mel (Perceptual)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Tareas genéricas de SV; vulnerable a artefactos sintéticos.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LFCC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Quefrecuencia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Escala Lineal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Detección de spoofing; retiene mejor los detalles de alta frecuencia.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CQT / CQCC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Quefrecuencia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Espaciado Geométrico (Factor Q)</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Detección avanzada de deepfakes; excelente resolución temporal en altas frecuencias.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Raw Waveform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Tiempo (Señal Cruda)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Filtros parametrizados aprendidos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Máxima retención de fase y micro-artefactos; ideal para canales telefónicos ruidosos.</w:t>
            </w:r>
          </w:p>
        </w:tc>
      </w:tr>
    </w:tbl>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Modelado Directo de la Forma de Onda Acústica (Raw Waveform)</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 evolución paralela en el procesamiento de señales impulsada por el aprendizaje profundo postula la erradicación total de los bancos de filtros diseñados manualmente, transfiriendo la responsabilidad de la extracción de características directamente a las primeras capas de la red neuronal. Arquitecturas innovadoras como SincNet operan ingiriendo la forma de onda de audio cruda (Raw Waveform) y restringiendo paramétricamente la primera capa convolucional para que actúe como un banco de filtros de paso banda.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contraposición a las Redes Neuronales Convolucionales (CNN) estándar, que intentan aprender todos los valores individuales de un núcleo (kernel) convolucional masivo, SincNet emplea funciones matemáticas Sinc predefinidas. La red neuronal se limita a optimizar únicamente las frecuencias de corte inferior y superior de cada filtro. Este fuerte sesgo inductivo reduce exponencialmente la carga de parámetros (por ejemplo, disminuyendo el recuento de parámetros de un filtro de 8,000 a apenas 160) y acelera drásticamente la convergencia del modelo, permitiendo que la arquitectura aísle de manera altamente eficiente los formantes vocales y el tono del locutor. Estas metodologías han sido iteradas con éxito en modelos de última generación como RawNet2 y RawNet3, que evitan la pérdida de información de fase inherente a las transformaciones de magnitud espectral, consolidándose como arquitecturas sumamente eficaces tanto para la verificación de locutor independiente del texto como para las tareas de anti-spoofing en canales ruidosos.</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Arquitecturas Neuronales de Extracción de Incrustaciones (Embeddings)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procesamiento de las características extraídas para formar un vector de identidad denso y discriminativo ha experimentado transformaciones paradigmáticas. La disciplina dejó atrás el Análisis Factorial Conjunto (JFA) y las arquitecturas estadísticas basadas en Modelos de Mezcla Gaussiana (GMM) adaptados a partir de un Modelo de Fondo Universal (UBM) para adoptar las incrustaciones neuronales profundas (neural embeddings) conocidas originalmente como x-vectors. La arquitectura fundamental que impulsa estos avances es la Red Neuronal de Retardo de Tiempo (Time Delay Neural Network, TDNN).</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Anatomía de la Arquitectura ECAPA-TDNN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la actualidad, la topología que domina los parámetros de referencia mundiales para la verificación robusta del locutor es el modelo ECAPA-TDNN (Emphasized Channel Attention, Propagation and Aggregation in TDNN). Esta arquitectura redefine el paradigma de extracción de características vocales mediante la asimilación de conceptos avanzados originados en la visión por computadora, permitiendo el modelado simultáneo de dependencias acústicas a corto y largo plazo con una notable eficiencia de parámetros.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base convolucional de ECAPA-TDNN reemplaza las capas de marco tradicionales de los x-vectors por bloques en cascada denominados SE-Res2Net. El componente Res2Net procesa la señal de entrada </w:t>
      </w:r>
      <w:r w:rsidDel="00000000" w:rsidR="00000000" w:rsidRPr="00000000">
        <w:rPr>
          <w:rFonts w:ascii="Google Sans" w:cs="Google Sans" w:eastAsia="Google Sans" w:hAnsi="Google Sans"/>
          <w:color w:val="1f1f1f"/>
        </w:rPr>
        <w:drawing>
          <wp:inline distB="19050" distT="19050" distL="19050" distR="19050">
            <wp:extent cx="881928" cy="243051"/>
            <wp:effectExtent b="0" l="0" r="0" t="0"/>
            <wp:docPr id="38"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881928" cy="2430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aplicando convoluciones jerárquicas a múltiples escalas. La entrada se proyecta espacialmente y se divide en múltiples sub-bandas de canales. Cada sub-banda (con excepción de la primera) se procesa a través de una convolución unidimensional con una tasa de dilatación temporal específica (</w:t>
      </w:r>
      <w:r w:rsidDel="00000000" w:rsidR="00000000" w:rsidRPr="00000000">
        <w:rPr>
          <w:rFonts w:ascii="Google Sans" w:cs="Google Sans" w:eastAsia="Google Sans" w:hAnsi="Google Sans"/>
          <w:color w:val="1f1f1f"/>
        </w:rPr>
        <w:drawing>
          <wp:inline distB="19050" distT="19050" distL="19050" distR="19050">
            <wp:extent cx="831272" cy="244492"/>
            <wp:effectExtent b="0" l="0" r="0" t="0"/>
            <wp:docPr id="39"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831272" cy="2444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Fundamentalmente, la salida de cada sub-banda se agrega como una conexión residual a la entrada de la siguiente sub-banda antes de ser procesada matemáticamente: </w:t>
      </w:r>
      <w:r w:rsidDel="00000000" w:rsidR="00000000" w:rsidRPr="00000000">
        <w:rPr>
          <w:rFonts w:ascii="Google Sans" w:cs="Google Sans" w:eastAsia="Google Sans" w:hAnsi="Google Sans"/>
          <w:color w:val="1f1f1f"/>
        </w:rPr>
        <w:drawing>
          <wp:inline distB="19050" distT="19050" distL="19050" distR="19050">
            <wp:extent cx="626053" cy="243465"/>
            <wp:effectExtent b="0" l="0" r="0" t="0"/>
            <wp:docPr id="41" name="image38.png"/>
            <a:graphic>
              <a:graphicData uri="http://schemas.openxmlformats.org/drawingml/2006/picture">
                <pic:pic>
                  <pic:nvPicPr>
                    <pic:cNvPr id="0" name="image38.png"/>
                    <pic:cNvPicPr preferRelativeResize="0"/>
                  </pic:nvPicPr>
                  <pic:blipFill>
                    <a:blip r:embed="rId17"/>
                    <a:srcRect b="0" l="0" r="0" t="0"/>
                    <a:stretch>
                      <a:fillRect/>
                    </a:stretch>
                  </pic:blipFill>
                  <pic:spPr>
                    <a:xfrm>
                      <a:off x="0" y="0"/>
                      <a:ext cx="626053" cy="2434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1527353" cy="242988"/>
            <wp:effectExtent b="0" l="0" r="0" t="0"/>
            <wp:docPr id="42"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1527353" cy="242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 </w:t>
      </w:r>
      <w:r w:rsidDel="00000000" w:rsidR="00000000" w:rsidRPr="00000000">
        <w:rPr>
          <w:rFonts w:ascii="Google Sans" w:cs="Google Sans" w:eastAsia="Google Sans" w:hAnsi="Google Sans"/>
          <w:color w:val="1f1f1f"/>
        </w:rPr>
        <w:drawing>
          <wp:inline distB="19050" distT="19050" distL="19050" distR="19050">
            <wp:extent cx="943191" cy="242733"/>
            <wp:effectExtent b="0" l="0" r="0" t="0"/>
            <wp:docPr id="43"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943191" cy="2427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donde </w:t>
      </w:r>
      <w:r w:rsidDel="00000000" w:rsidR="00000000" w:rsidRPr="00000000">
        <w:rPr>
          <w:rFonts w:ascii="Google Sans" w:cs="Google Sans" w:eastAsia="Google Sans" w:hAnsi="Google Sans"/>
          <w:color w:val="1f1f1f"/>
        </w:rPr>
        <w:drawing>
          <wp:inline distB="19050" distT="19050" distL="19050" distR="19050">
            <wp:extent cx="223404" cy="252230"/>
            <wp:effectExtent b="0" l="0" r="0" t="0"/>
            <wp:docPr id="44" name="image40.png"/>
            <a:graphic>
              <a:graphicData uri="http://schemas.openxmlformats.org/drawingml/2006/picture">
                <pic:pic>
                  <pic:nvPicPr>
                    <pic:cNvPr id="0" name="image40.png"/>
                    <pic:cNvPicPr preferRelativeResize="0"/>
                  </pic:nvPicPr>
                  <pic:blipFill>
                    <a:blip r:embed="rId20"/>
                    <a:srcRect b="0" l="0" r="0" t="0"/>
                    <a:stretch>
                      <a:fillRect/>
                    </a:stretch>
                  </pic:blipFill>
                  <pic:spPr>
                    <a:xfrm>
                      <a:off x="0" y="0"/>
                      <a:ext cx="223404" cy="2522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representa la convolución dilatada. Esta expansión iterativa del contexto temporal garantiza que el campo receptivo de la red abarque simultáneamente consonantes percusivas inmediatas y fluctuaciones prolongadas en la entonación de las vocales.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Posteriormente, cada bloque integra un módulo Squeeze-and-Excitation (SE) destinado a la recalibración atencional de los canales. La operación "Squeeze" realiza un agrupamiento promedio global (Global Average Pooling) sobre el eje temporal para destilar un descriptor estadístico singular por canal. A continuación, la operación "Excitation" utiliza dos capas completamente conectadas formadas por un cuello de botella con activaciones ReLU y Sigmoide para deducir las interdependencias de los canales, generando un vector de ponderación que multiplica y escala diferencialmente los mapas de características originales. Esto dota al modelo de la capacidad de suprimir el ruido ambiental irrelevante e intensificar los canales de características correlacionados directamente con la biometría del locutor.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Otra desviación significativa del estándar TDNN es el mecanismo de Agregación de Características Multicapa (Multi-layer Feature Aggregation, MFA). En lugar de confiar exclusivamente en las abstracciones de alto nivel de la última capa convolucional para generar las estadísticas finales, ECAPA-TDNN concatena los mapas de características intermedios producidos por todos los bloques SE-Res2Block. Esta agregación holística reconoce que las representaciones acústicas superficiales albergan micro-patrones fonéticos que son altamente complementarios a las firmas de identidad complejas extraídas en la profundidad de la red, culminando en incrustaciones de locutor inconmensurablemente más robustas.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componente terminal de la arquitectura es el Agrupamiento Estadístico Atento Dependiente del Canal (Channel-dependent Attentive Statistics Pooling). Para transformar las secuencias de marcos de longitud variable en un vector de longitud fija, ECAPA-TDNN emplea un mecanismo de auto-atención que calcula puntuaciones escalares de importancia para cada marco temporal </w:t>
      </w:r>
      <w:r w:rsidDel="00000000" w:rsidR="00000000" w:rsidRPr="00000000">
        <w:rPr>
          <w:rFonts w:ascii="Google Sans" w:cs="Google Sans" w:eastAsia="Google Sans" w:hAnsi="Google Sans"/>
          <w:color w:val="1f1f1f"/>
        </w:rPr>
        <w:drawing>
          <wp:inline distB="19050" distT="19050" distL="19050" distR="19050">
            <wp:extent cx="70788" cy="275287"/>
            <wp:effectExtent b="0" l="0" r="0" t="0"/>
            <wp:docPr id="45"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70788" cy="2752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través de cada canal individual </w:t>
      </w:r>
      <w:r w:rsidDel="00000000" w:rsidR="00000000" w:rsidRPr="00000000">
        <w:rPr>
          <w:rFonts w:ascii="Google Sans" w:cs="Google Sans" w:eastAsia="Google Sans" w:hAnsi="Google Sans"/>
          <w:color w:val="1f1f1f"/>
        </w:rPr>
        <w:drawing>
          <wp:inline distB="19050" distT="19050" distL="19050" distR="19050">
            <wp:extent cx="84859" cy="247506"/>
            <wp:effectExtent b="0" l="0" r="0" t="0"/>
            <wp:docPr id="46"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84859" cy="2475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 formulación de atención se normaliza mediante una función softmax:</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984250"/>
            <wp:effectExtent b="0" l="0" r="0" t="0"/>
            <wp:docPr id="47"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5905500" cy="9842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donde </w:t>
      </w:r>
      <w:r w:rsidDel="00000000" w:rsidR="00000000" w:rsidRPr="00000000">
        <w:rPr>
          <w:rFonts w:ascii="Google Sans" w:cs="Google Sans" w:eastAsia="Google Sans" w:hAnsi="Google Sans"/>
          <w:color w:val="1f1f1f"/>
        </w:rPr>
        <w:drawing>
          <wp:inline distB="19050" distT="19050" distL="19050" distR="19050">
            <wp:extent cx="248300" cy="248300"/>
            <wp:effectExtent b="0" l="0" r="0" t="0"/>
            <wp:docPr id="48"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248300" cy="2483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constituye la energía de atención antes de la normalización, computada mediante proyecciones no lineales de los mapas de características agregados. El escalar de atención </w:t>
      </w:r>
      <w:r w:rsidDel="00000000" w:rsidR="00000000" w:rsidRPr="00000000">
        <w:rPr>
          <w:rFonts w:ascii="Google Sans" w:cs="Google Sans" w:eastAsia="Google Sans" w:hAnsi="Google Sans"/>
          <w:color w:val="1f1f1f"/>
        </w:rPr>
        <w:drawing>
          <wp:inline distB="19050" distT="19050" distL="19050" distR="19050">
            <wp:extent cx="282394" cy="241068"/>
            <wp:effectExtent b="0" l="0" r="0" t="0"/>
            <wp:docPr id="19"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282394" cy="2410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dicta la relevancia exacta de cada fragmento de milisegundo de audio al momento de calcular la media y la desviación estándar ponderadas. Este agrupamiento atento capacita a la red neuronal para ignorar activamente segmentos de silencio, respiraciones profundas o ráfagas de ruido impulsivo, concentrando el análisis biométrico exclusivamente en la actividad vocal pura. Finalmente, estos vectores estadísticos ponderados se concatenan y se proyectan mediante capas densas hacia un espacio dimensional compacto (habitualmente 192 dimensiones) que constituye la firma biométrica.</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Funciones de Pérdida con Margen Angular (AAM-Softmax y Sub-center ArcFace)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esculpir un espacio latente de incrustaciones donde los audios pertenecientes al mismo cliente bancario se agrupen con una densidad extrema y se distancien al máximo de las voces de posibles impostores, el paradigma de aprendizaje métrico ha adoptado funciones de pérdida fundamentadas en márgenes angulares. El estándar en implementaciones como ECAPA-TDNN es la pérdida Additive Angular Margin Softmax (AAM-Softmax) o ArcFace, que reemplaza la función softmax genérica operando directamente en el espacio angular del coseno. Matemáticamente, ArcFace inyecta un margen aditivo constante </w:t>
      </w:r>
      <w:r w:rsidDel="00000000" w:rsidR="00000000" w:rsidRPr="00000000">
        <w:rPr>
          <w:rFonts w:ascii="Google Sans" w:cs="Google Sans" w:eastAsia="Google Sans" w:hAnsi="Google Sans"/>
          <w:color w:val="1f1f1f"/>
        </w:rPr>
        <w:drawing>
          <wp:inline distB="19050" distT="19050" distL="19050" distR="19050">
            <wp:extent cx="172100" cy="250979"/>
            <wp:effectExtent b="0" l="0" r="0" t="0"/>
            <wp:docPr id="20"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172100" cy="2509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el ángulo objetivo </w:t>
      </w:r>
      <w:r w:rsidDel="00000000" w:rsidR="00000000" w:rsidRPr="00000000">
        <w:rPr>
          <w:rFonts w:ascii="Google Sans" w:cs="Google Sans" w:eastAsia="Google Sans" w:hAnsi="Google Sans"/>
          <w:color w:val="1f1f1f"/>
        </w:rPr>
        <w:drawing>
          <wp:inline distB="19050" distT="19050" distL="19050" distR="19050">
            <wp:extent cx="212472" cy="247884"/>
            <wp:effectExtent b="0" l="0" r="0" t="0"/>
            <wp:docPr id="21"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212472" cy="247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entre la incrustación del locutor y el centroide de pesos de su clase genuina, forzando a la red neuronal a optimizar una separación geométrica rigurosa.</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obstante, cuando una institución financiera implementa un sistema biométrico, frecuentemente debe depender de un "dataset personalizado" o de bases de datos ruidosas recolectadas en condiciones acústicas no controladas (por ejemplo, registros de call centers plagados de ruido de tráfico o música de fondo). Forzar a una red a agrupar todas las grabaciones de un mismo cliente (tanto las prístinas como las altamente corruptas) alrededor de un único centroide geométrico utilizando ArcFace clásico provoca inestabilidad en el gradiente y degradación del rendimiento.</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resolver este desafío de ruido de etiquetas (label noise) y heterogeneidad acústica, la matemática de optimización contemporánea recomienda la función de pérdida Sub-center ArcFace. Esta variante algorítmica relaja la restricción de unimodalidad mediante el establecimiento de múltiples "sub-centros" para cada identidad de locutor. Durante la retropropagación (backpropagation), la red agrupa las locuciones de alta calidad en un sub-centro dominante, mientras asigna las muestras reverberantes o con baja relación señal-ruido (SNR) a sub-centros auxiliares. Esta topología previene el colapso de las distribuciones intra-clase, permitiendo el entrenamiento de modelos de verificación de locutor formidables incluso sobre corpus de datos masivos y no curados.</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Modelado Estadístico de Back-end y Normalización de Puntuaciones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 vez que el sistema front-end (como ECAPA-TDNN) ha comprimido la locución del cliente en un vector de 192 dimensiones, el subsistema de Back-end debe evaluar cuantitativamente la probabilidad de que la incrustación capturada coincida con la plantilla almacenada en la bóveda de la base de datos del banco. La dependencia exclusiva de la similitud métrica del coseno resulta insuficiente en entornos financieros del mundo real, dado que fracasa sistemáticamente al intentar desenredar la identidad genuina del locutor de las distorsiones ambientales (como el tipo de teléfono, la red celular VoIP frente a PSTN, o la acústica de la habitación).</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Discriminante Lineal Probabilístico (PLDA)</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contrarrestar el desajuste de dominio y la interferencia del canal, la industria bancaria estandariza el uso del Análisis Discriminante Lineal Probabilístico (Probabilistic Linear Discriminant Analysis, PLDA). A diferencia del discriminante lineal estándar, el PLDA es un modelo generativo robusto que asume que el espacio de características de alta dimensionalidad observado puede ser factorizado matemáticamente en subespacios latentes independientes, separando explícitamente la variabilidad intra-clase (variaciones de canal/sesión de un mismo locutor) de la variabilidad entre-clases (diferencias biológicas entre locutores distintos).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formulación canónica del modelo PLDA postula que una incrustación observada </w:t>
      </w:r>
      <w:r w:rsidDel="00000000" w:rsidR="00000000" w:rsidRPr="00000000">
        <w:rPr>
          <w:rFonts w:ascii="Google Sans" w:cs="Google Sans" w:eastAsia="Google Sans" w:hAnsi="Google Sans"/>
          <w:color w:val="1f1f1f"/>
        </w:rPr>
        <w:drawing>
          <wp:inline distB="19050" distT="19050" distL="19050" distR="19050">
            <wp:extent cx="257825" cy="243888"/>
            <wp:effectExtent b="0" l="0" r="0" t="0"/>
            <wp:docPr id="22"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257825" cy="2438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correspondiente al locutor </w:t>
      </w:r>
      <w:r w:rsidDel="00000000" w:rsidR="00000000" w:rsidRPr="00000000">
        <w:rPr>
          <w:rFonts w:ascii="Google Sans" w:cs="Google Sans" w:eastAsia="Google Sans" w:hAnsi="Google Sans"/>
          <w:color w:val="1f1f1f"/>
        </w:rPr>
        <w:drawing>
          <wp:inline distB="19050" distT="19050" distL="19050" distR="19050">
            <wp:extent cx="91895" cy="247409"/>
            <wp:effectExtent b="0" l="0" r="0" t="0"/>
            <wp:docPr id="23" name="image37.png"/>
            <a:graphic>
              <a:graphicData uri="http://schemas.openxmlformats.org/drawingml/2006/picture">
                <pic:pic>
                  <pic:nvPicPr>
                    <pic:cNvPr id="0" name="image37.png"/>
                    <pic:cNvPicPr preferRelativeResize="0"/>
                  </pic:nvPicPr>
                  <pic:blipFill>
                    <a:blip r:embed="rId29"/>
                    <a:srcRect b="0" l="0" r="0" t="0"/>
                    <a:stretch>
                      <a:fillRect/>
                    </a:stretch>
                  </pic:blipFill>
                  <pic:spPr>
                    <a:xfrm>
                      <a:off x="0" y="0"/>
                      <a:ext cx="91895" cy="247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durante la sesión de grabación </w:t>
      </w:r>
      <w:r w:rsidDel="00000000" w:rsidR="00000000" w:rsidRPr="00000000">
        <w:rPr>
          <w:rFonts w:ascii="Google Sans" w:cs="Google Sans" w:eastAsia="Google Sans" w:hAnsi="Google Sans"/>
          <w:color w:val="1f1f1f"/>
        </w:rPr>
        <w:drawing>
          <wp:inline distB="19050" distT="19050" distL="19050" distR="19050">
            <wp:extent cx="70788" cy="275287"/>
            <wp:effectExtent b="0" l="0" r="0" t="0"/>
            <wp:docPr id="24"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70788" cy="2752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genera mediante el siguiente proceso estocástico:</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97449"/>
            <wp:effectExtent b="0" l="0" r="0" t="0"/>
            <wp:docPr id="25"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905500" cy="697449"/>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este ecosistema matemático, </w:t>
      </w:r>
      <w:r w:rsidDel="00000000" w:rsidR="00000000" w:rsidRPr="00000000">
        <w:rPr>
          <w:rFonts w:ascii="Google Sans" w:cs="Google Sans" w:eastAsia="Google Sans" w:hAnsi="Google Sans"/>
          <w:color w:val="1f1f1f"/>
        </w:rPr>
        <w:drawing>
          <wp:inline distB="19050" distT="19050" distL="19050" distR="19050">
            <wp:extent cx="118197" cy="258555"/>
            <wp:effectExtent b="0" l="0" r="0" t="0"/>
            <wp:docPr id="26"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118197" cy="2585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representa la media global del espacio acústico. La matriz </w:t>
      </w:r>
      <w:r w:rsidDel="00000000" w:rsidR="00000000" w:rsidRPr="00000000">
        <w:rPr>
          <w:rFonts w:ascii="Google Sans" w:cs="Google Sans" w:eastAsia="Google Sans" w:hAnsi="Google Sans"/>
          <w:color w:val="1f1f1f"/>
        </w:rPr>
        <w:drawing>
          <wp:inline distB="19050" distT="19050" distL="19050" distR="19050">
            <wp:extent cx="154024" cy="245038"/>
            <wp:effectExtent b="0" l="0" r="0" t="0"/>
            <wp:docPr id="27"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154024" cy="2450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abarca el subespacio de variabilidad de la identidad del locutor, mientras que </w:t>
      </w:r>
      <w:r w:rsidDel="00000000" w:rsidR="00000000" w:rsidRPr="00000000">
        <w:rPr>
          <w:rFonts w:ascii="Google Sans" w:cs="Google Sans" w:eastAsia="Google Sans" w:hAnsi="Google Sans"/>
          <w:color w:val="1f1f1f"/>
        </w:rPr>
        <w:drawing>
          <wp:inline distB="19050" distT="19050" distL="19050" distR="19050">
            <wp:extent cx="165172" cy="251349"/>
            <wp:effectExtent b="0" l="0" r="0" t="0"/>
            <wp:docPr id="28"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165172" cy="2513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constituye el vector latente intrínseco e inmutable dependiente del locutor (la verdadera firma biométrica). Por otro lado, la matriz </w:t>
      </w:r>
      <w:r w:rsidDel="00000000" w:rsidR="00000000" w:rsidRPr="00000000">
        <w:rPr>
          <w:rFonts w:ascii="Google Sans" w:cs="Google Sans" w:eastAsia="Google Sans" w:hAnsi="Google Sans"/>
          <w:color w:val="1f1f1f"/>
        </w:rPr>
        <w:drawing>
          <wp:inline distB="19050" distT="19050" distL="19050" distR="19050">
            <wp:extent cx="155215" cy="246932"/>
            <wp:effectExtent b="0" l="0" r="0" t="0"/>
            <wp:docPr id="9"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155215" cy="2469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encapsula el subespacio de variabilidad de canal e inter-sesión, y el vector latente </w:t>
      </w:r>
      <w:r w:rsidDel="00000000" w:rsidR="00000000" w:rsidRPr="00000000">
        <w:rPr>
          <w:rFonts w:ascii="Google Sans" w:cs="Google Sans" w:eastAsia="Google Sans" w:hAnsi="Google Sans"/>
          <w:color w:val="1f1f1f"/>
        </w:rPr>
        <w:drawing>
          <wp:inline distB="19050" distT="19050" distL="19050" distR="19050">
            <wp:extent cx="235744" cy="242677"/>
            <wp:effectExtent b="0" l="0" r="0" t="0"/>
            <wp:docPr id="10"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235744" cy="2426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modela el efecto transitorio del entorno acústico de esa grabación específica. Finalmente, </w:t>
      </w:r>
      <w:r w:rsidDel="00000000" w:rsidR="00000000" w:rsidRPr="00000000">
        <w:rPr>
          <w:rFonts w:ascii="Google Sans" w:cs="Google Sans" w:eastAsia="Google Sans" w:hAnsi="Google Sans"/>
          <w:color w:val="1f1f1f"/>
        </w:rPr>
        <w:drawing>
          <wp:inline distB="19050" distT="19050" distL="19050" distR="19050">
            <wp:extent cx="203163" cy="253954"/>
            <wp:effectExtent b="0" l="0" r="0" t="0"/>
            <wp:docPr id="11"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203163" cy="2539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un término de error residual modelado como ruido gaussiano con covarianza diagonal </w:t>
      </w:r>
      <w:r w:rsidDel="00000000" w:rsidR="00000000" w:rsidRPr="00000000">
        <w:rPr>
          <w:rFonts w:ascii="Google Sans" w:cs="Google Sans" w:eastAsia="Google Sans" w:hAnsi="Google Sans"/>
          <w:color w:val="1f1f1f"/>
        </w:rPr>
        <w:drawing>
          <wp:inline distB="19050" distT="19050" distL="19050" distR="19050">
            <wp:extent cx="136056" cy="243469"/>
            <wp:effectExtent b="0" l="0" r="0" t="0"/>
            <wp:docPr id="12"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136056" cy="2434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Durante el proceso de inferencia para autenticar una transferencia bancaria, el modelo PLDA no mide distancias euclidianas; calcula el Índice Logarítmico de Verosimilitud (Log-Likelihood Ratio, LLR). Este proceso evalúa la probabilidad posterior conjunta de que la incrustación de inscripción y la incrustación de prueba hayan sido generadas por el mismo vector de identidad subyacente </w:t>
      </w:r>
      <w:r w:rsidDel="00000000" w:rsidR="00000000" w:rsidRPr="00000000">
        <w:rPr>
          <w:rFonts w:ascii="Google Sans" w:cs="Google Sans" w:eastAsia="Google Sans" w:hAnsi="Google Sans"/>
          <w:color w:val="1f1f1f"/>
        </w:rPr>
        <w:drawing>
          <wp:inline distB="19050" distT="19050" distL="19050" distR="19050">
            <wp:extent cx="165172" cy="251349"/>
            <wp:effectExtent b="0" l="0" r="0" t="0"/>
            <wp:docPr id="13"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165172" cy="2513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contrastándola con la probabilidad marginal de que provengan de identidades latentes estadísticamente independientes. Al marginar analíticamente el componente perturbador de la sesión (</w:t>
      </w:r>
      <w:r w:rsidDel="00000000" w:rsidR="00000000" w:rsidRPr="00000000">
        <w:rPr>
          <w:rFonts w:ascii="Google Sans" w:cs="Google Sans" w:eastAsia="Google Sans" w:hAnsi="Google Sans"/>
          <w:color w:val="1f1f1f"/>
        </w:rPr>
        <w:drawing>
          <wp:inline distB="19050" distT="19050" distL="19050" distR="19050">
            <wp:extent cx="390958" cy="244349"/>
            <wp:effectExtent b="0" l="0" r="0" t="0"/>
            <wp:docPr id="14"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390958" cy="2443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PLDA purifica efectivamente la puntuación de similitud, dotando al sistema de una robustez extrema ante cambios de dispositivo telefónico.</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Cuando las instituciones bancarias despliegan un dataset personalizado para afinar (fine-tune) el modelo, a menudo se enfrentan a la escasez de datos intra-dominio, lo que puede volver inestable la estimación por Máxima Verosimilitud (EM) de la matriz de covarianza del PLDA. La literatura reciente prescribe el uso del PLDA Interpolado o el PLDA Diagonal. El PLDA Interpolado impone una distribución previa de Wishart como regularizador bayesiano, actualizando la matriz de precisión como una interpolación lineal entre el conocimiento previo (frecuentemente una matriz identidad que emula la puntuación del coseno) y los datos observados empíricamente, mitigando severamente el sobreajuste.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Calibración Distributiva: Normalización AS-Norm y TAS-Norm</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pesar de la supremacía del PLDA, las puntuaciones de LLR crudas fluctúan erráticamente bajo la influencia de discrepancias de duración de la locución y acústicas no gaussianas, provocando que un umbral de decisión estático sea inoperante y dispare las tasas de Falso Rechazo. Para calibrar las distribuciones estocásticas, la tubería del sistema ejecuta protocolos de Normalización de Puntuaciones. Históricamente, las técnicas Z-norm (centrada en el modelo inscrito) y T-norm (centrada en la locución de prueba) ajustaban la media y la varianza cruzando los audios contra una cohorte masiva de impostores. Su amalgama, la Normalización Simétrica (S-norm), promedia los estadísticos de ambas.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obstante, en sistemas de biometría poblacional masiva, el uso indiscriminado de una cohorte global contamina la normalización con impostores acústicamente irrelevantes, desplazando artificialmente la campana de Gauss. La vanguardia en el análisis de datos exige la implementación de la Normalización Simétrica Adaptativa (AS-Norm). En la AS-Norm, el algoritmo selecciona dinámicamente un subconjunto restringido y altamente competitivo: únicamente los </w:t>
      </w:r>
      <w:r w:rsidDel="00000000" w:rsidR="00000000" w:rsidRPr="00000000">
        <w:rPr>
          <w:rFonts w:ascii="Google Sans" w:cs="Google Sans" w:eastAsia="Google Sans" w:hAnsi="Google Sans"/>
          <w:color w:val="1f1f1f"/>
        </w:rPr>
        <w:drawing>
          <wp:inline distB="19050" distT="19050" distL="19050" distR="19050">
            <wp:extent cx="178702" cy="240561"/>
            <wp:effectExtent b="0" l="0" r="0" t="0"/>
            <wp:docPr id="15"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178702" cy="2405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perfiles impostores (las cohortes </w:t>
      </w:r>
      <w:r w:rsidDel="00000000" w:rsidR="00000000" w:rsidRPr="00000000">
        <w:rPr>
          <w:rFonts w:ascii="Google Sans" w:cs="Google Sans" w:eastAsia="Google Sans" w:hAnsi="Google Sans"/>
          <w:color w:val="1f1f1f"/>
        </w:rPr>
        <w:drawing>
          <wp:inline distB="19050" distT="19050" distL="19050" distR="19050">
            <wp:extent cx="350801" cy="245561"/>
            <wp:effectExtent b="0" l="0" r="0" t="0"/>
            <wp:docPr id="16"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350801" cy="2455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350801" cy="259593"/>
            <wp:effectExtent b="0" l="0" r="0" t="0"/>
            <wp:docPr id="17" name="image33.png"/>
            <a:graphic>
              <a:graphicData uri="http://schemas.openxmlformats.org/drawingml/2006/picture">
                <pic:pic>
                  <pic:nvPicPr>
                    <pic:cNvPr id="0" name="image33.png"/>
                    <pic:cNvPicPr preferRelativeResize="0"/>
                  </pic:nvPicPr>
                  <pic:blipFill>
                    <a:blip r:embed="rId41"/>
                    <a:srcRect b="0" l="0" r="0" t="0"/>
                    <a:stretch>
                      <a:fillRect/>
                    </a:stretch>
                  </pic:blipFill>
                  <pic:spPr>
                    <a:xfrm>
                      <a:off x="0" y="0"/>
                      <a:ext cx="350801" cy="2595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que exhiben las puntuaciones de similitud más elevadas frente al audio analizado.</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Matemáticamente, la variante predominante (AS-Norm1) formula la puntuación final calibrada </w:t>
      </w:r>
      <w:r w:rsidDel="00000000" w:rsidR="00000000" w:rsidRPr="00000000">
        <w:rPr>
          <w:rFonts w:ascii="Google Sans" w:cs="Google Sans" w:eastAsia="Google Sans" w:hAnsi="Google Sans"/>
          <w:color w:val="1f1f1f"/>
        </w:rPr>
        <w:drawing>
          <wp:inline distB="19050" distT="19050" distL="19050" distR="19050">
            <wp:extent cx="806594" cy="243369"/>
            <wp:effectExtent b="0" l="0" r="0" t="0"/>
            <wp:docPr id="18"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806594" cy="2433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como:</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1179796"/>
            <wp:effectExtent b="0" l="0" r="0" t="0"/>
            <wp:docPr id="1" name="image15.png"/>
            <a:graphic>
              <a:graphicData uri="http://schemas.openxmlformats.org/drawingml/2006/picture">
                <pic:pic>
                  <pic:nvPicPr>
                    <pic:cNvPr id="0" name="image15.png"/>
                    <pic:cNvPicPr preferRelativeResize="0"/>
                  </pic:nvPicPr>
                  <pic:blipFill>
                    <a:blip r:embed="rId43"/>
                    <a:srcRect b="0" l="0" r="0" t="0"/>
                    <a:stretch>
                      <a:fillRect/>
                    </a:stretch>
                  </pic:blipFill>
                  <pic:spPr>
                    <a:xfrm>
                      <a:off x="0" y="0"/>
                      <a:ext cx="5905500" cy="1179796"/>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donde </w:t>
      </w:r>
      <w:r w:rsidDel="00000000" w:rsidR="00000000" w:rsidRPr="00000000">
        <w:rPr>
          <w:rFonts w:ascii="Google Sans" w:cs="Google Sans" w:eastAsia="Google Sans" w:hAnsi="Google Sans"/>
          <w:color w:val="1f1f1f"/>
        </w:rPr>
        <w:drawing>
          <wp:inline distB="19050" distT="19050" distL="19050" distR="19050">
            <wp:extent cx="118197" cy="258555"/>
            <wp:effectExtent b="0" l="0" r="0" t="0"/>
            <wp:docPr id="2"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118197" cy="2585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118846" cy="259976"/>
            <wp:effectExtent b="0" l="0" r="0" t="0"/>
            <wp:docPr id="3"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118846" cy="2599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determinan la media y la desviación estándar de las puntuaciones de LLR restringidas exclusivamente a la cohorte adaptativa de los impostores más difíciles. Esta recalibración garantiza que el margen de confianza para acceder a una cuenta bancaria mantenga un rigor estricto ante el fraude de esfuerzo cero. Recientes contribuciones han propuesto el Trainable AS-norm (TAS-norm), el cual reemplaza las cohortes estáticas por Incrustaciones de Impostores Aprendibles (Learnable Impostor Embeddings, LIEs). Mediante un proceso de ajuste fino basado en gradientes, TAS-norm optimiza dinámicamente el desplazamiento y la escala de la normalización simulando la verificación ASV con datos del dominio del banco durante el entrenamiento, garantizando una fuerza de regularización óptima que previene confusiones críticas.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Técnica de Normalización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Composición de la Cohorte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Función Principal y Efecto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Z-Norm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(Impostores aleatorios frente al audio inscrito)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Estabiliza las variaciones inter-locutor; sensible a outliers.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T-Norm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(Impostores aleatorios frente al audio de prueba)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Estabiliza las variaciones intra-sesión/canal.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S-Norm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(Promedio simétrico de Z y 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Mejora la calibración general asumiendo simetría </w:t>
            </w:r>
            <w:r w:rsidDel="00000000" w:rsidR="00000000" w:rsidRPr="00000000">
              <w:rPr>
                <w:rFonts w:ascii="Google Sans" w:cs="Google Sans" w:eastAsia="Google Sans" w:hAnsi="Google Sans"/>
                <w:color w:val="1f1f1f"/>
              </w:rPr>
              <w:drawing>
                <wp:inline distB="19050" distT="19050" distL="19050" distR="19050">
                  <wp:extent cx="1248747" cy="242812"/>
                  <wp:effectExtent b="0" l="0" r="0" t="0"/>
                  <wp:docPr id="4"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1248747" cy="2428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AS-Norm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Adaptativa (Top </w:t>
            </w:r>
            <w:r w:rsidDel="00000000" w:rsidR="00000000" w:rsidRPr="00000000">
              <w:rPr>
                <w:rFonts w:ascii="Google Sans" w:cs="Google Sans" w:eastAsia="Google Sans" w:hAnsi="Google Sans"/>
                <w:color w:val="1f1f1f"/>
              </w:rPr>
              <w:drawing>
                <wp:inline distB="19050" distT="19050" distL="19050" distR="19050">
                  <wp:extent cx="178702" cy="240561"/>
                  <wp:effectExtent b="0" l="0" r="0" t="0"/>
                  <wp:docPr id="5"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178702" cy="2405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impostores más competitivos)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Maximiza el poder discriminativo; rechaza interferencia de locutores acústicamente distantes.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TAS-Norm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Adaptativa Aprendible (Vectores LIEs optimizados)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Afina el desplazamiento de escala integrando conocimiento del dominio bancario; mitiga distribuciones subóptimas.</w:t>
            </w:r>
          </w:p>
        </w:tc>
      </w:tr>
    </w:tbl>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Integración del Dataset Personalizado: Tuberías de Datos y Aumento (SpeechBrain)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operatividad del análisis de datos sobre un "dataset personalizado" proporcionado por la entidad bancaria requiere ecosistemas de orquestación ágiles. La caja de herramientas de código abierto SpeechBrain (desarrollada sobre PyTorch) ha emergido como el marco preferencial debido a su flexibilidad paramétrica para manejar transformaciones de audio al vuelo (on-the-fly) sin el colosal gasto de E/S de volcar características al disco.</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corazón del procesamiento de datos en SpeechBrain es la clase DynamicItemDataset. En lugar de requerir que el banco reestructure sus gigabytes de grabaciones de call center, DynamicItemDataset parsea eficientemente archivos JSON o CSV indexados que contienen metadatos críticos (ruta del audio, identidad del locutor, longitud en milisegundos y etiquetas ambientales). A través de Tuberías de Elementos Dinámicos (Dynamic Item Pipelines, DIPs) definidas mediante decoradores de Python, el sistema ensambla objetos de datos dinámicamente, ejecutando la lectura de tensores de audio, la normalización temporal, y la extracción de características (como FBANKs o MFCCs) en tiempo real y sobre la GPU. Adicionalmente, el hiperparámetro YAML (Hyperpyyaml) centraliza la definición algorítmica y las clases de inicialización del ECAPA-TDNN y el clasificador PLDA en un formato eminentemente legible, garantizando una experimentación acelerada y replicable.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Resiliencia mediante SpecAugment y Mejora Acústica (MetricGAN)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 red neuronal entrenada exclusivamente con voces prístinas colapsará en entornos ruidosos (SNR negativo) típicos de la banca telefónica. Para inyectar inmunidad, la tubería de análisis de datos debe incorporar rutinas destructivas de Data Augmentation. Operadores como SpecAugment proceden a enmascarar estocásticamente bloques enteros de tiempo y bandas de frecuencia directamente sobre el espectrograma de las grabaciones durante el entrenamiento. Obligando a la red neuronal (por ejemplo, ECAPA-TDNN) a inferir la identidad vocal a partir de un espectro fragmentado, se previne la sobredependencia de formantes resonantes específicos, cultivando huellas biométricas con un grado superlativo de generalización acústica. El uso simultáneo de técnicas como RawBoost, que contamina directamente la forma de onda, prepara a las arquitecturas para resistir distorsiones de artefactos de reverberación y ruidos de motor o viento.</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otra parte, para el subsistema de inferencia en vivo (cuando el cliente realmente llama al banco), el audio contaminado puede preprocesarse utilizando redes generativas especializadas en Mejora del Habla (Speech Enhancement) como Demucs o MetricGAN. Las metodologías iterativas de MetricGAN evaden las pérdidas tradicionales basadas en el error cuadrático medio (MSE), entrenando modelos discriminadores bajo un marco de aprendizaje por refuerzo para maximizar implícitamente métricas psicoacústicas de alta percepción humana como PESQ (Perceptual Evaluation of Speech Quality) y STOI. Esta "desintoxicación" del flujo de audio asegura que el clasificador posterior ASV / PLDA opere sobre variables purificadas, incrementando drásticamente la robustez y evadiendo caídas severas del índice de aciertos debido al ruido estático.</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Seguridad Ofensiva: Anti-Spoofing y Detección de Falsificaciones Profundas (Deepfakes)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resolución matemática de la robustez del canal introdujo un dilema de seguridad sin precedentes. Los generadores de conversión de voz algorítmica y los modelos TTS neuronales (Deepfakes) proyectan vectores acústicos artificiales que el PLDA sitúa peligrosamente cerca de los centroides de los clientes legítimos. Esta deficiencia estructural impulsó el surgimiento de contramedidas independientes de detección de suplantación (Anti-Spoofing), catalizadas por consorcios como el desafío internacional ASVspoof.</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ecosistema ASVspoof (particularmente sus ediciones 2021 y 5) clasifica exhaustivamente el campo de batalla en tres escenarios superpuestos: Acceso Lógico (LA), enfocado en transmisiones codificadas por VoIP y telefonía PSTN con compresión severa (códecs A-law, </w:t>
      </w:r>
      <w:r w:rsidDel="00000000" w:rsidR="00000000" w:rsidRPr="00000000">
        <w:rPr>
          <w:rFonts w:ascii="Google Sans" w:cs="Google Sans" w:eastAsia="Google Sans" w:hAnsi="Google Sans"/>
          <w:color w:val="1f1f1f"/>
        </w:rPr>
        <w:drawing>
          <wp:inline distB="19050" distT="19050" distL="19050" distR="19050">
            <wp:extent cx="118197" cy="258555"/>
            <wp:effectExtent b="0" l="0" r="0" t="0"/>
            <wp:docPr id="6"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118197" cy="2585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-law, G.722) aplicadas a voces clonadas; Acceso Físico (PA), dirigido a la detección de ataques de reproducción (Replay Attacks) donde un atacante transmite una grabación legítima a través de un altavoz hacia el micrófono de verificación bajo diversas geometrías de reverberación en sala; y la Detección de Deepfakes (DF), centrada en la persistencia de los falsos espectros tras someter el audio a compresiones mediáticas con pérdida (mp3, ogg, m4a) generados por cientos de algoritmos de inteligencia artificial diferentes.</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Arquitecturas Anti-Spoofing Especializadas (AASIST y RawTFNet)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análisis matemático profundo evidencia que el habla sintetizada inherentemente carece de la sincronización de microfase orgánica y las irregularidades armónicas de las cuerdas vocales biológicas, distribuyendo patrones sintéticos delatadores a lo largo de bandas de frecuencia dispares.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contramedida líder para identificar estos rastros es la arquitectura AASIST (Audio Anti-Spoofing using Integrated Spectro-Temporal graph attention networks). AASIST revoluciona la representación acústica: en lugar de procesar espectrogramas como tensores matriciales rígidos, amalgama las características bajo una topología de grafos heterogéneos. Utilizando Redes de Atención de Grafos (Graph Attention Networks, GATs), AASIST mapea y atiende concurrentemente a las características espectrales de alta resolución y las dinámicas temporales del audio. Esta arquitectura permite a la red rastrear cómo interactúa un artefacto temporal con un armónico espurio en una frecuencia remota, logrando tasas EER notablemente bajas incluso ante ataques de conversión de voz invisibles durante la fase de entrenamiento.</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contraste con AASIST, se han desarrollado enfoques convolucionales livianos que optimizan agresivamente los recursos computacionales, un requisito esencial si la verificación bancaria ocurre directamente (on-device) en la aplicación móvil del cliente. RawTFNet es una red convolucional (CNN) que ingiere directamente la forma de onda del audio. Empleando un bloque prefrontal basado en un filtro Sinc y módulos Squeeze-and-Excitation DWS-Res2Net, su innovación recae en las Convoluciones de Tiempo-Frecuencia (TF-Convs). Estas TF-Convs dividen y procesan el mapa de características dimensionales espacialmente en dos ramas ortogonales (una dedicada puramente al eje temporal y otra al eje frecuencial), capturando detalles granulares de falsificación que escapan a las convoluciones 2D estándar, y logrando un desempeño equiparable al estado del arte utilizando apenas unos 70,000 parámetros.</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Arquitectura de Contramedida (CM)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Modalidad de Entrada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Topología Funcional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Ventajas Estratégicas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AASIST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Waveform / Spectro-Temporal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 de Atención de Grafos (GAT) heterogéneos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Modelado profundo de dependencias armónicas a largo plazo; alta resistencia a deepfakes VC/TTS no vistos.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RawTFNet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Señal Acústica Cruda (Raw)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TF-Convs + Filtros Sinc + DWS SE-Res2Net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Ligero computacionalmente (70K parám.); procesamiento disjunto de ejes temporales y frecuenciales para captar micro-artefactos.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TO-RawNet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Señal Cruda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Convoluciones Ortogonales + TCN (Redes Conv. Temporales)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matrices ortogonales reducen la redundancia del filtro Sinc, magnificando la discriminación de la voz clonada.</w:t>
            </w:r>
          </w:p>
        </w:tc>
      </w:tr>
    </w:tbl>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Integración SASV: Verificación de Locutor Consciente de Falsificación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desarrollo aislado de sistemas de verificación de locutor (ASV) y contramedidas de detección de falsificación (CM) originó un antagonismo operativo. Las arquitecturas entrenadas exclusivamente como detectores de deepfakes tienden a sobreajustarse a las señales sintéticas, perdiendo por completo la capacidad de distinguir entre diferentes hablantes genuinos; paralelamente, los sistemas ASV (como ECAPA-TDNN) son ciegos frente a deepfakes de alta calidad que imitan con exactitud el espectro PLDA del blanco. Este conflicto desencadenó el paradigma de Verificación de Locutor Consciente de Falsificación (Spoofing-Aware Speaker Verification, SASV).</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objetivo central de la filosofía SASV es consolidar la seguridad en un marco unificado que sea capaz de rechazar inexorablemente las tres variables de riesgo: intentos de acceso nulos (usuarios genuinos pero con identidad incorrecta), ataques de presentación física (reproducción) e invasiones de acceso lógico (deepfakes). Para evaluar rigurosamente el riesgo que la vulneración del sistema anti-spoofing inflige sobre la fiabilidad de la verificación, el campo de evaluación reemplazó la métrica EER unidimensional por la Función de Coste de Detección en Tándem (Tandem Detection Cost Function, t-DCF). La métrica t-DCF asigna penalizaciones asimétricas dependientes de la arquitectura en serie o en cascada, priorizando abrumadoramente las configuraciones que previenen falsas aceptaciones derivadas de ataques sintéticos sin elevar prohibitivamente los rechazos a clientes fidedignos.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Estrategias Analíticas de Fusión y Optimización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arquitecturas propuestas en los desafíos SASV y ASVspoof 5 convergen en tres paradigmas fundamentales de integración de datos:</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Fusión a Nivel de Puntuación (Score-Level Fusion):</w:t>
      </w:r>
      <w:r w:rsidDel="00000000" w:rsidR="00000000" w:rsidRPr="00000000">
        <w:rPr>
          <w:rFonts w:ascii="Google Sans" w:cs="Google Sans" w:eastAsia="Google Sans" w:hAnsi="Google Sans"/>
          <w:color w:val="1f1f1f"/>
          <w:rtl w:val="0"/>
        </w:rPr>
        <w:t xml:space="preserve"> Constituye el enfoque más pragmático. Los subsistemas fijos y pre-entrenados de ASV y CM emiten independientemente sus puntuaciones calibradas, que luego se integran algorítmicamente. Una estrategia común es la Fusión Probabilística de Productos, donde la puntuación conjunta SASV se deriva multiplicando las probabilidades calibradas mediante funciones sigmoideas: </w:t>
      </w:r>
      <w:r w:rsidDel="00000000" w:rsidR="00000000" w:rsidRPr="00000000">
        <w:rPr>
          <w:rFonts w:ascii="Google Sans" w:cs="Google Sans" w:eastAsia="Google Sans" w:hAnsi="Google Sans"/>
          <w:color w:val="1f1f1f"/>
        </w:rPr>
        <w:drawing>
          <wp:inline distB="19050" distT="19050" distL="19050" distR="19050">
            <wp:extent cx="2277447" cy="243020"/>
            <wp:effectExtent b="0" l="0" r="0" t="0"/>
            <wp:docPr id="7"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2277447" cy="243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Sorprendentemente, un enfoque de suma lineal post-normalización (Z-norm o Softmax) puede demoler el EER de un sistema ASV convencional asediado por spoofing de un 23.8% a un robusto 1.71%.</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Fusión Profunda a Nivel de Incrustaciones (Embedding-Level DNN Fusion):</w:t>
      </w:r>
      <w:r w:rsidDel="00000000" w:rsidR="00000000" w:rsidRPr="00000000">
        <w:rPr>
          <w:rFonts w:ascii="Google Sans" w:cs="Google Sans" w:eastAsia="Google Sans" w:hAnsi="Google Sans"/>
          <w:color w:val="1f1f1f"/>
          <w:rtl w:val="0"/>
        </w:rPr>
        <w:t xml:space="preserve"> Busca capturar dinámicas cruzadas ignoradas por las puntuaciones escalares simples. En este modelo, el tensor multidimensional extraído por el módulo ECAPA-TDNN se concatena con el vector de la red AASIST, y la súper-incrustación resultante alimenta capas densas de un Perceptrón Multicapa (MLP) entrenadas explícitamente para discernir las tres clases simultáneamente.</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Optimización Conjunta Modular (Joint Optimization):</w:t>
      </w:r>
      <w:r w:rsidDel="00000000" w:rsidR="00000000" w:rsidRPr="00000000">
        <w:rPr>
          <w:rFonts w:ascii="Google Sans" w:cs="Google Sans" w:eastAsia="Google Sans" w:hAnsi="Google Sans"/>
          <w:color w:val="1f1f1f"/>
          <w:rtl w:val="0"/>
        </w:rPr>
        <w:t xml:space="preserve"> A través del aprendizaje multi-tarea, el entrenamiento ajusta los parámetros de ambos sistemas simultáneamente utilizando funciones de pérdida complejas que balancean el a-DCF y la entropía cruzada. Las investigaciones exhaustivas han determinado que, si bien la optimización conjunta amplifica drásticamente la resistencia al spoofing sintético (el SPF-EER colapsa), ocasionalmente induce una sutil degradación en el rechazo preciso de impostores humanos reales, requiriendo un ajuste meticuloso del sesgo inductivo.</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Criptografía Biométrica, Privacidad y Prevención de Suplantación Lógica</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Almacenar millones de incrustaciones PLDA (huellas de voz) en las bases de datos de una institución financiera genera una superficie de ataque catastrófica. La anatomía del tracto vocal y los patrones del habla de un cliente son atributos biométricos inexorables e irrevocables; si un servidor sufre una filtración (data breach), la biometría del cliente no puede ser "reiniciada" o "cambiada" del mismo modo que se restablece un PIN numérico. Para satisfacer regulaciones gubernamentales de privacidad de datos severas (como el GDPR europeo), los protocolos de la infraestructura bancaria deben operar exclusivamente en el dominio de la criptografía homomórfica.</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Encriptación Homomórfica (FHE) y el Esquema CKKS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abordaje primigenio de protección, la Biometría Cancelable (Cancelable Biometrics), ofuscaba el vector de la voz mediante transformaciones funcionales irreversibles con la esperanza de preservar la métrica de distancia de los cosenos en el espacio deformado. Lamentablemente, demostraciones de criptoanálisis han demostrado que los atacantes pueden ejecutar ataques de pre-imagen inversos explotando esta topología de preservación de distancias, comprometiendo irreparablemente la plantilla original si se descubre el algoritmo del banco.</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solución industrial de grado militar es la Encriptación Totalmente Homomórfica (Fully Homomorphic Encryption, FHE). Los criptosistemas FHE permiten a un servidor computacional ejecutar operaciones algebraicas fundamentales (adiciones, multiplicaciones matriciales y proyecciones complejas de tensores) directamente sobre los datos de texto cifrado, manteniendo el anonimato y eliminando rotundamente la necesidad de descifrar la plantilla vocal dentro de la memoria RAM del servidor bancario.</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desafío para la evaluación ASV biométrica radica en la fricción computacional: las ecuaciones de similitud coseno o LLR PLDA implican divisiones complejas y raíces cuadradas, operaciones tradicionalmente incompatibles con las bases polinomiales de los esquemas FHE. Para sortear esta barrera sin truncar la precisión de punto flotante de la red neuronal, las investigaciones de vanguardia implementan el esquema Cheon-Kim-Kim-Song (CKKS) de aritmética aproximada emparejado con algoritmos numéricos iterativos. Específicamente, el sistema de verificación del lado del servidor aplica el método de aproximación de Newton-Raphson. Este método computa matemáticamente la inversa de la raíz cuadrada de las normas de las incrustaciones cifradas requerida para la normalización PLDA mediante una serie de multiplicaciones y sustracciones iterativas soportadas inherentemente por el cifrado homomórfico, evitando desencadenar descifrados intermedios comprometedores.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la praxis bancaria: el smartphone del cliente extrae el vector acústico ECAPA-TDNN y lo encripta empleando su clave asimétrica privada (Public Key Infrastructure). El tensor encriptado fluye hacia la nube financiera. El servidor (ignorante del contenido de la voz real del cliente) inyecta el tensor FHE en su modelo de matriz de varianzas PLDA empleando las iteraciones matemáticas de Newton-Raphson, y deduce una puntuación de similitud FHE igualmente ofuscada. Posteriormente, utilizando arquitecturas de Computación Multipartita Segura (Secure Multi-Party Computation, SMPC) apalancando protocolos de circuitos garabateados (garbled circuits) o secret sharing, el banco evalúa de forma encriptada el umbral de aceptación y emite el comando criptográfico para autorizar la transacción. El retardo (overhead) inferencial de este procesamiento seguro sube apenas 1.3 segundos con caídas del EER minúsculas (ej. pérdida marginal del 2.8%), una concesión absolutamente imperceptible en la balanza de las CX.</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Pruebas de Vida Activas (Active Liveness Detection) contra Clonaciones de Esfuerzo Cero</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confianza ciega en la evaluación biométrica pasiva, no importa cuán intrincado sea el modelo matemático subyacente, posee fallas fatales frente a clonadores orgánicos y suplantadores biológicos. Esta realidad operativa quedó al descubierto en un incidente notorio que afectó el sistema de "Voice ID" del banco HSBC en el Reino Unido. Un reportero estableció un servicio de banca telefónica basado en reconocimiento de voz bajo el eslogan "mi voz es mi contraseña", solo para observar cómo su hermano gemelo no idéntico, imitando su voz, logró vulnerar el sistema PLDA del banco, obteniendo acceso a los balances tras ocho intentos sucesivos. Dado que las dimensiones anatómicas del tracto vocal y los armónicos de resonancia laringea (características que alimentan el espectrograma CQCC y al ECAPA-TDNN) de hermanos mellizos o familiares cercanos comparten un alto grado de solapamiento estocástico, los esquemas algorítmicos estándar sucumben al intentar forzar una falsa discriminación en el espacio de características, fallando estrepitosamente en el margen de EER de esfuerzo cero.</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fortificar las pasarelas (gateways) de acceso contra biometría generada por humanos engañosos, reproducciones y vocoders deepfake sincronizados en tiempo real, las instituciones financieras suplementan las arquitecturas ASV/CM con módulos obligatorios de Prueba de Vida Activa (Active Liveness Detection). A diferencia del anti-spoofing pasivo que analiza estadísticamente una frase memorizada recitada pasivamente, la prueba activa aplica un paradigma interactivo de desafío-respuesta (Challenge-Response) estocástico y dinámico.</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Durante el intento de sesión remota, el bot de IA del banco dicta un "desafío" (prompt) fonéticamente impredecible —tales como instigar al usuario a recitar un número de serie específico proyectado en la pantalla de la aplicación bancaria, formular una respuesta libre a una pregunta sintáctica aleatoria, o instruir alteraciones explícitas de la prosodia o entonación emocional. El componente subyacente evalúa criptográficamente y en fracciones de milisegundos si la señal acústica de la respuesta temporal de la víctima se correlaciona con la semántica del desafío, al mismo tiempo que inspecciona los componentes espectro-temporales mediante AASIST para delatar anomalías en la concatenación robótica en el instante en que el atacante (o sistema de IA antagónica) intenta modular sintéticamente la respuesta fonética en tiempo real. Las grabaciones premeditadas o el ataque cibernético orquestado por un hermano gemelo desarmado logran ser neutralizados, ya que el impostor carecerá de los metadatos contextuales para eludir la dinámica impredecible y fisiológicamente interactiva dictada por la plataforma.</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Síntesis y Recomendaciones Estratégicas para Arquitecturas Bancarias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desarrollo e implementación de un sistema de reconocimiento de voz y seguridad biométrica destinado al núcleo de las operaciones del sector financiero trasciende el mero ensamblaje de algoritmos predictivos; requiere una intrincada coreografía de técnicas matemáticas avanzadas, procesamiento de señales y arquitecturas de aprendizaje profundo enfocadas en mitigar, al unísono, el fraude biológico de impostores y el sabotaje acústico de la IA generativa.</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Frente al despliegue de un "dataset personalizado" proporcionado por la institución, la optimización exhaustiva de la arquitectura dicta los siguientes ejes rectores de diseño y analítica de datos para el ecosistema bancario:</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extremo frontal (front-end) de extracción acústica no puede depender de metodologías centradas en los MFCC debido a su pérdida crítica de formantes de alta resolución. Las directrices analíticas apuntan firmemente a transicionar hacia el mapeo espectro-temporal en el dominio de la quefrecuencia, específicamente implementando la Transformada Q Constante (CQT) y los coeficientes CQCC. De forma paralela, la extracción directa desde la forma de onda de audio (Raw Waveform) mediante convoluciones SincNet (como las presentes en arquitecturas TO-RawNet) es mandatoria; el uso de filtros paramétricos optimizables garantiza la retención microscópica de fase y preserva asombrosamente los micro-artefactos indispensables que diferencian las oscilaciones humanas genuinas de la manipulación deepfake en telefonía degrada (VoIP/PSTN).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lo relativo al pilar de la extracción de huellas vocales y el aprendizaje de métricas, el modelo lineal queda obsoleto y se requiere una arquitectura base fundamentada en la topología ECAPA-TDNN. La recalibración del contexto local a largo plazo que posibilita el mecanismo Squeeze-and-Excitation (agrupamiento de atención enfocado al canal), acoplado con la agregación multicapa (MFA), asegura incrustaciones densas discriminativas. Dado que el dataset bancario innegablemente albergará ruido de etiquetas (label noise) provocado por grabaciones caseras, oficinas ruidosas y locutores cambiantes, las redes deben entrenarse empleando funciones de pérdida severas con múltiples centroides. Específicamente, Sub-center ArcFace se perfila como la formulación matemática ideal, pues impide el colapso del hiperespacio permitiendo la distribución estocástica de anomalías sin alterar el umbral primario.</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su parte, las métricas predictivas de Back-end deben estar soportadas irrevocablemente por modelos estadísticos bayesianos como el Análisis Discriminante Lineal Probabilístico (PLDA), que depuran algebraicamente la matriz covariante marginando las discrepancias transitorias introducidas por los distintos micrófonos telefónicos de los clientes. Es crítico que las distribuciones PLDA se complementen calibrándolas dinámicamente mediante la Normalización Simétrica Adaptativa (AS-Norm y versiones aprendibles TAS-Norm); al ponderar cada puntaje exclusivamente contra el top-</w:t>
      </w:r>
      <w:r w:rsidDel="00000000" w:rsidR="00000000" w:rsidRPr="00000000">
        <w:rPr>
          <w:rFonts w:ascii="Google Sans" w:cs="Google Sans" w:eastAsia="Google Sans" w:hAnsi="Google Sans"/>
          <w:color w:val="1f1f1f"/>
        </w:rPr>
        <w:drawing>
          <wp:inline distB="19050" distT="19050" distL="19050" distR="19050">
            <wp:extent cx="178702" cy="240561"/>
            <wp:effectExtent b="0" l="0" r="0" t="0"/>
            <wp:docPr id="8"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178702" cy="2405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la cohorte de los impostores latentes más competitivos, la arquitectura previene sesgos asimétricos frente a fraudes gemelares orgánicos.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reconocimiento pasivo debe fortificarse mediante integración sistémica: las contramedidas sintéticas basadas en análisis de grafos heterogéneos (AASIST) deben fusionarse con el modelo acústico (ASV) siguiendo un régimen de optimización SASV a nivel de puntaje del producto probabilístico, midiendo severamente la penalidad conjunta usando la métrica t-DCF. Simultáneamente, la adición ineludible de protocolos de liveness activo (respuestas a desafíos fonéticos variables en tiempo real) neutraliza vectores de ataques mecánicos como clonadores de repetición o ataques de gemelos idénticos que lograran sobrepasar el PLDA.</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Finalmente, el cumplimiento normativo imperativo del ecosistema financiero decreta que estas infraestructuras cognitivas prescindan del almacenamiento biométrico directo o la biometría cancelable. El engranaje tecnológico en los datacenters bancarios debe migrar hacia la Encriptación Totalmente Homomórfica (FHE, mediante esquemas CKKS y aproximaciones Newton-Raphson) en combinación con computación multipartita. Con esta barrera, todos los procedimientos estadísticos PLDA y las métricas matriciales operan sobre incrustaciones ofuscadas algebraicamente, impidiendo irreversiblemente a cualquier actor delictivo rastrear las topologías analíticas de las ondas de voz o los parámetros biométricos fundacionales de la clientela, estableciendo el estándar absoluto de oro de resiliencia y privacidad tecnológica para el sector bancario de nueva generación.</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 de Implementación Tecnológica y Fases Operativas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materializar las arquitecturas neuronales y los sistemas biométricos detallados anteriormente, es imperativo estructurar un plan de despliegue en la nube que integre herramientas de vanguardia como Snowflake, Google Cloud/Vultr y Tiger Data. A continuación, se detallan las fases operativas y sus subprocesos correspondientes:</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1: Gobierno de Datos y Data Lake (Snowflake)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fase se enfoca en gestionar el "dataset personalizado" masivo proporcionado por la institución financiera.</w:t>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Subproceso 1.1 - Ingesta y Almacenamiento Centralizado:</w:t>
      </w:r>
      <w:r w:rsidDel="00000000" w:rsidR="00000000" w:rsidRPr="00000000">
        <w:rPr>
          <w:rFonts w:ascii="Google Sans" w:cs="Google Sans" w:eastAsia="Google Sans" w:hAnsi="Google Sans"/>
          <w:color w:val="1f1f1f"/>
          <w:rtl w:val="0"/>
        </w:rPr>
        <w:t xml:space="preserve"> Se utiliza Snowflake como Data Warehouse o repositorio central para catalogar metadatos de clientes, transcripciones y telemetría histórica. Los petabytes de grabaciones de audio crudo permanecen en el almacenamiento de objetos, pero Snowflake actúa como la capa unificada para consultarlos y orquestarlos.</w:t>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Subproceso 1.2 - Limpieza y Estructuración de Lotes:</w:t>
      </w:r>
      <w:r w:rsidDel="00000000" w:rsidR="00000000" w:rsidRPr="00000000">
        <w:rPr>
          <w:rFonts w:ascii="Google Sans" w:cs="Google Sans" w:eastAsia="Google Sans" w:hAnsi="Google Sans"/>
          <w:color w:val="1f1f1f"/>
          <w:rtl w:val="0"/>
        </w:rPr>
        <w:t xml:space="preserve"> Desde Snowflake, se curan, auditan y versionan los subconjuntos de datos (entrenamiento, validación y pruebas) garantizando un canal de MLOps trazable antes de alimentar las instancias de procesamiento profundo.</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2: Entrenamiento de Modelos y Procesamiento con GPU (Google Cloud o Vultr)</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modelado acústico requiere un cómputo intensivo para la extracción de características y la optimización de los pesos de la red neuronal.</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Subproceso 2.1 - Despliegue de Infraestructura Acelerada:</w:t>
      </w:r>
      <w:r w:rsidDel="00000000" w:rsidR="00000000" w:rsidRPr="00000000">
        <w:rPr>
          <w:rFonts w:ascii="Google Sans" w:cs="Google Sans" w:eastAsia="Google Sans" w:hAnsi="Google Sans"/>
          <w:color w:val="1f1f1f"/>
          <w:rtl w:val="0"/>
        </w:rPr>
        <w:t xml:space="preserve"> Se aprovisionan máquinas virtuales y clústeres con soporte nativo para CUDA mediante plataformas IaaS robustas como Google Cloud Platform o Vultr, proporcionando el poder de GPU necesario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Subproceso 2.2 - Pipeline de IA con SpeechBrain:</w:t>
      </w:r>
      <w:r w:rsidDel="00000000" w:rsidR="00000000" w:rsidRPr="00000000">
        <w:rPr>
          <w:rFonts w:ascii="Google Sans" w:cs="Google Sans" w:eastAsia="Google Sans" w:hAnsi="Google Sans"/>
          <w:color w:val="1f1f1f"/>
          <w:rtl w:val="0"/>
        </w:rPr>
        <w:t xml:space="preserve"> Se instalan frameworks de aprendizaje profundo (basados en PyTorch) como SpeechBrain para el entrenamiento de arquitecturas (ej. ECAPA-TDNN). El sistema aplica extracción de características (como bancos de filtros) y aumento de datos al vuelo (on-the-fly), optimizando el flujo de entrada/salida al evitar volcar características masivas intermedias al disco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3: Almacenamiento Vectorial y Transaccional (Tiger Data)</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la inferencia en tiempo real, se requiere una base de datos de baja latencia capaz de manejar vectores biométricos y telemetría simultáneamente.</w:t>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Subproceso 3.1 - Configuración Operacional en la Nube:</w:t>
      </w:r>
      <w:r w:rsidDel="00000000" w:rsidR="00000000" w:rsidRPr="00000000">
        <w:rPr>
          <w:rFonts w:ascii="Google Sans" w:cs="Google Sans" w:eastAsia="Google Sans" w:hAnsi="Google Sans"/>
          <w:color w:val="1f1f1f"/>
          <w:rtl w:val="0"/>
        </w:rPr>
        <w:t xml:space="preserve"> Se despliega Tiger Data, una plataforma de base de datos en la nube compatible con PostgreSQL optimizada para aplicaciones de IA, analítica en tiempo real y series temporales en el sector fintech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Subproceso 3.2 - Motor de Similitud Biométrica (Voiceprints):</w:t>
      </w:r>
      <w:r w:rsidDel="00000000" w:rsidR="00000000" w:rsidRPr="00000000">
        <w:rPr>
          <w:rFonts w:ascii="Google Sans" w:cs="Google Sans" w:eastAsia="Google Sans" w:hAnsi="Google Sans"/>
          <w:color w:val="1f1f1f"/>
          <w:rtl w:val="0"/>
        </w:rPr>
        <w:t xml:space="preserve"> Las incrustaciones de 192 dimensiones generadas por la red neuronal se indexan y almacenan de forma persistente. La plataforma emplea la extensión pgvectorscale (un complemento de la extensión nativa para la búsqueda vectorial) para la recuperación ultra-rápida y a gran escala de vectores durante la verificación de identidad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Subproceso 3.3 - Registro Analítico y de Telemetría (Anti-Fraude):</w:t>
      </w:r>
      <w:r w:rsidDel="00000000" w:rsidR="00000000" w:rsidRPr="00000000">
        <w:rPr>
          <w:rFonts w:ascii="Google Sans" w:cs="Google Sans" w:eastAsia="Google Sans" w:hAnsi="Google Sans"/>
          <w:color w:val="1f1f1f"/>
          <w:rtl w:val="0"/>
        </w:rPr>
        <w:t xml:space="preserve"> Mediante las hypertables (tablas diseñadas específicamente para datos temporales) nativas del sistema, se capturan continuamente las anomalías transaccionales y los flujos biométricos entrantes. Esto permite a los modelos antifraude ejecutar agregaciones continuas en tiempo real y reaccionar ante picos sospechosos de suplantación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4: Orquestación de Inferencia en Tiempo Real y Bucle de Mejora</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fase final alinea la interacción directa entre el cliente, el modelo y la infraestructura en el entorno de producción.</w:t>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Subproceso 4.1 - Ingesta de Audio en Vivo:</w:t>
      </w:r>
      <w:r w:rsidDel="00000000" w:rsidR="00000000" w:rsidRPr="00000000">
        <w:rPr>
          <w:rFonts w:ascii="Google Sans" w:cs="Google Sans" w:eastAsia="Google Sans" w:hAnsi="Google Sans"/>
          <w:color w:val="1f1f1f"/>
          <w:rtl w:val="0"/>
        </w:rPr>
        <w:t xml:space="preserve"> El cliente inicia el proceso de verificación en la aplicación bancaria o call center. El clúster de inferencia (Google Cloud/Vultr) recibe el audio en crudo y el modelo (ej. RawNet3 o AASIST) computa simultáneamente el vector acústico y el riesgo de suplantación en fracciones de segundo.</w:t>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Subproceso 4.2 - Evaluación Transaccional:</w:t>
      </w:r>
      <w:r w:rsidDel="00000000" w:rsidR="00000000" w:rsidRPr="00000000">
        <w:rPr>
          <w:rFonts w:ascii="Google Sans" w:cs="Google Sans" w:eastAsia="Google Sans" w:hAnsi="Google Sans"/>
          <w:color w:val="1f1f1f"/>
          <w:rtl w:val="0"/>
        </w:rPr>
        <w:t xml:space="preserve"> El sistema consulta a Tiger Data de forma instantánea. Se cruza la incrustación capturada frente al perfil biométrico legítimo, se procesa la normalización de la puntuación de confianza y el banco autoriza o rechaza el acceso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Subproceso 4.3 - Bucle de Retroalimentación y Reentrenamiento:</w:t>
      </w:r>
      <w:r w:rsidDel="00000000" w:rsidR="00000000" w:rsidRPr="00000000">
        <w:rPr>
          <w:rFonts w:ascii="Google Sans" w:cs="Google Sans" w:eastAsia="Google Sans" w:hAnsi="Google Sans"/>
          <w:color w:val="1f1f1f"/>
          <w:rtl w:val="0"/>
        </w:rPr>
        <w:t xml:space="preserve"> Los resultados de la sesión (aceptaciones, rechazos y falsos positivos) son consolidados y enviados de regreso a Snowflake. Esto permite a los científicos de datos realizar auditorías periódicas, curar nuevas muestras e iniciar el siguiente ciclo de entrenamiento (Fase 2) mitigando el desgaste progresivo de los modelos de clasificación.</w:t>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speechbrain 0.5.12 - PyPI, </w:t>
      </w:r>
      <w:hyperlink r:id="rId47">
        <w:r w:rsidDel="00000000" w:rsidR="00000000" w:rsidRPr="00000000">
          <w:rPr>
            <w:rFonts w:ascii="Google Sans" w:cs="Google Sans" w:eastAsia="Google Sans" w:hAnsi="Google Sans"/>
            <w:color w:val="0000ee"/>
            <w:sz w:val="24"/>
            <w:szCs w:val="24"/>
            <w:u w:val="single"/>
            <w:rtl w:val="0"/>
          </w:rPr>
          <w:t xml:space="preserve">https://pypi.org/project/speechbrain/0.5.12/</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Tiger Data: Details, Reviews, Pricing, &amp; Features - CheckThat.ai, </w:t>
      </w:r>
      <w:hyperlink r:id="rId48">
        <w:r w:rsidDel="00000000" w:rsidR="00000000" w:rsidRPr="00000000">
          <w:rPr>
            <w:rFonts w:ascii="Google Sans" w:cs="Google Sans" w:eastAsia="Google Sans" w:hAnsi="Google Sans"/>
            <w:color w:val="0000ee"/>
            <w:sz w:val="24"/>
            <w:szCs w:val="24"/>
            <w:u w:val="single"/>
            <w:rtl w:val="0"/>
          </w:rPr>
          <w:t xml:space="preserve">https://checkthat.ai/brands/tiger-data</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Tiger Data - GitHub, </w:t>
      </w:r>
      <w:hyperlink r:id="rId49">
        <w:r w:rsidDel="00000000" w:rsidR="00000000" w:rsidRPr="00000000">
          <w:rPr>
            <w:rFonts w:ascii="Google Sans" w:cs="Google Sans" w:eastAsia="Google Sans" w:hAnsi="Google Sans"/>
            <w:color w:val="0000ee"/>
            <w:sz w:val="24"/>
            <w:szCs w:val="24"/>
            <w:u w:val="single"/>
            <w:rtl w:val="0"/>
          </w:rPr>
          <w:t xml:space="preserve">https://github.com/timescale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42" Type="http://schemas.openxmlformats.org/officeDocument/2006/relationships/image" Target="media/image14.png"/><Relationship Id="rId41" Type="http://schemas.openxmlformats.org/officeDocument/2006/relationships/image" Target="media/image33.png"/><Relationship Id="rId44" Type="http://schemas.openxmlformats.org/officeDocument/2006/relationships/image" Target="media/image3.png"/><Relationship Id="rId43" Type="http://schemas.openxmlformats.org/officeDocument/2006/relationships/image" Target="media/image15.png"/><Relationship Id="rId46" Type="http://schemas.openxmlformats.org/officeDocument/2006/relationships/image" Target="media/image9.png"/><Relationship Id="rId45"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48" Type="http://schemas.openxmlformats.org/officeDocument/2006/relationships/hyperlink" Target="https://checkthat.ai/brands/tiger-data" TargetMode="External"/><Relationship Id="rId47" Type="http://schemas.openxmlformats.org/officeDocument/2006/relationships/hyperlink" Target="https://pypi.org/project/speechbrain/0.5.12/" TargetMode="External"/><Relationship Id="rId49" Type="http://schemas.openxmlformats.org/officeDocument/2006/relationships/hyperlink" Target="https://github.com/timescale" TargetMode="External"/><Relationship Id="rId5" Type="http://schemas.openxmlformats.org/officeDocument/2006/relationships/styles" Target="styles.xml"/><Relationship Id="rId6" Type="http://schemas.openxmlformats.org/officeDocument/2006/relationships/image" Target="media/image41.png"/><Relationship Id="rId7" Type="http://schemas.openxmlformats.org/officeDocument/2006/relationships/image" Target="media/image19.png"/><Relationship Id="rId8" Type="http://schemas.openxmlformats.org/officeDocument/2006/relationships/image" Target="media/image39.png"/><Relationship Id="rId31" Type="http://schemas.openxmlformats.org/officeDocument/2006/relationships/image" Target="media/image2.png"/><Relationship Id="rId30" Type="http://schemas.openxmlformats.org/officeDocument/2006/relationships/image" Target="media/image18.png"/><Relationship Id="rId33" Type="http://schemas.openxmlformats.org/officeDocument/2006/relationships/image" Target="media/image6.png"/><Relationship Id="rId32" Type="http://schemas.openxmlformats.org/officeDocument/2006/relationships/image" Target="media/image16.png"/><Relationship Id="rId35" Type="http://schemas.openxmlformats.org/officeDocument/2006/relationships/image" Target="media/image8.png"/><Relationship Id="rId34" Type="http://schemas.openxmlformats.org/officeDocument/2006/relationships/image" Target="media/image10.png"/><Relationship Id="rId37" Type="http://schemas.openxmlformats.org/officeDocument/2006/relationships/image" Target="media/image7.png"/><Relationship Id="rId36" Type="http://schemas.openxmlformats.org/officeDocument/2006/relationships/image" Target="media/image13.png"/><Relationship Id="rId39" Type="http://schemas.openxmlformats.org/officeDocument/2006/relationships/image" Target="media/image11.png"/><Relationship Id="rId38" Type="http://schemas.openxmlformats.org/officeDocument/2006/relationships/image" Target="media/image12.png"/><Relationship Id="rId20" Type="http://schemas.openxmlformats.org/officeDocument/2006/relationships/image" Target="media/image40.png"/><Relationship Id="rId22" Type="http://schemas.openxmlformats.org/officeDocument/2006/relationships/image" Target="media/image31.png"/><Relationship Id="rId21" Type="http://schemas.openxmlformats.org/officeDocument/2006/relationships/image" Target="media/image17.png"/><Relationship Id="rId24" Type="http://schemas.openxmlformats.org/officeDocument/2006/relationships/image" Target="media/image35.png"/><Relationship Id="rId23" Type="http://schemas.openxmlformats.org/officeDocument/2006/relationships/image" Target="media/image32.png"/><Relationship Id="rId26" Type="http://schemas.openxmlformats.org/officeDocument/2006/relationships/image" Target="media/image4.png"/><Relationship Id="rId25" Type="http://schemas.openxmlformats.org/officeDocument/2006/relationships/image" Target="media/image36.png"/><Relationship Id="rId28" Type="http://schemas.openxmlformats.org/officeDocument/2006/relationships/image" Target="media/image22.png"/><Relationship Id="rId27" Type="http://schemas.openxmlformats.org/officeDocument/2006/relationships/image" Target="media/image23.png"/><Relationship Id="rId29" Type="http://schemas.openxmlformats.org/officeDocument/2006/relationships/image" Target="media/image37.png"/><Relationship Id="rId11" Type="http://schemas.openxmlformats.org/officeDocument/2006/relationships/image" Target="media/image26.png"/><Relationship Id="rId10" Type="http://schemas.openxmlformats.org/officeDocument/2006/relationships/image" Target="media/image21.png"/><Relationship Id="rId13" Type="http://schemas.openxmlformats.org/officeDocument/2006/relationships/image" Target="media/image27.png"/><Relationship Id="rId12" Type="http://schemas.openxmlformats.org/officeDocument/2006/relationships/image" Target="media/image24.png"/><Relationship Id="rId15" Type="http://schemas.openxmlformats.org/officeDocument/2006/relationships/image" Target="media/image34.png"/><Relationship Id="rId14" Type="http://schemas.openxmlformats.org/officeDocument/2006/relationships/image" Target="media/image30.png"/><Relationship Id="rId17" Type="http://schemas.openxmlformats.org/officeDocument/2006/relationships/image" Target="media/image38.png"/><Relationship Id="rId16" Type="http://schemas.openxmlformats.org/officeDocument/2006/relationships/image" Target="media/image25.png"/><Relationship Id="rId19" Type="http://schemas.openxmlformats.org/officeDocument/2006/relationships/image" Target="media/image29.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