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03A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bookmarkStart w:id="0" w:name="_heading=h.30j0zll"/>
      <w:bookmarkEnd w:id="0"/>
      <w:r w:rsidRPr="0B44BD26">
        <w:rPr>
          <w:rFonts w:ascii="Avenir Next LT Pro" w:eastAsia="Avenir Next LT Pro" w:hAnsi="Avenir Next LT Pro" w:cs="Avenir Next LT Pro"/>
          <w:b/>
          <w:bCs/>
          <w:color w:val="FFFFFF" w:themeColor="background1"/>
        </w:rPr>
        <w:t>Anexo 2 - Formato de registro de propuesta</w:t>
      </w:r>
    </w:p>
    <w:p w14:paraId="2A79000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Mecanismo Investigación Avanzada </w:t>
      </w:r>
    </w:p>
    <w:p w14:paraId="622FAE70" w14:textId="77777777" w:rsidR="00847B5F" w:rsidRPr="00463A5F" w:rsidRDefault="06530CD3" w:rsidP="0B44BD26">
      <w:pPr>
        <w:spacing w:after="0"/>
        <w:ind w:left="0" w:firstLine="309"/>
        <w:jc w:val="center"/>
        <w:rPr>
          <w:rFonts w:ascii="Avenir Next LT Pro" w:eastAsia="Avenir Next LT Pro" w:hAnsi="Avenir Next LT Pro" w:cs="Avenir Next LT Pro"/>
          <w:b/>
          <w:bCs/>
          <w:u w:val="single"/>
        </w:rPr>
      </w:pPr>
      <w:bookmarkStart w:id="1" w:name="_heading=h.fth5dp305u0r"/>
      <w:bookmarkEnd w:id="1"/>
      <w:r w:rsidRPr="0B44BD26">
        <w:rPr>
          <w:rFonts w:ascii="Avenir Next LT Pro" w:eastAsia="Avenir Next LT Pro" w:hAnsi="Avenir Next LT Pro" w:cs="Avenir Next LT Pro"/>
          <w:b/>
          <w:bCs/>
          <w:u w:val="single"/>
        </w:rPr>
        <w:t>FORMULACIÓN DE LA PROPUESTA DE INVESTIGACIÓN</w:t>
      </w:r>
    </w:p>
    <w:p w14:paraId="6D48C594" w14:textId="29372A96" w:rsidR="00844492" w:rsidRPr="00015C11" w:rsidRDefault="36E56080" w:rsidP="004E0ED5">
      <w:pPr>
        <w:pStyle w:val="Heading1"/>
        <w:ind w:left="0" w:firstLineChars="0" w:firstLine="0"/>
        <w:jc w:val="both"/>
        <w:rPr>
          <w:rFonts w:ascii="Avenir Next LT Pro" w:eastAsia="Avenir Next LT Pro" w:hAnsi="Avenir Next LT Pro" w:cs="Avenir Next LT Pro"/>
        </w:rPr>
      </w:pPr>
      <w:r w:rsidRPr="0B44BD26">
        <w:rPr>
          <w:rFonts w:ascii="Avenir Next LT Pro" w:eastAsia="Avenir Next LT Pro" w:hAnsi="Avenir Next LT Pro" w:cs="Avenir Next LT Pro"/>
        </w:rPr>
        <w:t>1. TÍTULO DE LA PROPUESTA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7928"/>
        <w:gridCol w:w="2184"/>
      </w:tblGrid>
      <w:tr w:rsidR="004B2163" w:rsidRPr="00847B5F" w14:paraId="30D971AD" w14:textId="77777777" w:rsidTr="0B44BD26">
        <w:tc>
          <w:tcPr>
            <w:tcW w:w="101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BD0B5C1" w14:textId="77777777" w:rsidR="00844492" w:rsidRPr="000916D5" w:rsidRDefault="4D36987D" w:rsidP="0B44BD26">
            <w:pPr>
              <w:pStyle w:val="Heading1"/>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1. TÍTULO DE LA PROPUESTA</w:t>
            </w:r>
          </w:p>
        </w:tc>
      </w:tr>
      <w:tr w:rsidR="00634737" w:rsidRPr="00847B5F" w14:paraId="6548BB1B" w14:textId="77777777" w:rsidTr="00634737">
        <w:tc>
          <w:tcPr>
            <w:tcW w:w="7928" w:type="dxa"/>
            <w:tcBorders>
              <w:top w:val="single" w:sz="8" w:space="0" w:color="000000" w:themeColor="text1"/>
              <w:left w:val="single" w:sz="8" w:space="0" w:color="000000" w:themeColor="text1"/>
              <w:bottom w:val="single" w:sz="8" w:space="0" w:color="000000" w:themeColor="text1"/>
              <w:right w:val="single" w:sz="4" w:space="0" w:color="FFFFFF" w:themeColor="background1"/>
            </w:tcBorders>
            <w:vAlign w:val="center"/>
          </w:tcPr>
          <w:p w14:paraId="5CCD8F68" w14:textId="7C1B2F88" w:rsidR="00634737" w:rsidRDefault="00634737" w:rsidP="00634737">
            <w:pPr>
              <w:ind w:left="0" w:firstLineChars="0" w:firstLine="0"/>
              <w:jc w:val="left"/>
              <w:rPr>
                <w:rFonts w:ascii="Avenir Next LT Pro" w:eastAsia="Avenir Next LT Pro" w:hAnsi="Avenir Next LT Pro" w:cs="Avenir Next LT Pro"/>
              </w:rPr>
            </w:pPr>
            <w:r w:rsidRPr="0B44BD26">
              <w:rPr>
                <w:rFonts w:ascii="Avenir Next LT Pro" w:eastAsia="Avenir Next LT Pro" w:hAnsi="Avenir Next LT Pro" w:cs="Avenir Next LT Pro"/>
              </w:rPr>
              <w:t>Funciones evolutivas del habla dirigida a bebés: Impacto en la atención, las preferencias auditivas y el desarrollo lingüístico y musical temprano</w:t>
            </w:r>
          </w:p>
        </w:tc>
        <w:tc>
          <w:tcPr>
            <w:tcW w:w="2184" w:type="dxa"/>
            <w:tcBorders>
              <w:top w:val="single" w:sz="8" w:space="0" w:color="000000" w:themeColor="text1"/>
              <w:left w:val="single" w:sz="4" w:space="0" w:color="FFFFFF" w:themeColor="background1"/>
              <w:bottom w:val="single" w:sz="8" w:space="0" w:color="000000" w:themeColor="text1"/>
              <w:right w:val="single" w:sz="8" w:space="0" w:color="000000" w:themeColor="text1"/>
            </w:tcBorders>
            <w:vAlign w:val="center"/>
          </w:tcPr>
          <w:p w14:paraId="3E4E84C8" w14:textId="074C727A" w:rsidR="00634737" w:rsidRPr="00847B5F" w:rsidRDefault="00634737" w:rsidP="00634737">
            <w:pPr>
              <w:ind w:left="0" w:firstLineChars="0" w:firstLine="0"/>
              <w:jc w:val="center"/>
              <w:rPr>
                <w:rFonts w:ascii="Avenir Next LT Pro" w:eastAsia="Avenir Next LT Pro" w:hAnsi="Avenir Next LT Pro" w:cs="Avenir Next LT Pro"/>
              </w:rPr>
            </w:pPr>
            <w:r>
              <w:rPr>
                <w:noProof/>
              </w:rPr>
              <w:drawing>
                <wp:inline distT="0" distB="0" distL="0" distR="0" wp14:anchorId="0C67F516" wp14:editId="089513D1">
                  <wp:extent cx="1115060" cy="584200"/>
                  <wp:effectExtent l="0" t="0" r="8890" b="6350"/>
                  <wp:docPr id="1548174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1115060" cy="584200"/>
                          </a:xfrm>
                          <a:prstGeom prst="rect">
                            <a:avLst/>
                          </a:prstGeom>
                        </pic:spPr>
                      </pic:pic>
                    </a:graphicData>
                  </a:graphic>
                </wp:inline>
              </w:drawing>
            </w:r>
          </w:p>
        </w:tc>
      </w:tr>
    </w:tbl>
    <w:p w14:paraId="323EDB78" w14:textId="76605B69" w:rsidR="00844492" w:rsidRPr="00847B5F" w:rsidRDefault="36E56080" w:rsidP="0B44BD26">
      <w:pPr>
        <w:pStyle w:val="Heading1"/>
        <w:ind w:left="0" w:firstLine="308"/>
        <w:rPr>
          <w:rFonts w:ascii="Avenir Next LT Pro" w:eastAsia="Avenir Next LT Pro" w:hAnsi="Avenir Next LT Pro" w:cs="Avenir Next LT Pro"/>
          <w:color w:val="000000"/>
          <w:u w:val="single"/>
        </w:rPr>
      </w:pPr>
      <w:r w:rsidRPr="0B44BD26">
        <w:rPr>
          <w:rFonts w:ascii="Avenir Next LT Pro" w:eastAsia="Avenir Next LT Pro" w:hAnsi="Avenir Next LT Pro" w:cs="Avenir Next LT Pro"/>
        </w:rPr>
        <w:t>2. RESUMEN EJECUTIVO (máximo 200 palabras)</w:t>
      </w:r>
    </w:p>
    <w:tbl>
      <w:tblPr>
        <w:tblStyle w:val="affffffff7"/>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4509B543"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0764A36" w14:textId="4C07DB96" w:rsidR="00844492" w:rsidRPr="00543425" w:rsidRDefault="4D36987D" w:rsidP="0B44BD26">
            <w:pPr>
              <w:pStyle w:val="Heading1"/>
              <w:spacing w:after="0"/>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2. RESUMEN EJECUTIVO (máximo 200 palabras)</w:t>
            </w:r>
          </w:p>
        </w:tc>
      </w:tr>
      <w:tr w:rsidR="00844492" w:rsidRPr="00847B5F" w14:paraId="235AFA84" w14:textId="77777777" w:rsidTr="365890A1">
        <w:trPr>
          <w:trHeight w:val="60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4CE845" w14:textId="71CF0B46" w:rsidR="00167235" w:rsidRPr="00167235" w:rsidRDefault="33A52E02" w:rsidP="3FF8FB8C">
            <w:pPr>
              <w:rPr>
                <w:rFonts w:ascii="Avenir Next LT Pro" w:eastAsia="Avenir Next LT Pro" w:hAnsi="Avenir Next LT Pro" w:cs="Avenir Next LT Pro"/>
              </w:rPr>
            </w:pPr>
            <w:r w:rsidRPr="3FF8FB8C">
              <w:rPr>
                <w:rFonts w:ascii="Avenir Next LT Pro" w:eastAsia="Avenir Next LT Pro" w:hAnsi="Avenir Next LT Pro" w:cs="Avenir Next LT Pro"/>
              </w:rPr>
              <w:t>El habla dirigida a bebés (IDS, por sus siglas en inglés) es una forma universal de comunicación vocal que cumple un rol crucial en</w:t>
            </w:r>
            <w:r w:rsidR="6159AB23" w:rsidRPr="3FF8FB8C">
              <w:rPr>
                <w:rFonts w:ascii="Avenir Next LT Pro" w:eastAsia="Avenir Next LT Pro" w:hAnsi="Avenir Next LT Pro" w:cs="Avenir Next LT Pro"/>
              </w:rPr>
              <w:t xml:space="preserve"> el desarrollo de</w:t>
            </w:r>
            <w:r w:rsidRPr="3FF8FB8C">
              <w:rPr>
                <w:rFonts w:ascii="Avenir Next LT Pro" w:eastAsia="Avenir Next LT Pro" w:hAnsi="Avenir Next LT Pro" w:cs="Avenir Next LT Pro"/>
              </w:rPr>
              <w:t xml:space="preserve"> bebés prelingüísticos. </w:t>
            </w:r>
            <w:r w:rsidR="1283D3D8" w:rsidRPr="3FF8FB8C">
              <w:rPr>
                <w:rFonts w:ascii="Avenir Next LT Pro" w:eastAsia="Avenir Next LT Pro" w:hAnsi="Avenir Next LT Pro" w:cs="Avenir Next LT Pro"/>
              </w:rPr>
              <w:t>Es fundamental para su bienestar y desarrollo</w:t>
            </w:r>
            <w:r w:rsidRPr="3FF8FB8C">
              <w:rPr>
                <w:rFonts w:ascii="Avenir Next LT Pro" w:eastAsia="Avenir Next LT Pro" w:hAnsi="Avenir Next LT Pro" w:cs="Avenir Next LT Pro"/>
              </w:rPr>
              <w:t xml:space="preserve">: facilita el apego materno-infantil al </w:t>
            </w:r>
            <w:r w:rsidR="4D9DC6C2" w:rsidRPr="3FF8FB8C">
              <w:rPr>
                <w:rFonts w:ascii="Avenir Next LT Pro" w:eastAsia="Avenir Next LT Pro" w:hAnsi="Avenir Next LT Pro" w:cs="Avenir Next LT Pro"/>
              </w:rPr>
              <w:t>modular nivel</w:t>
            </w:r>
            <w:r w:rsidRPr="3FF8FB8C">
              <w:rPr>
                <w:rFonts w:ascii="Avenir Next LT Pro" w:eastAsia="Avenir Next LT Pro" w:hAnsi="Avenir Next LT Pro" w:cs="Avenir Next LT Pro"/>
              </w:rPr>
              <w:t xml:space="preserve"> de oxitocina y otros neuropéptidos</w:t>
            </w:r>
            <w:r w:rsidR="776F82D9">
              <w:fldChar w:fldCharType="begin"/>
            </w:r>
            <w:r w:rsidR="776F82D9">
              <w:instrText xml:space="preserve"> ADDIN ZOTERO_ITEM CSL_CITATION {"citationID":"cvc6eFJv","properties":{"formattedCitation":"\\super 1\\uc0\\u8211{}3\\nosupersub{}","plainCitation":"1–3","noteIndex":0},"citationItems":[{"id":809,"uris":["http://zotero.org/users/5937427/items/MHN4CZDT"],"itemData":{"id":809,"type":"article-journal","abstract":"Although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1–3</w:t>
            </w:r>
            <w:r w:rsidR="776F82D9">
              <w:fldChar w:fldCharType="end"/>
            </w:r>
            <w:r w:rsidRPr="3FF8FB8C">
              <w:rPr>
                <w:rFonts w:ascii="Avenir Next LT Pro" w:eastAsia="Avenir Next LT Pro" w:hAnsi="Avenir Next LT Pro" w:cs="Avenir Next LT Pro"/>
              </w:rPr>
              <w:t>; favorece la adquisición del lenguaje</w:t>
            </w:r>
            <w:r w:rsidR="776F82D9">
              <w:fldChar w:fldCharType="begin"/>
            </w:r>
            <w:r w:rsidR="776F82D9">
              <w:instrText xml:space="preserve"> ADDIN ZOTERO_ITEM CSL_CITATION {"citationID":"csDsz7pv","properties":{"formattedCitation":"\\super 4\\uc0\\u8211{}9\\nosupersub{}","plainCitation":"4–9","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4–9</w:t>
            </w:r>
            <w:r w:rsidR="776F82D9">
              <w:fldChar w:fldCharType="end"/>
            </w:r>
            <w:r w:rsidRPr="3FF8FB8C">
              <w:rPr>
                <w:rFonts w:ascii="Avenir Next LT Pro" w:eastAsia="Avenir Next LT Pro" w:hAnsi="Avenir Next LT Pro" w:cs="Avenir Next LT Pro"/>
              </w:rPr>
              <w:t>; regula el temperamento</w:t>
            </w:r>
            <w:r w:rsidR="776F82D9">
              <w:fldChar w:fldCharType="begin"/>
            </w:r>
            <w:r w:rsidR="776F82D9">
              <w:instrText xml:space="preserve"> ADDIN ZOTERO_ITEM CSL_CITATION {"citationID":"RFzfxMpa","properties":{"formattedCitation":"\\super 10,11\\nosupersub{}","plainCitation":"10,11","noteIndex":0},"citationItems":[{"id":768,"uris":["http://zotero.org/users/5937427/items/XRE7SQPR"],"itemData":{"id":768,"type":"article-journal","abstract":"In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10,11</w:t>
            </w:r>
            <w:r w:rsidR="776F82D9">
              <w:fldChar w:fldCharType="end"/>
            </w:r>
            <w:r w:rsidRPr="3FF8FB8C">
              <w:rPr>
                <w:rFonts w:ascii="Avenir Next LT Pro" w:eastAsia="Avenir Next LT Pro" w:hAnsi="Avenir Next LT Pro" w:cs="Avenir Next LT Pro"/>
              </w:rPr>
              <w:t>; y coordina interacciones comunicativas</w:t>
            </w:r>
            <w:r w:rsidR="776F82D9">
              <w:fldChar w:fldCharType="begin"/>
            </w:r>
            <w:r w:rsidR="776F82D9">
              <w:instrText xml:space="preserve"> ADDIN ZOTERO_ITEM CSL_CITATION {"citationID":"X6Lz10aC","properties":{"formattedCitation":"\\super 12\\uc0\\u8211{}14\\nosupersub{}","plainCitation":"12–14","noteIndex":0},"citationItems":[{"id":1151,"uris":["http://zotero.org/users/5937427/items/8JIRNTIB"],"itemData":{"id":1151,"type":"article-journal","abstract":"Music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worldwide.","container-title":"Behavioral and Brain Sciences","DOI":"10.1017/S0140525X20000345","ISSN":"0140-525X, 1469-1825","language":"en","note":"publisher: Cambridge University Press","page":"E60","source":"Cambridge University Press","title":"Origins of music in credible signaling","URL":"https://www.cambridge.org/core/journals/behavioral-and-brain-sciences/article/abs/origins-of-music-in-credible-signaling/82D36C04DA04D96AD9A77EEAF4BBFB34","volume":"44","author":[{"family":"Mehr","given":"Samuel A."},{"family":"Krasnow","given":"Max M."},{"family":"Bryant","given":"Gregory A."},{"family":"Hagen","given":"Edward H."}],"accessed":{"date-parts":[["2021",5,12]]},"issued":{"date-parts":[["2021"]]},"citation-key":"mehrOriginsMusicCredible2021"}},{"id":971,"uris":["http://zotero.org/users/5937427/items/CET3GL2H"],"itemData":{"id":971,"type":"article-journal","abstract":"Gaze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12–14</w:t>
            </w:r>
            <w:r w:rsidR="776F82D9">
              <w:fldChar w:fldCharType="end"/>
            </w:r>
            <w:r w:rsidRPr="3FF8FB8C">
              <w:rPr>
                <w:rFonts w:ascii="Avenir Next LT Pro" w:eastAsia="Avenir Next LT Pro" w:hAnsi="Avenir Next LT Pro" w:cs="Avenir Next LT Pro"/>
              </w:rPr>
              <w:t xml:space="preserve">. </w:t>
            </w:r>
            <w:r w:rsidR="6760D0C5" w:rsidRPr="3FF8FB8C">
              <w:rPr>
                <w:rFonts w:ascii="Avenir Next LT Pro" w:eastAsia="Avenir Next LT Pro" w:hAnsi="Avenir Next LT Pro" w:cs="Avenir Next LT Pro"/>
              </w:rPr>
              <w:t>Asimismo</w:t>
            </w:r>
            <w:r w:rsidRPr="3FF8FB8C">
              <w:rPr>
                <w:rFonts w:ascii="Avenir Next LT Pro" w:eastAsia="Avenir Next LT Pro" w:hAnsi="Avenir Next LT Pro" w:cs="Avenir Next LT Pro"/>
              </w:rPr>
              <w:t xml:space="preserve">, </w:t>
            </w:r>
            <w:r w:rsidR="6760D0C5" w:rsidRPr="3FF8FB8C">
              <w:rPr>
                <w:rFonts w:ascii="Avenir Next LT Pro" w:eastAsia="Avenir Next LT Pro" w:hAnsi="Avenir Next LT Pro" w:cs="Avenir Next LT Pro"/>
              </w:rPr>
              <w:t>ofrece</w:t>
            </w:r>
            <w:r w:rsidRPr="3FF8FB8C">
              <w:rPr>
                <w:rFonts w:ascii="Avenir Next LT Pro" w:eastAsia="Avenir Next LT Pro" w:hAnsi="Avenir Next LT Pro" w:cs="Avenir Next LT Pro"/>
              </w:rPr>
              <w:t xml:space="preserve"> pistas sobre los orígenes del lenguaje</w:t>
            </w:r>
            <w:r w:rsidR="776F82D9">
              <w:fldChar w:fldCharType="begin"/>
            </w:r>
            <w:r w:rsidR="776F82D9">
              <w:instrText xml:space="preserve"> ADDIN ZOTERO_ITEM CSL_CITATION {"citationID":"AC3SeshN","properties":{"formattedCitation":"\\super 10,15\\nosupersub{}","plainCitation":"10,15","noteIndex":0},"citationItems":[{"id":453,"uris":["http://zotero.org/users/5937427/items/7QVEXPZX"],"itemData":{"id":453,"type":"article-journal","container-title":"Trends in Cognitive Sciences","DOI":"10.1016/j.tics.2016.01.002","issue":"4","note":"Citation Key: Pisanski2016Voice\ntex.ids: pisanskiVoiceModulationWindow2016","page":"304-318","title":"Voice modulation: A window into the origins of human vocal control?","volume":"20","author":[{"family":"Pisanski","given":"Katarzyna"},{"family":"Cartei","given":"Valentina"},{"family":"McGettigan","given":"Carolyn"},{"family":"Raine","given":"Jordan"},{"family":"Reby","given":"David"}],"issued":{"date-parts":[["2016"]]},"citation-key":"Pisanski2016Voice"}},{"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10,15</w:t>
            </w:r>
            <w:r w:rsidR="776F82D9">
              <w:fldChar w:fldCharType="end"/>
            </w:r>
            <w:r w:rsidRPr="3FF8FB8C">
              <w:rPr>
                <w:rFonts w:ascii="Avenir Next LT Pro" w:eastAsia="Avenir Next LT Pro" w:hAnsi="Avenir Next LT Pro" w:cs="Avenir Next LT Pro"/>
              </w:rPr>
              <w:t xml:space="preserve"> y la evolución de la música</w:t>
            </w:r>
            <w:r w:rsidR="776F82D9">
              <w:fldChar w:fldCharType="begin"/>
            </w:r>
            <w:r w:rsidR="776F82D9">
              <w:instrText xml:space="preserve"> ADDIN ZOTERO_ITEM CSL_CITATION {"citationID":"KRkIVl1H","properties":{"formattedCitation":"\\super 16,17\\nosupersub{}","plainCitation":"16,17","noteIndex":0},"citationItems":[{"id":1254,"uris":["http://zotero.org/users/5937427/items/XEWL6GA4"],"itemData":{"id":1254,"type":"article-journal","abstract":"Studies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David"},{"family":"Havlíček","given":"Jan"},{"family":"Roberts","given":"S.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16,17</w:t>
            </w:r>
            <w:r w:rsidR="776F82D9">
              <w:fldChar w:fldCharType="end"/>
            </w:r>
            <w:r w:rsidRPr="3FF8FB8C">
              <w:rPr>
                <w:rFonts w:ascii="Avenir Next LT Pro" w:eastAsia="Avenir Next LT Pro" w:hAnsi="Avenir Next LT Pro" w:cs="Avenir Next LT Pro"/>
              </w:rPr>
              <w:t xml:space="preserve">. </w:t>
            </w:r>
            <w:r w:rsidR="7C03692A" w:rsidRPr="3FF8FB8C">
              <w:rPr>
                <w:rFonts w:ascii="Avenir Next LT Pro" w:eastAsia="Avenir Next LT Pro" w:hAnsi="Avenir Next LT Pro" w:cs="Avenir Next LT Pro"/>
              </w:rPr>
              <w:t>L</w:t>
            </w:r>
            <w:r w:rsidRPr="3FF8FB8C">
              <w:rPr>
                <w:rFonts w:ascii="Avenir Next LT Pro" w:eastAsia="Avenir Next LT Pro" w:hAnsi="Avenir Next LT Pro" w:cs="Avenir Next LT Pro"/>
              </w:rPr>
              <w:t xml:space="preserve">as características acústicas del IDS, como </w:t>
            </w:r>
            <w:r w:rsidR="381686CC" w:rsidRPr="3FF8FB8C">
              <w:rPr>
                <w:rFonts w:ascii="Avenir Next LT Pro" w:eastAsia="Avenir Next LT Pro" w:hAnsi="Avenir Next LT Pro" w:cs="Avenir Next LT Pro"/>
              </w:rPr>
              <w:t xml:space="preserve">la entonación </w:t>
            </w:r>
            <w:r w:rsidR="5B07CE4D" w:rsidRPr="3FF8FB8C">
              <w:rPr>
                <w:rFonts w:ascii="Avenir Next LT Pro" w:eastAsia="Avenir Next LT Pro" w:hAnsi="Avenir Next LT Pro" w:cs="Avenir Next LT Pro"/>
              </w:rPr>
              <w:t xml:space="preserve">exagerada </w:t>
            </w:r>
            <w:r w:rsidRPr="3FF8FB8C">
              <w:rPr>
                <w:rFonts w:ascii="Avenir Next LT Pro" w:eastAsia="Avenir Next LT Pro" w:hAnsi="Avenir Next LT Pro" w:cs="Avenir Next LT Pro"/>
              </w:rPr>
              <w:t xml:space="preserve">y la alta variabilidad tonal, </w:t>
            </w:r>
            <w:r w:rsidR="5B07CE4D" w:rsidRPr="3FF8FB8C">
              <w:rPr>
                <w:rFonts w:ascii="Avenir Next LT Pro" w:eastAsia="Avenir Next LT Pro" w:hAnsi="Avenir Next LT Pro" w:cs="Avenir Next LT Pro"/>
              </w:rPr>
              <w:t>captan</w:t>
            </w:r>
            <w:r w:rsidRPr="3FF8FB8C">
              <w:rPr>
                <w:rFonts w:ascii="Avenir Next LT Pro" w:eastAsia="Avenir Next LT Pro" w:hAnsi="Avenir Next LT Pro" w:cs="Avenir Next LT Pro"/>
              </w:rPr>
              <w:t xml:space="preserve"> la atención del </w:t>
            </w:r>
            <w:r w:rsidR="7C03692A" w:rsidRPr="3FF8FB8C">
              <w:rPr>
                <w:rFonts w:ascii="Avenir Next LT Pro" w:eastAsia="Avenir Next LT Pro" w:hAnsi="Avenir Next LT Pro" w:cs="Avenir Next LT Pro"/>
              </w:rPr>
              <w:t>bebé</w:t>
            </w:r>
            <w:r w:rsidR="776F82D9">
              <w:fldChar w:fldCharType="begin"/>
            </w:r>
            <w:r w:rsidR="776F82D9">
              <w:instrText xml:space="preserve"> ADDIN ZOTERO_ITEM CSL_CITATION {"citationID":"d8dYKZh1","properties":{"formattedCitation":"\\super 18,19\\nosupersub{}","plainCitation":"18,19","noteIndex":0},"citationItems":[{"id":974,"uris":["http://zotero.org/users/5937427/items/SNWYLJDK"],"itemData":{"id":974,"type":"article-journal","abstract":"When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18,19</w:t>
            </w:r>
            <w:r w:rsidR="776F82D9">
              <w:fldChar w:fldCharType="end"/>
            </w:r>
            <w:r w:rsidRPr="3FF8FB8C">
              <w:rPr>
                <w:rFonts w:ascii="Avenir Next LT Pro" w:eastAsia="Avenir Next LT Pro" w:hAnsi="Avenir Next LT Pro" w:cs="Avenir Next LT Pro"/>
              </w:rPr>
              <w:t xml:space="preserve">. </w:t>
            </w:r>
            <w:r w:rsidR="5E4677B1" w:rsidRPr="3FF8FB8C">
              <w:rPr>
                <w:rFonts w:ascii="Avenir Next LT Pro" w:eastAsia="Avenir Next LT Pro" w:hAnsi="Avenir Next LT Pro" w:cs="Avenir Next LT Pro"/>
              </w:rPr>
              <w:t xml:space="preserve">Además, </w:t>
            </w:r>
            <w:r w:rsidR="3D7BF9D0" w:rsidRPr="3FF8FB8C">
              <w:rPr>
                <w:rFonts w:ascii="Avenir Next LT Pro" w:eastAsia="Avenir Next LT Pro" w:hAnsi="Avenir Next LT Pro" w:cs="Avenir Next LT Pro"/>
              </w:rPr>
              <w:t xml:space="preserve">la </w:t>
            </w:r>
            <w:r w:rsidRPr="3FF8FB8C">
              <w:rPr>
                <w:rFonts w:ascii="Avenir Next LT Pro" w:eastAsia="Avenir Next LT Pro" w:hAnsi="Avenir Next LT Pro" w:cs="Avenir Next LT Pro"/>
              </w:rPr>
              <w:t>aten</w:t>
            </w:r>
            <w:r w:rsidR="3D7BF9D0" w:rsidRPr="3FF8FB8C">
              <w:rPr>
                <w:rFonts w:ascii="Avenir Next LT Pro" w:eastAsia="Avenir Next LT Pro" w:hAnsi="Avenir Next LT Pro" w:cs="Avenir Next LT Pro"/>
              </w:rPr>
              <w:t>ción</w:t>
            </w:r>
            <w:r w:rsidRPr="3FF8FB8C">
              <w:rPr>
                <w:rFonts w:ascii="Avenir Next LT Pro" w:eastAsia="Avenir Next LT Pro" w:hAnsi="Avenir Next LT Pro" w:cs="Avenir Next LT Pro"/>
              </w:rPr>
              <w:t xml:space="preserve"> a la boca del interlocutor predice el crecimiento posterior del vocabulario</w:t>
            </w:r>
            <w:r w:rsidR="776F82D9">
              <w:fldChar w:fldCharType="begin"/>
            </w:r>
            <w:r w:rsidR="776F82D9">
              <w:instrText xml:space="preserve"> ADDIN ZOTERO_ITEM CSL_CITATION {"citationID":"YnF2gRu6","properties":{"formattedCitation":"\\super 20\\uc0\\u8211{}23\\nosupersub{}","plainCitation":"20–23","noteIndex":0},"citationItems":[{"id":5649,"uris":["http://zotero.org/users/5937427/items/X8YKQBVE"],"itemData":{"id":5649,"type":"article-journal","abstract":"We found that infant gaze following and pointing predicts subsequent language development. At ages 0 ; 10 or 0 ; 11, infants saw an adult turn to look at an object in an experimental setting. Productive vocabulary was assessed longitudinally through two years of age. Growth curve modeling showed that infants who gaze followed and looked longer at the target object had significantly faster vocabulary growth than infants with shorter looks, even with maternal education controlled; adding infant pointing strengthened the model. We highlight the role of social cognition in word learning and emphasize the communicative-referential functions of early gaze following and pointing.","container-title":"Journal of Child Language","DOI":"10.1017/S030500090700829X","ISSN":"1469-7602, 0305-0009","issue":"1","language":"en","page":"207-220","source":"Cambridge University Press","title":"Infant gaze following and pointing predict accelerated vocabulary growth through two years of age: a longitudinal, growth curve modeling study","title-short":"Infant gaze following and pointing predict accelerated vocabulary growth through two years of age","URL":"https://www.cambridge.org/core/journals/journal-of-child-language/article/abs/infant-gaze-following-and-pointing-predict-accelerated-vocabulary-growth-through-two-years-of-age-a-longitudinal-growth-curve-modeling-study/CB461AEDE820A9FEB35DA5AB5AC4FF3F","volume":"35","author":[{"family":"Brooks","given":"Rechele"},{"family":"Meltzoff","given":"Andrew N."}],"accessed":{"date-parts":[["2025",6,5]]},"issued":{"date-parts":[["2008",2]]},"citation-key":"brooksInfantGazeFollowing2008"}},{"id":5650,"uris":["http://zotero.org/users/5937427/items/HD68EFXP"],"itemData":{"id":5650,"type":"article-journal","abstract":"Eye gaze is a ubiquitous cue in child-caregiver interactions and infants are highly attentive to eye gaze from very early on. However, the question of why infants show gaze-sensitive behavior, and what role this sensitivity to gaze plays in their language development, is not yet well-understood. To gain a better understanding of the role of eye gaze in infants’ language learning, we conducted a broad systematic review of the developmental literature for all studies that investigate the role of eye gaze in infants’ language development. Across 77 peer-reviewed articles containing data from typically-developing human infants (0-24 months) in the domain of language development we identified two broad themes. The first tracked the effect of eye gaze on four developmental domains: (1) vocabulary development, (2) word-object mapping, (3) object processing, and (4) speech processing. Overall, there is considerable evidence that infants learn more about objects and are more likely to form word-object mappings in the presence of eye gaze cues, both of which are necessary for learning words. In addition, there is good evidence for longitudinal relationships between infants’ gaze following abilities and later receptive and expressive vocabulary. However, many domains (e.g. speech processing) are understudied; further work is needed to decide whether gaze effects are specific to tasks such as word-object mapping, or whether they reflect a general learning enhancement mechanism. The second theme explored the reasons why eye gaze might be facilitative for learning, addressing the question of whether eye gaze is treated by infants as a specialized socio-cognitive cue. We concluded that the balance of evidence supports the idea that eye gaze facilitates infants’ learning by enhancing their arousal, memory and attentional capacities to a greater extent than other low-level attentional cues. However, as yet, there are too few studies that directly compare the effect of eye gaze cues and non-social, attentional cues for strong conclusions to be drawn. We also suggest there might be a developmental effect, with eye gaze, over the course of the first two years of life, developing into a truly ostensive cue that enhances language learning across the board.","container-title":"Frontiers in Psychology","DOI":"10.3389/fpsyg.2020.589096","ISSN":"1664-1078","journalAbbreviation":"Front. Psychol.","language":"English","note":"publisher: Frontiers","source":"Frontiers","title":"Do the Eyes Have It? A Systematic Review on the Role of Eye Gaze in Infant Language Development","title-short":"Do the Eyes Have It?","URL":"https://www.frontiersin.org/journals/psychology/articles/10.3389/fpsyg.2020.589096/full","volume":"11","author":[{"family":"Çetinçelik","given":"Melis"},{"family":"Rowland","given":"Caroline F."},{"family":"Snijders","given":"Tineke M."}],"accessed":{"date-parts":[["2025",6,5]]},"issued":{"date-parts":[["2021",1,8]]},"citation-key":"cetincelikEyesHaveIt2021"}},{"id":5651,"uris":["http://zotero.org/users/5937427/items/63Y8TT5Z"],"itemData":{"id":5651,"type":"chapter","abstract":"The “looking-while-listening” methodology uses real-time measures of the time course of young children’s gaze patterns in response to speech. This procedure is low in task demands and does not require automated eyetracking technology, similar to “preferential-looking” procedures. However, the looking-whilelistening methodology differs critically from preferential-looking procedures in the methods used for data reduction and analysis, yielding high-resolution measures of speech processing from moment to moment, rather than relying on summary measures of looking preference. Because children’s gaze patterns are time-locked to speech and coded frame-by-frame, each 5-min experiment response latencies can be coded with millisecond precision on multiple trials over multiple items, based on data from thousands of frames in each experiment. The meticulous procedures required in the collection, reduction, and multiple levels of analysis of such detailed data are demanding, but well worth the effort, revealing a dynamic and nuanced picture of young children’s developing skill in finding meaning in spoken language.","container-title":"Language Acquisition and Language Disorders","event-place":"Amsterdam","ISBN":"978-90-272-5304-0","language":"en","note":"DOI: 10.1075/lald.44.06fer","page":"97-135","publisher":"John Benjamins Publishing Company","publisher-place":"Amsterdam","source":"DOI.org (Crossref)","title":"Looking while listening: Using eye movements to monitor spoken language comprehension by infants and young children","title-short":"Looking while listening","URL":"https://benjamins.com/catalog/lald.44.06fer","volume":"44","editor":[{"family":"Sekerina","given":"Irina A."},{"family":"Fernández","given":"Eva M."},{"family":"Clahsen","given":"Harald"}],"author":[{"family":"Fernald","given":"Anne E."},{"family":"Zangl","given":"Renate"},{"family":"Portillo","given":"Ana Luz"},{"family":"Marchman","given":"Virginia A."}],"accessed":{"date-parts":[["2025",6,5]]},"issued":{"date-parts":[["2008",1,9]]},"citation-key":"fernaldLookingListeningUsing2008"}},{"id":5652,"uris":["http://zotero.org/users/5937427/items/GAEJKDTW"],"itemData":{"id":5652,"type":"article-journal","abstract":"ABSTRACT\n            \n              We investigated longitudinal relations among gaze following and face scanning in infancy and later language development. At 12 months, infants watched videos of a woman describing an object while their passive viewing was measured with an eye-tracker. We examined the relation between infants' face scanning behavior and their tendency to follow the speaker's attentional shift to the object she was describing. We also collected language outcome measures on the same infants at 18 and 24 months. Attention to the mouth and gaze following at 12 months both predicted later productive vocabulary. The results are discussed in terms of\n              social engagement\n              , which may account for both attentional distribution and language onset. We argue that an infant's inherent interest in engaging with others (in addition to creating more opportunities for communication) leads infants to attend to the most relevant information in a social scene and that this information facilitates language learning.","container-title":"Journal of Child Language","DOI":"10.1017/S0305000914000725","ISSN":"0305-0009, 1469-7602","issue":"6","journalAbbreviation":"J. Child Lang.","language":"en","license":"https://www.cambridge.org/core/terms","page":"1173-1190","source":"DOI.org (Crossref)","title":"Attention to the mouth and gaze following in infancy predict language development","URL":"https://www.cambridge.org/core/product/identifier/S0305000914000725/type/journal_article","volume":"42","author":[{"family":"Tenenbaum","given":"Elena J."},{"family":"Sobel","given":"David M."},{"family":"Sheinkopf","given":"Stephen J."},{"family":"Malle","given":"Bertram F."},{"family":"Morgan","given":"James L."}],"accessed":{"date-parts":[["2025",6,5]]},"issued":{"date-parts":[["2015",11]]},"citation-key":"tenenbaumAttentionMouthGaze2015"}}],"schema":"https://github.com/citation-style-language/schema/raw/master/csl-citation.json"}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20–23</w:t>
            </w:r>
            <w:r w:rsidR="776F82D9">
              <w:fldChar w:fldCharType="end"/>
            </w:r>
            <w:r w:rsidRPr="3FF8FB8C">
              <w:rPr>
                <w:rFonts w:ascii="Avenir Next LT Pro" w:eastAsia="Avenir Next LT Pro" w:hAnsi="Avenir Next LT Pro" w:cs="Avenir Next LT Pro"/>
              </w:rPr>
              <w:t>.</w:t>
            </w:r>
          </w:p>
          <w:p w14:paraId="7AE6BC8D" w14:textId="3287C581" w:rsidR="00F04AD2" w:rsidRPr="00167235" w:rsidRDefault="37BFC4E4" w:rsidP="365890A1">
            <w:pPr>
              <w:ind w:leftChars="1" w:firstLineChars="170" w:firstLine="306"/>
              <w:rPr>
                <w:rFonts w:ascii="Avenir Next LT Pro" w:eastAsia="Avenir Next LT Pro" w:hAnsi="Avenir Next LT Pro" w:cs="Avenir Next LT Pro"/>
              </w:rPr>
            </w:pPr>
            <w:r w:rsidRPr="365890A1">
              <w:rPr>
                <w:rFonts w:ascii="Avenir Next LT Pro" w:eastAsia="Avenir Next LT Pro" w:hAnsi="Avenir Next LT Pro" w:cs="Avenir Next LT Pro"/>
              </w:rPr>
              <w:t xml:space="preserve">En este proyecto investigaremos el </w:t>
            </w:r>
            <w:r w:rsidR="731B2CF8" w:rsidRPr="365890A1">
              <w:rPr>
                <w:rFonts w:ascii="Avenir Next LT Pro" w:eastAsia="Avenir Next LT Pro" w:hAnsi="Avenir Next LT Pro" w:cs="Avenir Next LT Pro"/>
              </w:rPr>
              <w:t xml:space="preserve">efecto </w:t>
            </w:r>
            <w:r w:rsidRPr="365890A1">
              <w:rPr>
                <w:rFonts w:ascii="Avenir Next LT Pro" w:eastAsia="Avenir Next LT Pro" w:hAnsi="Avenir Next LT Pro" w:cs="Avenir Next LT Pro"/>
              </w:rPr>
              <w:t xml:space="preserve">de rasgos acústicos del IDS en la atención de bebés prelingüísticos hacia estímulos vocales, así como su relación </w:t>
            </w:r>
            <w:r w:rsidR="36C3153B" w:rsidRPr="365890A1">
              <w:rPr>
                <w:rFonts w:ascii="Avenir Next LT Pro" w:eastAsia="Avenir Next LT Pro" w:hAnsi="Avenir Next LT Pro" w:cs="Avenir Next LT Pro"/>
              </w:rPr>
              <w:t xml:space="preserve">predictiva </w:t>
            </w:r>
            <w:r w:rsidRPr="365890A1">
              <w:rPr>
                <w:rFonts w:ascii="Avenir Next LT Pro" w:eastAsia="Avenir Next LT Pro" w:hAnsi="Avenir Next LT Pro" w:cs="Avenir Next LT Pro"/>
              </w:rPr>
              <w:t>con el desarrollo lingüístico y musical</w:t>
            </w:r>
            <w:r w:rsidR="1D654052" w:rsidRPr="365890A1">
              <w:rPr>
                <w:rFonts w:ascii="Avenir Next LT Pro" w:eastAsia="Avenir Next LT Pro" w:hAnsi="Avenir Next LT Pro" w:cs="Avenir Next LT Pro"/>
              </w:rPr>
              <w:t xml:space="preserve"> en la primera </w:t>
            </w:r>
            <w:proofErr w:type="spellStart"/>
            <w:r w:rsidR="1D654052" w:rsidRPr="365890A1">
              <w:rPr>
                <w:rFonts w:ascii="Avenir Next LT Pro" w:eastAsia="Avenir Next LT Pro" w:hAnsi="Avenir Next LT Pro" w:cs="Avenir Next LT Pro"/>
              </w:rPr>
              <w:t>infacia</w:t>
            </w:r>
            <w:proofErr w:type="spellEnd"/>
            <w:r w:rsidRPr="365890A1">
              <w:rPr>
                <w:rFonts w:ascii="Avenir Next LT Pro" w:eastAsia="Avenir Next LT Pro" w:hAnsi="Avenir Next LT Pro" w:cs="Avenir Next LT Pro"/>
              </w:rPr>
              <w:t>. Realizaremos dos estudios complementarios:</w:t>
            </w:r>
          </w:p>
          <w:p w14:paraId="70DE832B" w14:textId="64996F59" w:rsidR="00844492" w:rsidRPr="00847B5F" w:rsidRDefault="5A61702F" w:rsidP="3FF8FB8C">
            <w:pPr>
              <w:ind w:leftChars="1" w:firstLineChars="170" w:firstLine="306"/>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Primero, utilizaremos </w:t>
            </w:r>
            <w:r w:rsidRPr="3FF8FB8C">
              <w:rPr>
                <w:rFonts w:ascii="Avenir Next LT Pro" w:eastAsia="Avenir Next LT Pro" w:hAnsi="Avenir Next LT Pro" w:cs="Avenir Next LT Pro"/>
                <w:i/>
                <w:iCs/>
              </w:rPr>
              <w:t>eye-tracking</w:t>
            </w:r>
            <w:r w:rsidRPr="3FF8FB8C">
              <w:rPr>
                <w:rFonts w:ascii="Avenir Next LT Pro" w:eastAsia="Avenir Next LT Pro" w:hAnsi="Avenir Next LT Pro" w:cs="Avenir Next LT Pro"/>
              </w:rPr>
              <w:t xml:space="preserve"> para evaluar cómo manipulaciones acústicas experimentales influyen en la atención de bebés de 3 a 9 meses hacia el hablante. Segundo, analizaremos las características acústicas del IDS de madres de niños de </w:t>
            </w:r>
            <w:r w:rsidR="26047DB6" w:rsidRPr="3FF8FB8C">
              <w:rPr>
                <w:rFonts w:ascii="Avenir Next LT Pro" w:eastAsia="Avenir Next LT Pro" w:hAnsi="Avenir Next LT Pro" w:cs="Avenir Next LT Pro"/>
              </w:rPr>
              <w:t xml:space="preserve">16 a </w:t>
            </w:r>
            <w:r w:rsidR="383DB7E8" w:rsidRPr="3FF8FB8C">
              <w:rPr>
                <w:rFonts w:ascii="Avenir Next LT Pro" w:eastAsia="Avenir Next LT Pro" w:hAnsi="Avenir Next LT Pro" w:cs="Avenir Next LT Pro"/>
              </w:rPr>
              <w:t>23</w:t>
            </w:r>
            <w:r w:rsidR="26047DB6" w:rsidRPr="3FF8FB8C">
              <w:rPr>
                <w:rFonts w:ascii="Avenir Next LT Pro" w:eastAsia="Avenir Next LT Pro" w:hAnsi="Avenir Next LT Pro" w:cs="Avenir Next LT Pro"/>
              </w:rPr>
              <w:t xml:space="preserve"> </w:t>
            </w:r>
            <w:r w:rsidR="67640118" w:rsidRPr="3FF8FB8C">
              <w:rPr>
                <w:rFonts w:ascii="Avenir Next LT Pro" w:eastAsia="Avenir Next LT Pro" w:hAnsi="Avenir Next LT Pro" w:cs="Avenir Next LT Pro"/>
              </w:rPr>
              <w:t>meses</w:t>
            </w:r>
            <w:r w:rsidRPr="3FF8FB8C">
              <w:rPr>
                <w:rFonts w:ascii="Avenir Next LT Pro" w:eastAsia="Avenir Next LT Pro" w:hAnsi="Avenir Next LT Pro" w:cs="Avenir Next LT Pro"/>
              </w:rPr>
              <w:t xml:space="preserve"> para evaluar su valor predictivo en el desarrollo infantil.</w:t>
            </w:r>
          </w:p>
        </w:tc>
      </w:tr>
    </w:tbl>
    <w:p w14:paraId="74495106" w14:textId="12720058" w:rsidR="00844492" w:rsidRPr="00847B5F" w:rsidRDefault="36E56080" w:rsidP="0B44BD26">
      <w:pPr>
        <w:pStyle w:val="Heading1"/>
        <w:ind w:left="0" w:firstLine="308"/>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3. PLANTEAMIENTO DEL PROBLEMA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9D268FE"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BB6406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3. PLANTEAMIENTO DEL PROBLEMA</w:t>
            </w:r>
          </w:p>
        </w:tc>
      </w:tr>
      <w:tr w:rsidR="00844492" w:rsidRPr="00847B5F" w14:paraId="0BF1DF47"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7B45B" w14:textId="377D7B76" w:rsidR="00BA23AE" w:rsidRPr="00BA23AE" w:rsidRDefault="19BA4121" w:rsidP="0B44BD26">
            <w:pPr>
              <w:rPr>
                <w:rFonts w:ascii="Avenir Next LT Pro" w:eastAsia="Avenir Next LT Pro" w:hAnsi="Avenir Next LT Pro" w:cs="Avenir Next LT Pro"/>
              </w:rPr>
            </w:pPr>
            <w:r w:rsidRPr="3FF8FB8C">
              <w:rPr>
                <w:rFonts w:ascii="Avenir Next LT Pro" w:eastAsia="Avenir Next LT Pro" w:hAnsi="Avenir Next LT Pro" w:cs="Avenir Next LT Pro"/>
              </w:rPr>
              <w:t>Los seres humanos somos una especie animal muy particular. Entre muchas cualidades, hablamos y cantamos. Estas capacidades, profundamente humanas, son fundamentales para el surgimiento y transmisión de fenómenos culturales, y dependen de un aprendizaje social extenso y complejo. Al nacer, las y los bebés dependen de la comunicación con sus madres para sobrevivir. Aunque aún no hablan ni comprenden el lenguaje, necesitan comunicarse para fortalecer el vínculo afectivo y evitar el desapego y la negligencia</w:t>
            </w:r>
            <w:r w:rsidR="2B01FE5C" w:rsidRPr="3FF8FB8C">
              <w:rPr>
                <w:rFonts w:ascii="Avenir Next LT Pro" w:eastAsia="Avenir Next LT Pro" w:hAnsi="Avenir Next LT Pro" w:cs="Avenir Next LT Pro"/>
              </w:rPr>
              <w:t xml:space="preserve"> (</w:t>
            </w:r>
            <w:r w:rsidRPr="3FF8FB8C">
              <w:rPr>
                <w:rFonts w:ascii="Avenir Next LT Pro" w:eastAsia="Avenir Next LT Pro" w:hAnsi="Avenir Next LT Pro" w:cs="Avenir Next LT Pro"/>
              </w:rPr>
              <w:t>riesgos que pueden ser fatales</w:t>
            </w:r>
            <w:r w:rsidR="2B01FE5C" w:rsidRPr="3FF8FB8C">
              <w:rPr>
                <w:rFonts w:ascii="Avenir Next LT Pro" w:eastAsia="Avenir Next LT Pro" w:hAnsi="Avenir Next LT Pro" w:cs="Avenir Next LT Pro"/>
              </w:rPr>
              <w:t>)</w:t>
            </w:r>
            <w:r w:rsidRPr="3FF8FB8C">
              <w:rPr>
                <w:rFonts w:ascii="Avenir Next LT Pro" w:eastAsia="Avenir Next LT Pro" w:hAnsi="Avenir Next LT Pro" w:cs="Avenir Next LT Pro"/>
              </w:rPr>
              <w:t>, para expresar y comprender emociones, y para iniciar, poco a poco, el proceso de adquisición del lenguaje.</w:t>
            </w:r>
          </w:p>
          <w:p w14:paraId="04F67772" w14:textId="23D88F5A" w:rsidR="00B514D4" w:rsidRDefault="19BA4121"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Todo esto ocurre a través de un proceso universal</w:t>
            </w:r>
            <w:r w:rsidR="76498780" w:rsidRPr="3FF8FB8C">
              <w:rPr>
                <w:rFonts w:ascii="Avenir Next LT Pro" w:eastAsia="Avenir Next LT Pro" w:hAnsi="Avenir Next LT Pro" w:cs="Avenir Next LT Pro"/>
              </w:rPr>
              <w:t xml:space="preserve"> </w:t>
            </w:r>
            <w:r w:rsidRPr="3FF8FB8C">
              <w:rPr>
                <w:rFonts w:ascii="Avenir Next LT Pro" w:eastAsia="Avenir Next LT Pro" w:hAnsi="Avenir Next LT Pro" w:cs="Avenir Next LT Pro"/>
              </w:rPr>
              <w:t xml:space="preserve">arraigado en </w:t>
            </w:r>
            <w:r w:rsidR="2B01FE5C" w:rsidRPr="3FF8FB8C">
              <w:rPr>
                <w:rFonts w:ascii="Avenir Next LT Pro" w:eastAsia="Avenir Next LT Pro" w:hAnsi="Avenir Next LT Pro" w:cs="Avenir Next LT Pro"/>
              </w:rPr>
              <w:t>la</w:t>
            </w:r>
            <w:r w:rsidRPr="3FF8FB8C">
              <w:rPr>
                <w:rFonts w:ascii="Avenir Next LT Pro" w:eastAsia="Avenir Next LT Pro" w:hAnsi="Avenir Next LT Pro" w:cs="Avenir Next LT Pro"/>
              </w:rPr>
              <w:t xml:space="preserve"> evolución</w:t>
            </w:r>
            <w:r w:rsidR="2B01FE5C" w:rsidRPr="3FF8FB8C">
              <w:rPr>
                <w:rFonts w:ascii="Avenir Next LT Pro" w:eastAsia="Avenir Next LT Pro" w:hAnsi="Avenir Next LT Pro" w:cs="Avenir Next LT Pro"/>
              </w:rPr>
              <w:t xml:space="preserve"> de nuestra especie</w:t>
            </w:r>
            <w:r w:rsidRPr="3FF8FB8C">
              <w:rPr>
                <w:rFonts w:ascii="Avenir Next LT Pro" w:eastAsia="Avenir Next LT Pro" w:hAnsi="Avenir Next LT Pro" w:cs="Avenir Next LT Pro"/>
              </w:rPr>
              <w:t>, que media el aprendizaje social desde el comienzo de la vida y que apenas estamos empezando a comprender: el habla dirigida a bebés (</w:t>
            </w:r>
            <w:proofErr w:type="spellStart"/>
            <w:r w:rsidRPr="3FF8FB8C">
              <w:rPr>
                <w:rFonts w:ascii="Avenir Next LT Pro" w:eastAsia="Avenir Next LT Pro" w:hAnsi="Avenir Next LT Pro" w:cs="Avenir Next LT Pro"/>
                <w:i/>
                <w:iCs/>
              </w:rPr>
              <w:t>Infant-Directed</w:t>
            </w:r>
            <w:proofErr w:type="spellEnd"/>
            <w:r w:rsidRPr="3FF8FB8C">
              <w:rPr>
                <w:rFonts w:ascii="Avenir Next LT Pro" w:eastAsia="Avenir Next LT Pro" w:hAnsi="Avenir Next LT Pro" w:cs="Avenir Next LT Pro"/>
                <w:i/>
                <w:iCs/>
              </w:rPr>
              <w:t xml:space="preserve"> </w:t>
            </w:r>
            <w:proofErr w:type="spellStart"/>
            <w:r w:rsidRPr="3FF8FB8C">
              <w:rPr>
                <w:rFonts w:ascii="Avenir Next LT Pro" w:eastAsia="Avenir Next LT Pro" w:hAnsi="Avenir Next LT Pro" w:cs="Avenir Next LT Pro"/>
                <w:i/>
                <w:iCs/>
              </w:rPr>
              <w:t>Speech</w:t>
            </w:r>
            <w:proofErr w:type="spellEnd"/>
            <w:r w:rsidRPr="3FF8FB8C">
              <w:rPr>
                <w:rFonts w:ascii="Avenir Next LT Pro" w:eastAsia="Avenir Next LT Pro" w:hAnsi="Avenir Next LT Pro" w:cs="Avenir Next LT Pro"/>
              </w:rPr>
              <w:t>, IDS). Y, en particular, el habla que las madres dirigen a sus bebés. El IDS materno no es una curiosidad ni una rareza cultural: es una de las formas más tempranas, poderosas y decisivas de</w:t>
            </w:r>
            <w:r w:rsidR="64EEE3F7" w:rsidRPr="3FF8FB8C">
              <w:rPr>
                <w:rFonts w:ascii="Avenir Next LT Pro" w:eastAsia="Avenir Next LT Pro" w:hAnsi="Avenir Next LT Pro" w:cs="Avenir Next LT Pro"/>
              </w:rPr>
              <w:t xml:space="preserve"> interacción social, y una de las que tiene mayor</w:t>
            </w:r>
            <w:r w:rsidRPr="3FF8FB8C">
              <w:rPr>
                <w:rFonts w:ascii="Avenir Next LT Pro" w:eastAsia="Avenir Next LT Pro" w:hAnsi="Avenir Next LT Pro" w:cs="Avenir Next LT Pro"/>
              </w:rPr>
              <w:t xml:space="preserve"> influencia sobre el desarrollo de</w:t>
            </w:r>
            <w:r w:rsidR="3218342A" w:rsidRPr="3FF8FB8C">
              <w:rPr>
                <w:rFonts w:ascii="Avenir Next LT Pro" w:eastAsia="Avenir Next LT Pro" w:hAnsi="Avenir Next LT Pro" w:cs="Avenir Next LT Pro"/>
              </w:rPr>
              <w:t xml:space="preserve">l </w:t>
            </w:r>
            <w:r w:rsidRPr="3FF8FB8C">
              <w:rPr>
                <w:rFonts w:ascii="Avenir Next LT Pro" w:eastAsia="Avenir Next LT Pro" w:hAnsi="Avenir Next LT Pro" w:cs="Avenir Next LT Pro"/>
              </w:rPr>
              <w:t>ser humano</w:t>
            </w:r>
            <w:r>
              <w:fldChar w:fldCharType="begin"/>
            </w:r>
            <w:r>
              <w:instrText xml:space="preserve"> ADDIN ZOTERO_ITEM CSL_CITATION {"citationID":"nNJkjB9U","properties":{"formattedCitation":"\\super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Pr="3FF8FB8C">
              <w:rPr>
                <w:rFonts w:ascii="Calibri" w:hAnsi="Calibri" w:cs="Calibri"/>
              </w:rPr>
              <w:instrText>č</w:instrText>
            </w:r>
            <w:r>
              <w:instrText xml:space="preserve">ek","given":"Jan"},{"family":"Roberts","given":"S. Craig"}],"accessed":{"date-parts":[["2021",11,22]]},"issued":{"date-parts":[["2022",1,3]]},"citation-key":"leongomezMusicalityHumanVocal2022"}}],"schema":"https://github.com/citation-style-language/schema/raw/master/csl-citation.json"} </w:instrText>
            </w:r>
            <w:r>
              <w:fldChar w:fldCharType="separate"/>
            </w:r>
            <w:r w:rsidR="0B7FCB9D" w:rsidRPr="3FF8FB8C">
              <w:rPr>
                <w:rFonts w:ascii="Avenir Next LT Pro" w:hAnsi="Avenir Next LT Pro" w:cs="Times New Roman"/>
                <w:vertAlign w:val="superscript"/>
              </w:rPr>
              <w:t>16</w:t>
            </w:r>
            <w:r>
              <w:fldChar w:fldCharType="end"/>
            </w:r>
            <w:r w:rsidRPr="3FF8FB8C">
              <w:rPr>
                <w:rFonts w:ascii="Avenir Next LT Pro" w:eastAsia="Avenir Next LT Pro" w:hAnsi="Avenir Next LT Pro" w:cs="Avenir Next LT Pro"/>
              </w:rPr>
              <w:t>.</w:t>
            </w:r>
          </w:p>
          <w:p w14:paraId="32B5D895" w14:textId="193F232C" w:rsidR="00077BF3" w:rsidRPr="00077BF3" w:rsidRDefault="69AF9100" w:rsidP="3FF8FB8C">
            <w:pPr>
              <w:rPr>
                <w:rFonts w:ascii="Avenir Next LT Pro" w:eastAsia="Avenir Next LT Pro" w:hAnsi="Avenir Next LT Pro" w:cs="Avenir Next LT Pro"/>
              </w:rPr>
            </w:pPr>
            <w:r w:rsidRPr="3FF8FB8C">
              <w:rPr>
                <w:rFonts w:ascii="Avenir Next LT Pro" w:eastAsia="Avenir Next LT Pro" w:hAnsi="Avenir Next LT Pro" w:cs="Avenir Next LT Pro"/>
              </w:rPr>
              <w:t>Aunque l</w:t>
            </w:r>
            <w:r w:rsidR="6A7CF5F0" w:rsidRPr="3FF8FB8C">
              <w:rPr>
                <w:rFonts w:ascii="Avenir Next LT Pro" w:eastAsia="Avenir Next LT Pro" w:hAnsi="Avenir Next LT Pro" w:cs="Avenir Next LT Pro"/>
              </w:rPr>
              <w:t>a comunicación vocal es común entre los tetrápodos, en muchas especies</w:t>
            </w:r>
            <w:r w:rsidR="47B98891" w:rsidRPr="3FF8FB8C">
              <w:rPr>
                <w:rFonts w:ascii="Avenir Next LT Pro" w:eastAsia="Avenir Next LT Pro" w:hAnsi="Avenir Next LT Pro" w:cs="Avenir Next LT Pro"/>
              </w:rPr>
              <w:t xml:space="preserve">, </w:t>
            </w:r>
            <w:r w:rsidR="6A7CF5F0" w:rsidRPr="3FF8FB8C">
              <w:rPr>
                <w:rFonts w:ascii="Avenir Next LT Pro" w:eastAsia="Avenir Next LT Pro" w:hAnsi="Avenir Next LT Pro" w:cs="Avenir Next LT Pro"/>
              </w:rPr>
              <w:t xml:space="preserve">incluyendo a los humanos, tiene </w:t>
            </w:r>
            <w:r w:rsidR="327FC784" w:rsidRPr="3FF8FB8C">
              <w:rPr>
                <w:rFonts w:ascii="Avenir Next LT Pro" w:eastAsia="Avenir Next LT Pro" w:hAnsi="Avenir Next LT Pro" w:cs="Avenir Next LT Pro"/>
              </w:rPr>
              <w:t xml:space="preserve">enormes </w:t>
            </w:r>
            <w:r w:rsidR="6A7CF5F0" w:rsidRPr="3FF8FB8C">
              <w:rPr>
                <w:rFonts w:ascii="Avenir Next LT Pro" w:eastAsia="Avenir Next LT Pro" w:hAnsi="Avenir Next LT Pro" w:cs="Avenir Next LT Pro"/>
              </w:rPr>
              <w:t>implicaciones sociales</w:t>
            </w:r>
            <w:r>
              <w:fldChar w:fldCharType="begin"/>
            </w:r>
            <w:r>
              <w:instrText xml:space="preserve"> ADDIN ZOTERO_ITEM CSL_CITATION {"citationID":"iDFriMwL","properties":{"formattedCitation":"\\super 24\\nosupersub{}","plainCitation":"24","noteIndex":0},"citationItems":[{"id":1145,"uris":["http://zotero.org/users/5937427/items/JI262P3S"],"itemData":{"id":1145,"type":"article-journal","abstract":"Research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Sciences","DOI":"10.1098/rstb.2020.0386","ISSN":"0962-8436, 1471-2970","issue":"1840","journalAbbreviation":"Phil. Trans. R. Soc. B","language":"en","license":"Licencia Creative Commons Atribución-NoComercial-NoDerivadas 4.0 Internacional (CC-BY-NC-ND)","note":"tex.ids= leongomezVoiceModulationOrigin2021, leongomezVoiceModulationOrigin2021a","page":"20200386","source":"DOI.org (Crossref)","title":"Voice modulation: from origin and mechanism to social impact","title-short":"Voice modulation","URL":"https://royalsocietypublishing.org/doi/10.1098/rstb.2020.0386","volume":"376","author":[{"family":"Leongómez","given":"Juan David"},{"family":"Pisanski","given":"Katarzyna"},{"family":"Reby","given":"David"},{"family":"Sauter","given":"Disa"},{"family":"Lavan","given":"Nadine"},{"family":"Perlman","given":"Marcus"},{"family":"Varella Valentova","given":"Jaroslava"}],"accessed":{"date-parts":[["2021",11,22]]},"issued":{"date-parts":[["2021",12,20]]},"citation-key":"leongomezVoiceModulationOrigin2021"}}],"schema":"https://github.com/citation-style-language/schema/raw/master/csl-citation.json"} </w:instrText>
            </w:r>
            <w:r>
              <w:fldChar w:fldCharType="separate"/>
            </w:r>
            <w:r w:rsidR="0B7FCB9D" w:rsidRPr="3FF8FB8C">
              <w:rPr>
                <w:rFonts w:ascii="Avenir Next LT Pro" w:hAnsi="Avenir Next LT Pro" w:cs="Times New Roman"/>
                <w:vertAlign w:val="superscript"/>
              </w:rPr>
              <w:t>24</w:t>
            </w:r>
            <w:r>
              <w:fldChar w:fldCharType="end"/>
            </w:r>
            <w:r w:rsidR="6A7CF5F0" w:rsidRPr="3FF8FB8C">
              <w:rPr>
                <w:rFonts w:ascii="Avenir Next LT Pro" w:eastAsia="Avenir Next LT Pro" w:hAnsi="Avenir Next LT Pro" w:cs="Avenir Next LT Pro"/>
              </w:rPr>
              <w:t xml:space="preserve">. Las señales vocales pueden reflejar características biológicas relativamente estables del vocalizador, como el sexo, la edad o el tamaño corporal, influyendo así en cómo se desarrollan las interacciones sociales. En los humanos, numerosos estudios han mostrado que parámetros vocales no verbales, como el tono de voz (relacionado con la frecuencia fundamental, </w:t>
            </w:r>
            <w:r w:rsidR="6A7CF5F0" w:rsidRPr="3FF8FB8C">
              <w:rPr>
                <w:rFonts w:ascii="Avenir Next LT Pro" w:eastAsia="Avenir Next LT Pro" w:hAnsi="Avenir Next LT Pro" w:cs="Avenir Next LT Pro"/>
                <w:i/>
                <w:iCs/>
              </w:rPr>
              <w:t>f</w:t>
            </w:r>
            <w:r w:rsidR="6A7CF5F0" w:rsidRPr="3FF8FB8C">
              <w:rPr>
                <w:rFonts w:ascii="Avenir Next LT Pro" w:eastAsia="Avenir Next LT Pro" w:hAnsi="Avenir Next LT Pro" w:cs="Avenir Next LT Pro"/>
              </w:rPr>
              <w:t>₀) y las resonancias del tracto vocal</w:t>
            </w:r>
            <w:r>
              <w:fldChar w:fldCharType="begin"/>
            </w:r>
            <w:r>
              <w:instrText xml:space="preserve"> ADDIN ZOTERO_ITEM CSL_CITATION {"citationID":"C6p4H9O4","properties":{"formattedCitation":"\\super 25\\nosupersub{}","plainCitation":"25","noteIndex":0},"citationItems":[{"id":995,"uris":["http://zotero.org/users/5937427/items/SWFIM89P"],"itemData":{"id":995,"type":"article-journal","abstract":"Purpose\nData on vowel formants have been derived primarily from static measures representing an assumed steady state. This review summarizes data on formant frequencies and bandwidths for American English and also addresses (a) sources of variability (focusing on speech sample and time sampling point), and (b) methods of data reduction such as vowel area and dispersion.\nMethod\nSearches were conducted with CINAHL, Google Scholar, MEDLINE/PubMed, SCOPUS, and other online sources including legacy articles and references. The primary search items were vowels, vowel space area, vowel dispersion, formants, formant frequency, and formant bandwidth.\nResults\nData on formant frequencies and bandwidths are available for both sexes over the lifespan, but considerable variability in results across studies affects even features of the basic vowel quadrilateral. Origins of variability likely include differences in speech sample and time sampling point. The data reveal the emergence of sex differences by 4 years of age, maturational reductions in formant bandwidth, and decreased formant frequencies with advancing age in some persons. It appears that a combination of methods of data reduction provide for optimal data interpretation.\nConclusion\nThe lifespan database on vowel formants shows considerable variability within specific age-sex groups, pointing to the need for standardized procedures.","container-title":"Journal of Communication Disorders","DOI":"10.1016/j.jcomdis.2018.05.004","ISSN":"0021-9924","journalAbbreviation":"Journal of Communication Disorders","language":"en","page":"74-97","source":"ScienceDirect","title":"Static measurements of vowel formant frequencies and bandwidths: A review","title-short":"Static measurements of vowel formant frequencies and bandwidths","URL":"https://www.sciencedirect.com/science/article/pii/S0021992417302575","volume":"74","author":[{"family":"Kent","given":"Raymond D."},{"family":"Vorperian","given":"Houri K."}],"accessed":{"date-parts":[["2023",4,25]]},"issued":{"date-parts":[["2018",7,1]]},"citation-key":"kentStaticMeasurementsVowel2018"}}],"schema":"https://github.com/citation-style-language/schema/raw/master/csl-citation.json"} </w:instrText>
            </w:r>
            <w:r>
              <w:fldChar w:fldCharType="separate"/>
            </w:r>
            <w:r w:rsidR="0B7FCB9D" w:rsidRPr="3FF8FB8C">
              <w:rPr>
                <w:rFonts w:ascii="Avenir Next LT Pro" w:hAnsi="Avenir Next LT Pro" w:cs="Times New Roman"/>
                <w:vertAlign w:val="superscript"/>
              </w:rPr>
              <w:t>25</w:t>
            </w:r>
            <w:r>
              <w:fldChar w:fldCharType="end"/>
            </w:r>
            <w:r w:rsidR="6A7CF5F0" w:rsidRPr="3FF8FB8C">
              <w:rPr>
                <w:rFonts w:ascii="Avenir Next LT Pro" w:eastAsia="Avenir Next LT Pro" w:hAnsi="Avenir Next LT Pro" w:cs="Avenir Next LT Pro"/>
              </w:rPr>
              <w:t xml:space="preserve"> (frecuencias formantes</w:t>
            </w:r>
            <w:r w:rsidR="47B98891" w:rsidRPr="3FF8FB8C">
              <w:rPr>
                <w:rFonts w:ascii="Avenir Next LT Pro" w:eastAsia="Avenir Next LT Pro" w:hAnsi="Avenir Next LT Pro" w:cs="Avenir Next LT Pro"/>
              </w:rPr>
              <w:t xml:space="preserve"> o </w:t>
            </w:r>
            <w:r w:rsidR="47B98891" w:rsidRPr="3FF8FB8C">
              <w:rPr>
                <w:rFonts w:ascii="Avenir Next LT Pro" w:eastAsia="Avenir Next LT Pro" w:hAnsi="Avenir Next LT Pro" w:cs="Avenir Next LT Pro"/>
                <w:i/>
                <w:iCs/>
              </w:rPr>
              <w:t>D</w:t>
            </w:r>
            <w:r w:rsidR="47B98891" w:rsidRPr="3FF8FB8C">
              <w:rPr>
                <w:rFonts w:ascii="Avenir Next LT Pro" w:eastAsia="Avenir Next LT Pro" w:hAnsi="Avenir Next LT Pro" w:cs="Avenir Next LT Pro"/>
                <w:i/>
                <w:iCs/>
                <w:vertAlign w:val="subscript"/>
              </w:rPr>
              <w:t>f</w:t>
            </w:r>
            <w:r w:rsidR="1CC7BF0E" w:rsidRPr="3FF8FB8C">
              <w:rPr>
                <w:rFonts w:ascii="Avenir Next LT Pro" w:eastAsia="Avenir Next LT Pro" w:hAnsi="Avenir Next LT Pro" w:cs="Avenir Next LT Pro"/>
              </w:rPr>
              <w:t xml:space="preserve">, por </w:t>
            </w:r>
            <w:r w:rsidR="497A9091" w:rsidRPr="3FF8FB8C">
              <w:rPr>
                <w:rFonts w:ascii="Avenir Next LT Pro" w:eastAsia="Avenir Next LT Pro" w:hAnsi="Avenir Next LT Pro" w:cs="Avenir Next LT Pro"/>
              </w:rPr>
              <w:t>sus</w:t>
            </w:r>
            <w:r w:rsidR="1CC7BF0E" w:rsidRPr="3FF8FB8C">
              <w:rPr>
                <w:rFonts w:ascii="Avenir Next LT Pro" w:eastAsia="Avenir Next LT Pro" w:hAnsi="Avenir Next LT Pro" w:cs="Avenir Next LT Pro"/>
              </w:rPr>
              <w:t xml:space="preserve"> siglas de </w:t>
            </w:r>
            <w:r w:rsidR="706D3CE2" w:rsidRPr="3FF8FB8C">
              <w:rPr>
                <w:rFonts w:ascii="Avenir Next LT Pro" w:eastAsia="Avenir Next LT Pro" w:hAnsi="Avenir Next LT Pro" w:cs="Avenir Next LT Pro"/>
                <w:i/>
                <w:iCs/>
              </w:rPr>
              <w:t>Formant Dispersion</w:t>
            </w:r>
            <w:r w:rsidR="706D3CE2" w:rsidRPr="3FF8FB8C">
              <w:rPr>
                <w:rFonts w:ascii="Avenir Next LT Pro" w:eastAsia="Avenir Next LT Pro" w:hAnsi="Avenir Next LT Pro" w:cs="Avenir Next LT Pro"/>
              </w:rPr>
              <w:t xml:space="preserve"> o Dispersión de Formantes)</w:t>
            </w:r>
            <w:r w:rsidR="6A7CF5F0" w:rsidRPr="3FF8FB8C">
              <w:rPr>
                <w:rFonts w:ascii="Avenir Next LT Pro" w:eastAsia="Avenir Next LT Pro" w:hAnsi="Avenir Next LT Pro" w:cs="Avenir Next LT Pro"/>
              </w:rPr>
              <w:t xml:space="preserve">, comunican información social y biológica relevante. Estos elementos paralingüísticos permiten reconocer a los individuos y evaluar atributos </w:t>
            </w:r>
            <w:r w:rsidR="3422DA7C" w:rsidRPr="3FF8FB8C">
              <w:rPr>
                <w:rFonts w:ascii="Avenir Next LT Pro" w:eastAsia="Avenir Next LT Pro" w:hAnsi="Avenir Next LT Pro" w:cs="Avenir Next LT Pro"/>
              </w:rPr>
              <w:t xml:space="preserve">más o menos estáticos </w:t>
            </w:r>
            <w:r w:rsidR="6A7CF5F0" w:rsidRPr="3FF8FB8C">
              <w:rPr>
                <w:rFonts w:ascii="Avenir Next LT Pro" w:eastAsia="Avenir Next LT Pro" w:hAnsi="Avenir Next LT Pro" w:cs="Avenir Next LT Pro"/>
              </w:rPr>
              <w:t>como el sexo</w:t>
            </w:r>
            <w:r>
              <w:fldChar w:fldCharType="begin"/>
            </w:r>
            <w:r>
              <w:instrText xml:space="preserve"> ADDIN ZOTERO_ITEM CSL_CITATION {"citationID":"dJo3WN7x","properties":{"formattedCitation":"\\super 26\\nosupersub{}","plainCitation":"26","noteIndex":0},"citationItems":[{"id":5716,"uris":["http://zotero.org/users/5937427/items/9YJEPJQ4"],"itemData":{"id":5716,"type":"article-journal","abstract":"Humans and many non-human primates exhibit large sexual dimorphisms in vocalizations and vocal anatomy. In humans, same-sex competitors and potential mates attend to acoustic features of male vocalizations, but vocal masculinity especially increases perceptions of physical prowess. Yet, the information content of male vocalizations remains obscure. We therefore examined relationships between sexually dimorphic acoustic properties and men's threat potential. We first introduce a new measure of the structure of vocal formant frequencies, ‘formant position’ (Pf), which we show is more sexually dimorphic and more strongly related to height than is the most widely used measure of formant structure, ‘formant dispersion’, in both a US sample and a sample of Hadza foragers from Tanzania. We also show large sexual dimorphisms in the mean fundamental frequency (F0) and the within-utterance standard deviation in F0 (F0 − s.d.) in both samples. We then explore relationships between these acoustic parameters and men's body size, strength, testosterone and physical aggressiveness. Each acoustic parameter was related to at least one measure of male threat potential. The most dimorphic parameters, F0 and Pf, were most strongly related to body size in both samples. In the US sample, F0 predicted testosterone levels, Pf predicted upper body strength and F0 − s.d. predicted physical aggressiveness.","container-title":"Proceedings of the Royal Society B: Biological Sciences","DOI":"10.1098/rspb.2011.0829","issue":"1728","note":"publisher: Royal Society","page":"601-609","source":"royalsocietypublishing.org (Atypon)","title":"Masculine voices signal men's threat potential in forager and industrial societies","URL":"https://royalsocietypublishing.org/doi/10.1098/rspb.2011.0829","volume":"279","author":[{"family":"Puts","given":"David A."},{"family":"Apicella","given":"Coren L."},{"family":"Cárdenas","given":"Rodrigo A."}],"accessed":{"date-parts":[["2025",7,8]]},"issued":{"date-parts":[["2011",7,13]]},"citation-key":"putsMasculineVoicesSignal2011"}}],"schema":"https://github.com/citation-style-language/schema/raw/master/csl-citation.json"} </w:instrText>
            </w:r>
            <w:r>
              <w:fldChar w:fldCharType="separate"/>
            </w:r>
            <w:r w:rsidR="0B7FCB9D" w:rsidRPr="3FF8FB8C">
              <w:rPr>
                <w:rFonts w:ascii="Avenir Next LT Pro" w:hAnsi="Avenir Next LT Pro" w:cs="Times New Roman"/>
                <w:vertAlign w:val="superscript"/>
              </w:rPr>
              <w:t>26</w:t>
            </w:r>
            <w:r>
              <w:fldChar w:fldCharType="end"/>
            </w:r>
            <w:r w:rsidR="6A7CF5F0" w:rsidRPr="3FF8FB8C">
              <w:rPr>
                <w:rFonts w:ascii="Avenir Next LT Pro" w:eastAsia="Avenir Next LT Pro" w:hAnsi="Avenir Next LT Pro" w:cs="Avenir Next LT Pro"/>
              </w:rPr>
              <w:t>, tamaño corporal</w:t>
            </w:r>
            <w:r>
              <w:fldChar w:fldCharType="begin"/>
            </w:r>
            <w:r>
              <w:instrText xml:space="preserve"> ADDIN ZOTERO_ITEM CSL_CITATION {"citationID":"icSAuiyt","properties":{"formattedCitation":"\\super 27\\uc0\\u8211{}31\\nosupersub{}","plainCitation":"27–31","noteIndex":0},"citationItems":[{"id":990,"uris":["http://zotero.org/users/5937427/items/BDH49CAQ"],"itemData":{"id":990,"type":"article-journal","abstract":"In human voices, low fundamental frequency is thought to be a cue to masculinity and reproductive capability and large vocal tracts are associated with large body size of the speaker. Female preferences for males with low fundamental frequencies and large vocal tract lengths are potentially adaptive. Although sexually dimorphic characteristics of male voices have been studied, the impact of manipulations of secondary sexual characteristics on preferences for male voices has not. We manipulated fundamental frequencies and apparent vocal tract lengths of young adult male voices, both independently and simultaneously, and assessed their impact on female ratings of masculinity, size, age and attractiveness. Lowering the fundamental frequencies and/or increasing apparent vocal tract lengths of male voices increased females' ratings of the masculinity, size and age of the speaker. Peer group females preferred male voices with (1) lowered fundamental frequencies to those with raised fundamental frequencies, and (2) original frequencies to male voices with raised fundamental frequencies and decreased apparent vocal tract lengths (a combined manipulation to reflect acoustic characteristics of 16-year-old male voices). This suggests that male voices with acoustic characteristics that reflect full sexual maturity may be attractive. Although no general preference was observed for male voices with increased or decreased apparent vocal tract lengths, female preferences for male voices with increased apparent vocal tract lengths were positively related to females' own body size. This latter finding may indicate assortative preferences for acoustic cues to body size. (c) 2004 The Association for the Study of Animal Behaviour. Published by Elsevier Ltd. All rights reserved.","container-title":"Animal Behaviour","DOI":"10.1016/j.anbehav.2004.06.012","ISSN":"00033472","issue":"3","note":"tex.ids= RefWorks:386\nISBN: 0003-3472","page":"561-568","title":"Manipulations of fundamental and formant frequencies influence the attractiveness of human male voices","URL":"http://linkinghub.elsevier.com/retrieve/pii/S0003347204003987","volume":"69","author":[{"family":"Feinberg","given":"David R"},{"family":"Jones","given":"Benedict C"},{"family":"Little","given":"Anthony C"},{"family":"Burt","given":"D.M."},{"family":"Perrett","given":"David Ian"}],"accessed":{"date-parts":[["2012",3,4]]},"issued":{"date-parts":[["2005",3]]},"citation-key":"feinbergManipulationsFundamentalFormant2005"}},{"id":454,"uris":["http://zotero.org/users/5937427/items/SH4A29KT"],"itemData":{"id":454,"type":"article-journal","abstract":"Studies of several mammalian species confirm that formant frequencies (vocal tract resonances) predict height and weight better than does fundamental frequency (F0, perceived as pitch) in same-sex adults due to differential anatomical constraints. However, our recent meta-analysis (Pisanski et al., 2014, Animal Behaviour, 95, 89–99) indicated that formants and F0 could explain no more than 10% and 2% of the variance in human height, respectively, controlling for sex and age. Here, we examined whether other voice parameters, many of which are affected by sex hormones, can indicate additional variance in human body size or shape, and whether these relationships differ between the sexes. Using a cross-cultural sample of 700 men and women, we examined relationships among 19 voice parameters (minimum–maximum F0, mean F0, F0 variability, formant-based vocal tract length estimates, shimmer, jitter, harmonics-to-noise ratio) and eight indices of body size or shape (height, weight, body mass index, hip, waist and chest circumferences, waist-to-hip ratio, chest-to-hip ratio). Our results confirm that formant measures explain the most variance in heights and weights of men and women, whereas shimmer, jitter and harmonics-to-noise ratio do not indicate height, weight or body mass index in either sex. In contrast, these perturbation and noise parameters, in addition to F0 range and variability, explained more variance in body shape than did formants or mean F0, particularly among men. Shimmer or jitter explained the most variance in men's hip circumferences (12%) and chest-to-hip ratios (6%), whereas harmonics-to-noise ratio and formants explained the most variance in women's waist-to-hip ratios (11%), and significantly more than in men's waist-to-hip ratios. Our study represents the most comprehensive analysis of vocal indicators of human body size to date and offers a foundation for future research examining the hormonal mechanisms of voice production in humans and perceptual playback experiments.","container-title":"Animal Behaviour","DOI":"10.1016/j.anbehav.2015.11.008","ISSN":"0003-3472","journalAbbreviation":"Animal Behaviour","language":"en","note":"tex.ids: pisanskiVoiceParametersPredict2016","page":"13-22","source":"ScienceDirect","title":"Voice parameters predict sex-specific body morphology in men and women","URL":"http://www.sciencedirect.com/science/article/pii/S0003347215004212","volume":"112","author":[{"family":"Pisanski","given":"Katarzyna"},{"family":"Jones","given":"Benedict C."},{"family":"Fink","given":"Bernhard"},{"family":"O'Connor","given":"Jillian J. M."},{"family":"DeBruine","given":"Lisa M."},{"family":"Röder","given":"Susanne"},{"family":"Feinberg","given":"David R."}],"accessed":{"date-parts":[["2019",11,4]]},"issued":{"date-parts":[["2016",2,1]]},"citation-key":"pisanskiVoiceParametersPredict2016"}},{"id":788,"uris":["http://zotero.org/users/5937427/items/VDLJV26G"],"itemData":{"id":788,"type":"article-journal","abstract":"I investigated the relationship between male human vocal characteristics and female judgements about the speaker. Thirty-four males were recorded uttering five vowels and measures were taken, from power spectrums, of the first five harmonic frequencies, overall peak frequency and formant frequencies (emphasized, resonance, frequencies within the vowel). Male body measures were also taken (age, weight, height, and hip and shoulder width) and the men were asked whether they had chest hair. The recordings were then played to female judges, who were asked to rate the males' attractiveness, age, weight and height, and to estimate the muscularity of the speaker and whether he had a hairy chest. Men with voices in which there were closely spaced, low-frequency harmonics were judged as being more attractive, older and heavier, more likely to have a hairy chest and of a more muscular body type. There was no relationship between any vocal and body characteristic. The judges' estimates were incorrect except for weight. They showed extremely strong agreement on all judgements. The results imply that there could be sexual selection through female choice for male vocal characteristics, deeper voices being preferred. However, the function of the preference is unclear given that the estimates were generally incorrect. Copyright 2000 The Association for the Study of Animal Behaviour.","container-title":"Animal behaviour","DOI":"10.1006/anbe.2000.1523","ISSN":"0003-3472","issue":"6","note":"Citation Key: Collins2000\ntex.ids= RefWorks:382\nISBN: 0003-3472\nPMID: 11124875","page":"773–780","title":"Men's voices and women's choices.","volume":"60","author":[{"family":"Collins","given":"Sarah A."}],"issued":{"date-parts":[["2000",12]]},"citation-key":"Collins2000"}},{"id":343,"uris":["http://zotero.org/users/5937427/items/8X2ZCMD4"],"itemData":{"id":343,"type":"article-journal","abstract":"Voice, as a secondary sexual characteristic, is known to affect the perceived attractiveness of human individuals. But the underlying mechanism of vocal attractiveness has remained unclear. Here, we presented human listeners with acoustically altered natural sentences and fully synthetic sentences with systematically manipulated pitch, formants and voice quality based on a principle of body size projection reported for animal calls and emotional human vocal expressions. The results show that male listeners preferred a female voice that signals a small body size, with relatively high pitch, wide formant dispersion and breathy voice, while female listeners preferred a male voice that signals a large body size with low pitch and narrow formant dispersion. Interestingly, however, male vocal attractiveness was also enhanced by breathiness, which presumably softened the aggressiveness associated with a large body size. These results, together with the additional finding that the same vocal dimensions also affect emotion judgment, indicate that humans still employ a vocal interaction strategy used in animal calls despite the development of complex language.","container-title":"PLOS ONE","DOI":"10.1371/journal.pone.0062397","ISSN":"1932-6203","issue":"4","page":"e62397","title":"Human vocal attractiveness as signaled by body size projection","URL":"http://dx.plos.org/10.1371/journal.pone.0062397","volume":"8","author":[{"family":"Xu","given":"Yi"},{"family":"Lee","given":"Albert"},{"family":"Wu","given":"Wing-Li"},{"family":"Liu","given":"Xuan"},{"family":"Birkholz","given":"Peter"}],"accessed":{"date-parts":[["2013",4,24]]},"issued":{"date-parts":[["2013",4,24]]},"citation-key":"xuHumanVocalAttractiveness2013"}},{"id":1229,"uris":["http://zotero.org/users/5937427/items/XV4LKBXL"],"itemData":{"id":1229,"type":"article-journal","abstract":"Animals often use acoustical cues, such as formant frequencies, to assess the size of potential mates and rivals. Reliable vocal cues to size may be under sexual selection. In most mammals and many other vertebrates, formants scale with vocal tract length allometrically and predict variation in size more reliably than fundamental frequency or pitch (F0). In humans, however, it is unclear from previous work how well voice parameters predict body size independently of age and sex. We conducted a meta-analysis to establish the strength of various voice–size relationships in adult men and women. We computed mean weighted correlations from 295 coefficients derived from 39 independent samples across five continents, including several novel and large cross-cultural samples from previously unpublished data. Where possible, we controlled for sample size, sample sex, mean age, geographical location, study year, speech type and measurement method, and ruled out publication bias. Eleven of 12 formant-based vocal tract length (VTL) estimates predicted men's and women's heights and weights significantly better than did F0. Individual VTL estimates explained up to 10% of the variance in height and weight, whereas F0 explained less than 2% and correlated only weakly with size within sexes. Statistically reliable size estimates from F0 required large samples of at least 618 men and 2140 women, whereas formant-based size estimates required samples of at least 99 men and 164 women. The strength of voice–size relationships varied by sample size, and in some cases sex, but was largely unaffected by other demographic and methodological variables. We confirm here that, analogous to many other vertebrates, formants provide the most reliable vocal cue to size in humans. This finding has important implications for honest signalling theory and the capacity for human listeners to estimate size from the voice.","container-title":"Animal Behaviour","DOI":"10.1016/j.anbehav.2014.06.011","ISSN":"0003-3472","journalAbbreviation":"Animal Behaviour","language":"en","note":"tex.ids= pisanskiVocalIndicatorsBody2014\nISBN: 0003-3472","page":"89-99","source":"ScienceDirect","title":"Vocal indicators of body size in men and women: a meta-analysis","title-short":"Vocal indicators of body size in men and women","URL":"https://www.sciencedirect.com/science/article/pii/S0003347214002632","volume":"95","author":[{"family":"Pisanski","given":"Katarzyna"},{"family":"Fraccaro","given":"Paul J."},{"family":"Tigue","given":"Cara C."},{"family":"O'Connor","given":"Jillian J. M."},{"family":"Röder","given":"Susanne"},{"family":"Andrews","given":"Paul W."},{"family":"Fink","given":"Bernhard"},{"family":"DeBruine","given":"Lisa M."},{"family":"Jones","given":"Benedict C."},{"family":"Feinberg","given":"David R."}],"accessed":{"date-parts":[["2021",9,30]]},"issued":{"date-parts":[["2014",9,1]]},"citation-key":"pisanskiVocalIndicatorsBody2014"}}],"schema":"https://github.com/citation-style-language/schema/raw/master/csl-citation.json"} </w:instrText>
            </w:r>
            <w:r>
              <w:fldChar w:fldCharType="separate"/>
            </w:r>
            <w:r w:rsidR="0B7FCB9D" w:rsidRPr="3FF8FB8C">
              <w:rPr>
                <w:rFonts w:ascii="Avenir Next LT Pro" w:hAnsi="Avenir Next LT Pro" w:cs="Times New Roman"/>
                <w:vertAlign w:val="superscript"/>
              </w:rPr>
              <w:t>27–31</w:t>
            </w:r>
            <w:r>
              <w:fldChar w:fldCharType="end"/>
            </w:r>
            <w:r w:rsidR="6A7CF5F0" w:rsidRPr="3FF8FB8C">
              <w:rPr>
                <w:rFonts w:ascii="Avenir Next LT Pro" w:eastAsia="Avenir Next LT Pro" w:hAnsi="Avenir Next LT Pro" w:cs="Avenir Next LT Pro"/>
              </w:rPr>
              <w:t>, atractivo</w:t>
            </w:r>
            <w:r>
              <w:fldChar w:fldCharType="begin"/>
            </w:r>
            <w:r>
              <w:instrText xml:space="preserve"> ADDIN ZOTERO_ITEM CSL_CITATION {"citationID":"ofMn1AG0","properties":{"formattedCitation":"\\super 30,32\\uc0\\u8211{}37\\nosupersub{}","plainCitation":"30,32–37","noteIndex":0},"citationItems":[{"id":343,"uris":["http://zotero.org/users/5937427/items/8X2ZCMD4"],"itemData":{"id":343,"type":"article-journal","abstract":"Voice, as a secondary sexual characteristic, is known to affect the perceived attractiveness of human individuals. But the underlying mechanism of vocal attractiveness has remained unclear. Here, we presented human listeners with acoustically altered natural sentences and fully synthetic sentences with systematically manipulated pitch, formants and voice quality based on a principle of body size projection reported for animal calls and emotional human vocal expressions. The results show that male listeners preferred a female voice that signals a small body size, with relatively high pitch, wide formant dispersion and breathy voice, while female listeners preferred a male voice that signals a large body size with low pitch and narrow formant dispersion. Interestingly, however, male vocal attractiveness was also enhanced by breathiness, which presumably softened the aggressiveness associated with a large body size. These results, together with the additional finding that the same vocal dimensions also affect emotion judgment, indicate that humans still employ a vocal interaction strategy used in animal calls despite the development of complex language.","container-title":"PLOS ONE","DOI":"10.1371/journal.pone.0062397","ISSN":"1932-6203","issue":"4","page":"e62397","title":"Human vocal attractiveness as signaled by body size projection","URL":"http://dx.plos.org/10.1371/journal.pone.0062397","volume":"8","author":[{"family":"Xu","given":"Yi"},{"family":"Lee","given":"Albert"},{"family":"Wu","given":"Wing-Li"},{"family":"Liu","given":"Xuan"},{"family":"Birkholz","given":"Peter"}],"accessed":{"date-parts":[["2013",4,24]]},"issued":{"date-parts":[["2013",4,24]]},"citation-key":"xuHumanVocalAttractiveness2013"}},{"id":1187,"uris":["http://zotero.org/users/5937427/items/TTMEAVV8"],"itemData":{"id":1187,"type":"article-journal","container-title":"Frontiers in Psychology","DOI":"10.3389/fpsyg.2019.02029","ISSN":"1664-1078","journalAbbreviation":"Front. Psychol.","note":"ZSCC: NoCitationData[s0]","page":"2029","source":"DOI.org (Crossref)","title":"Vocal Parameters of Speech and Singing Covary and Are Related to Vocal Attractiveness, Body Measures, and Sociosexuality: A Cross-Cultural Study","title-short":"Vocal Parameters of Speech and Singing Covary and Are Related to Vocal Attractiveness, Body Measures, and Sociosexuality","URL":"https://www.frontiersin.org/article/10.3389/fpsyg.2019.02029/full","volume":"10","author":[{"family":"Valentova","given":"Jaroslava Varella"},{"family":"Ture</w:instrText>
            </w:r>
            <w:r w:rsidRPr="3FF8FB8C">
              <w:rPr>
                <w:rFonts w:ascii="Calibri" w:hAnsi="Calibri" w:cs="Calibri"/>
              </w:rPr>
              <w:instrText>č</w:instrText>
            </w:r>
            <w:r>
              <w:instrText>ek","given":"Petr"},{"family":"Varella","given":"Marco Antonio Corr</w:instrText>
            </w:r>
            <w:r w:rsidRPr="3FF8FB8C">
              <w:rPr>
                <w:rFonts w:cs="Avenir Book"/>
              </w:rPr>
              <w:instrText>ê</w:instrText>
            </w:r>
            <w:r>
              <w:instrText>a"},{"family":"</w:instrText>
            </w:r>
            <w:r w:rsidRPr="3FF8FB8C">
              <w:rPr>
                <w:rFonts w:cs="Avenir Book"/>
              </w:rPr>
              <w:instrText>Š</w:instrText>
            </w:r>
            <w:r>
              <w:instrText>ebesta","given":"Pavel"},{"family":"Mendes","given":"Francisco Dyonisio C."},{"family":"Pereira","given":"Kamila Janaina"},{"family":"Kubicov</w:instrText>
            </w:r>
            <w:r w:rsidRPr="3FF8FB8C">
              <w:rPr>
                <w:rFonts w:cs="Avenir Book"/>
              </w:rPr>
              <w:instrText>á</w:instrText>
            </w:r>
            <w:r>
              <w:instrText>","given":"Lydie"},{"family":"Stola</w:instrText>
            </w:r>
            <w:r w:rsidRPr="3FF8FB8C">
              <w:rPr>
                <w:rFonts w:ascii="Calibri" w:hAnsi="Calibri" w:cs="Calibri"/>
              </w:rPr>
              <w:instrText>ř</w:instrText>
            </w:r>
            <w:r>
              <w:instrText>ov</w:instrText>
            </w:r>
            <w:r w:rsidRPr="3FF8FB8C">
              <w:rPr>
                <w:rFonts w:cs="Avenir Book"/>
              </w:rPr>
              <w:instrText>á</w:instrText>
            </w:r>
            <w:r>
              <w:instrText>","given":"Petra"},{"family":"Havl</w:instrText>
            </w:r>
            <w:r w:rsidRPr="3FF8FB8C">
              <w:rPr>
                <w:rFonts w:cs="Avenir Book"/>
              </w:rPr>
              <w:instrText>í</w:instrText>
            </w:r>
            <w:r w:rsidRPr="3FF8FB8C">
              <w:rPr>
                <w:rFonts w:ascii="Calibri" w:hAnsi="Calibri" w:cs="Calibri"/>
              </w:rPr>
              <w:instrText>č</w:instrText>
            </w:r>
            <w:r>
              <w:instrText xml:space="preserve">ek","given":"Jan"}],"accessed":{"date-parts":[["2019",10,30]]},"issued":{"date-parts":[["2019",10,22]]},"citation-key":"valentovaVocalParametersSpeech2019"}},{"id":712,"uris":["http://zotero.org/users/5937427/items/CVI5XMA5"],"itemData":{"id":712,"type":"book","collection-title":"Prosody, Phonology and Phonetics","event-place":"Singapore","ISBN":"978-981-15-6626-4","language":"en","note":"DOI: 10.1007/978-981-15-6627-1","publisher":"Springer Singapore","publisher-place":"Singapore","source":"DOI.org (Crossref)","title":"Voice Attractiveness: Studies on Sexy, Likable, and Charismatic Speakers","title-short":"Voice Attractiveness","URL":"http://link.springer.com/10.1007/978-981-15-6627-1","editor":[{"family":"Weiss","given":"Benjamin"},{"family":"Trouvain","given":"Jürgen"},{"family":"Barkat-Defradas","given":"Melissa"},{"family":"Ohala","given":"John J."}],"accessed":{"date-parts":[["2020",10,14]]},"issued":{"date-parts":[["2021"]]},"citation-key":"weissVoiceAttractivenessStudies2021"}},{"id":1203,"uris":["http://zotero.org/users/5937427/items/7I7VCX4H"],"itemData":{"id":1203,"type":"article-journal","abstract":"Voice attractiveness plays a significant role in social interaction and mate choice. However, how listeners perceive attractive voices and whether this process is mandatory, is poorly understood. The current study explores this question using event-related brain potentials. Participants listened to syllables spoken by male and female voices with high or low attractiveness while completing an implicit (voice un-related) tone detection task or explicitly judging voice attractiveness. In both tasks, attractive male voices elicited a larger N1 than unattractive voices. However, an effect of voice attractiveness on the late positive complex (LPC) was only seen in the explicit task but it was present to both same- and opposite-sex voices. Taken together, voice attractiveness processing during early stages appears to be rapid and mandatory and related to mate selection, whereas during later elaborated processing, voice attractiveness is strategic and aesthetics-based, requiring attentional resources.","container-title":"Biological Psychology","DOI":"10.1016/j.biopsycho.2019.107827","ISSN":"0301-0511","journalAbbreviation":"Biological Psychology","language":"en","page":"107827","source":"ScienceDirect","title":"Human voice attractiveness processing: Electrophysiological evidence","title-short":"Human voice attractiveness processing","URL":"https://www.sciencedirect.com/science/article/pii/S0301051119306118","volume":"150","author":[{"family":"Zhang","given":"Hang"},{"family":"Liu","given":"Meng"},{"family":"Li","given":"Weijun"},{"family":"Sommer","given":"Werner"}],"accessed":{"date-parts":[["2021",9,30]]},"issued":{"date-parts":[["2020",2,1]]},"citation-key":"zhangHumanVoiceAttractiveness2020"}},{"id":2110,"uris":["http://zotero.org/users/5937427/items/5RQA7FQN"],"itemData":{"id":2110,"type":"article-journal","container-title":"Ethology","DOI":"10.1111/j.1439-0310.2006.01278.x","ISSN":"0179-1613","issue":"12","page":"1179-1185","title":"Vocal and facial attractiveness judgments of children, adolescents and adults: the ontogeny of mate choice","URL":"http://www.blackwell-synergy.com/doi/abs/10.1111/j.1439-0310.2006.01278.x","volume":"112","author":[{"family":"Saxton","given":"Tamsin K"},{"family":"Caryl","given":"Peter G."},{"family":"Roberts","given":"S Craig"}],"accessed":{"date-parts":[["2013",7,9]]},"issued":{"date-parts":[["2006",12]]},"citation-key":"saxtonVocalFacialAttractiveness2006"}},{"id":696,"uris":["http://zotero.org/users/5937427/items/YPE2B7R5"],"itemData":{"id":696,"type":"article-journal","abstract":"We investigated the relationship between ratings of voice attractiveness and sexually dimorphic differences in shoulder-to-hip ratios (SHR) and waist-to-hip ratios (WHR), as well as different features of sexual behavior. Opposite-sex voice attractiveness ratings were positively correlated with SHR in males and negatively correlated with WHR in females. For both sexes, ratings of opposite-sex voice attractiveness also predicted reported age of first sexual intercourse, number of sexual partners, number of extra-pair copulation (EPC) partners, and number of partners that they had intercourse with that were involved in another relationship (i.e., were themselves chosen as an EPC partner). Coupled with previous findings showing a relationship between voice attractiveness and bilateral symmetry, these results provide additional evidence that the sound of a person's voice may serve as an important multidimensional fitness indicator. (PsycINFO Database Record (c) 2017 APA, all rights reserved)","container-title":"Evolution and Human Behavior","DOI":"10.1016/j.evolhumbehav.2004.06.001","ISSN":"1879-0607(Electronic),1090-5138(Print)","issue":"5","note":"publisher-place: Netherlands\npublisher: Elsevier Science","page":"295-304","source":"APA PsycNET","title":"Ratings of voice attractiveness predict sexual behavior and body configuration","URL":"10.1016/j.evolhumbehav.2004.06.001","volume":"25","author":[{"family":"Hughes","given":"Susan M."},{"family":"Dispenza","given":"Franco"},{"family":"Gallup Jr.","given":"Gordon G."}],"issued":{"date-parts":[["2004"]]},"citation-key":"hughesRatingsVoiceAttractiveness2004"}},{"id":881,"uris":["http://zotero.org/users/5937427/items/UYRXNI3E"],"itemData":{"id":881,"type":"article-journal","abstract":"Previous research has shown that more attractive voices are associated with more favorable personality impressions. The present study examined which acoustic characteristics make a voice attractive. Segments of recorded voices were rated on various dimensions of voice quality, attractiveness, and personality impressions. Objective measures of voice quality were obtained from spectrogram analysis. Overall, the subjective ratings of voice quality predicted vocal attractiveness better than the objective measures. When vocal attractiveness was regressed onto both subjective and objective measures, the final regression equation included 8 subjective measures, which together accounted for 74% of the variance of the attractiveness scores. It also was found that the measures of voice quality accounted for variance in favorableness of personality impressions above and beyond the contribution of vocal attractiveness. Thus, attractiveness captures an important dimension of the voice but does not cover all aspects of voice quality.","container-title":"Journal of Nonverbal Behavior","DOI":"10.1007/BF01001960","ISSN":"01915886","issue":"2","note":"publisher: Springer Netherlands","page":"119-135","title":"The attractive voice: What makes it so?","URL":"http://www.springerlink.com/index/10.1007/BF01001960","volume":"17","author":[{"family":"Zuckerman","given":"Miron"},{"family":"Miyake","given":"Kunitate"}],"issued":{"date-parts":[["1993"]]},"citation-key":"zuckermanAttractiveVoiceWhat1993"}}],"schema":"https://github.com/citation-style-language/schema/raw/master/csl-citation.json"} </w:instrText>
            </w:r>
            <w:r>
              <w:fldChar w:fldCharType="separate"/>
            </w:r>
            <w:r w:rsidR="0B7FCB9D" w:rsidRPr="3FF8FB8C">
              <w:rPr>
                <w:rFonts w:ascii="Avenir Next LT Pro" w:hAnsi="Avenir Next LT Pro" w:cs="Times New Roman"/>
                <w:vertAlign w:val="superscript"/>
              </w:rPr>
              <w:t>30,32–37</w:t>
            </w:r>
            <w:r>
              <w:fldChar w:fldCharType="end"/>
            </w:r>
            <w:r w:rsidR="6A7CF5F0" w:rsidRPr="3FF8FB8C">
              <w:rPr>
                <w:rFonts w:ascii="Avenir Next LT Pro" w:eastAsia="Avenir Next LT Pro" w:hAnsi="Avenir Next LT Pro" w:cs="Avenir Next LT Pro"/>
              </w:rPr>
              <w:t xml:space="preserve"> o madurez sexual</w:t>
            </w:r>
            <w:r>
              <w:fldChar w:fldCharType="begin"/>
            </w:r>
            <w:r>
              <w:instrText xml:space="preserve"> ADDIN ZOTERO_ITEM CSL_CITATION {"citationID":"S084ODmh","properties":{"formattedCitation":"\\super 38\\nosupersub{}","plainCitation":"38","noteIndex":0},"citationItems":[{"id":1645,"uris":["http://zotero.org/users/5937427/items/RCW2MKBP"],"itemData":{"id":1645,"type":"article-journal","container-title":"Health Communication","DOI":"10.1207/s15327027hc0803_2","ISSN":"1041-0236","issue":"3","note":"Citation Key: RefWorks:439","page":"199-215","title":"\"Your're only as old as you sound\": Perceived vocal age and social meanings","URL":"http://www.informaworld.com/openurl?genre=article&amp;doi=10.1207/s15327027hc0803_2&amp;magic=crossref%7C%7CD404A21C5BB053405B1A640AFFD44AE3","volume":"8","author":[{"family":"Mulac","given":"Anthony"},{"family":"Giles","given":"Howard"}],"accessed":{"date-parts":[["2012",3,27]]},"issued":{"date-parts":[["1996",7,1]]},"citation-key":"RefWorks:439"}}],"schema":"https://github.com/citation-style-language/schema/raw/master/csl-citation.json"} </w:instrText>
            </w:r>
            <w:r>
              <w:fldChar w:fldCharType="separate"/>
            </w:r>
            <w:r w:rsidR="0B7FCB9D" w:rsidRPr="3FF8FB8C">
              <w:rPr>
                <w:rFonts w:ascii="Avenir Next LT Pro" w:hAnsi="Avenir Next LT Pro" w:cs="Times New Roman"/>
                <w:vertAlign w:val="superscript"/>
              </w:rPr>
              <w:t>38</w:t>
            </w:r>
            <w:r>
              <w:fldChar w:fldCharType="end"/>
            </w:r>
            <w:r w:rsidR="6A7CF5F0" w:rsidRPr="3FF8FB8C">
              <w:rPr>
                <w:rFonts w:ascii="Avenir Next LT Pro" w:eastAsia="Avenir Next LT Pro" w:hAnsi="Avenir Next LT Pro" w:cs="Avenir Next LT Pro"/>
              </w:rPr>
              <w:t>. Incluso se ha demostrado que manipular artificialmente el tono vocal puede afectar la percepción de atractivo en contextos de pareja</w:t>
            </w:r>
            <w:r>
              <w:fldChar w:fldCharType="begin"/>
            </w:r>
            <w:r>
              <w:instrText xml:space="preserve"> ADDIN ZOTERO_ITEM CSL_CITATION {"citationID":"pLQeZfuS","properties":{"formattedCitation":"\\super 27,29\\nosupersub{}","plainCitation":"27,29","noteIndex":0},"citationItems":[{"id":990,"uris":["http://zotero.org/users/5937427/items/BDH49CAQ"],"itemData":{"id":990,"type":"article-journal","abstract":"In human voices, low fundamental frequency is thought to be a cue to masculinity and reproductive capability and large vocal tracts are associated with large body size of the speaker. Female preferences for males with low fundamental frequencies and large vocal tract lengths are potentially adaptive. Although sexually dimorphic characteristics of male voices have been studied, the impact of manipulations of secondary sexual characteristics on preferences for male voices has not. We manipulated fundamental frequencies and apparent vocal tract lengths of young adult male voices, both independently and simultaneously, and assessed their impact on female ratings of masculinity, size, age and attractiveness. Lowering the fundamental frequencies and/or increasing apparent vocal tract lengths of male voices increased females' ratings of the masculinity, size and age of the speaker. Peer group females preferred male voices with (1) lowered fundamental frequencies to those with raised fundamental frequencies, and (2) original frequencies to male voices with raised fundamental frequencies and decreased apparent vocal tract lengths (a combined manipulation to reflect acoustic characteristics of 16-year-old male voices). This suggests that male voices with acoustic characteristics that reflect full sexual maturity may be attractive. Although no general preference was observed for male voices with increased or decreased apparent vocal tract lengths, female preferences for male voices with increased apparent vocal tract lengths were positively related to females' own body size. This latter finding may indicate assortative preferences for acoustic cues to body size. (c) 2004 The Association for the Study of Animal Behaviour. Published by Elsevier Ltd. All rights reserved.","container-title":"Animal Behaviour","DOI":"10.1016/j.anbehav.2004.06.012","ISSN":"00033472","issue":"3","note":"tex.ids= RefWorks:386\nISBN: 0003-3472","page":"561-568","title":"Manipulations of fundamental and formant frequencies influence the attractiveness of human male voices","URL":"http://linkinghub.elsevier.com/retrieve/pii/S0003347204003987","volume":"69","author":[{"family":"Feinberg","given":"David R"},{"family":"Jones","given":"Benedict C"},{"family":"Little","given":"Anthony C"},{"family":"Burt","given":"D.M."},{"family":"Perrett","given":"David Ian"}],"accessed":{"date-parts":[["2012",3,4]]},"issued":{"date-parts":[["2005",3]]},"citation-key":"feinbergManipulationsFundamentalFormant2005"}},{"id":788,"uris":["http://zotero.org/users/5937427/items/VDLJV26G"],"itemData":{"id":788,"type":"article-journal","abstract":"I investigated the relationship between male human vocal characteristics and female judgements about the speaker. Thirty-four males were recorded uttering five vowels and measures were taken, from power spectrums, of the first five harmonic frequencies, overall peak frequency and formant frequencies (emphasized, resonance, frequencies within the vowel). Male body measures were also taken (age, weight, height, and hip and shoulder width) and the men were asked whether they had chest hair. The recordings were then played to female judges, who were asked to rate the males' attractiveness, age, weight and height, and to estimate the muscularity of the speaker and whether he had a hairy chest. Men with voices in which there were closely spaced, low-frequency harmonics were judged as being more attractive, older and heavier, more likely to have a hairy chest and of a more muscular body type. There was no relationship between any vocal and body characteristic. The judges' estimates were incorrect except for weight. They showed extremely strong agreement on all judgements. The results imply that there could be sexual selection through female choice for male vocal characteristics, deeper voices being preferred. However, the function of the preference is unclear given that the estimates were generally incorrect. Copyright 2000 The Association for the Study of Animal Behaviour.","container-title":"Animal behaviour","DOI":"10.1006/anbe.2000.1523","ISSN":"0003-3472","issue":"6","note":"Citation Key: Collins2000\ntex.ids= RefWorks:382\nISBN: 0003-3472\nPMID: 11124875","page":"773–780","title":"Men's voices and women's choices.","volume":"60","author":[{"family":"Collins","given":"Sarah A."}],"issued":{"date-parts":[["2000",12]]},"citation-key":"Collins2000"}}],"schema":"https://github.com/citation-style-language/schema/raw/master/csl-citation.json"} </w:instrText>
            </w:r>
            <w:r>
              <w:fldChar w:fldCharType="separate"/>
            </w:r>
            <w:r w:rsidR="0B7FCB9D" w:rsidRPr="3FF8FB8C">
              <w:rPr>
                <w:rFonts w:ascii="Avenir Next LT Pro" w:hAnsi="Avenir Next LT Pro" w:cs="Times New Roman"/>
                <w:vertAlign w:val="superscript"/>
              </w:rPr>
              <w:t>27,29</w:t>
            </w:r>
            <w:r>
              <w:fldChar w:fldCharType="end"/>
            </w:r>
            <w:r w:rsidR="6A7CF5F0" w:rsidRPr="3FF8FB8C">
              <w:rPr>
                <w:rFonts w:ascii="Avenir Next LT Pro" w:eastAsia="Avenir Next LT Pro" w:hAnsi="Avenir Next LT Pro" w:cs="Avenir Next LT Pro"/>
              </w:rPr>
              <w:t>.</w:t>
            </w:r>
          </w:p>
          <w:p w14:paraId="4BD4860F" w14:textId="353120C7"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lastRenderedPageBreak/>
              <w:t xml:space="preserve">Sin embargo, las señales vocales no son </w:t>
            </w:r>
            <w:r w:rsidR="7AC634A7" w:rsidRPr="0B44BD26">
              <w:rPr>
                <w:rFonts w:ascii="Avenir Next LT Pro" w:eastAsia="Avenir Next LT Pro" w:hAnsi="Avenir Next LT Pro" w:cs="Avenir Next LT Pro"/>
              </w:rPr>
              <w:t xml:space="preserve">siempre </w:t>
            </w:r>
            <w:r w:rsidRPr="0B44BD26">
              <w:rPr>
                <w:rFonts w:ascii="Avenir Next LT Pro" w:eastAsia="Avenir Next LT Pro" w:hAnsi="Avenir Next LT Pro" w:cs="Avenir Next LT Pro"/>
              </w:rPr>
              <w:t>estáticas. Muchas especies</w:t>
            </w:r>
            <w:r w:rsidR="71A8AF9A"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incluyendo humanos</w:t>
            </w:r>
            <w:r w:rsidR="71A8AF9A"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modifican activamente sus vocalizaciones según el contexto, lo que permite expresar emociones y motivaciones dinámicas como el miedo, la agresión o la afiliación. Esta modulación vocal está presente incluso en especies no humanas como aves cantoras</w:t>
            </w:r>
            <w:r w:rsidR="00077BF3" w:rsidRPr="0B44BD26">
              <w:fldChar w:fldCharType="begin"/>
            </w:r>
            <w:r w:rsidR="00077BF3" w:rsidRPr="0B44BD26">
              <w:instrText xml:space="preserve"> ADDIN ZOTERO_ITEM CSL_CITATION {"citationID":"4nSohevl","properties":{"formattedCitation":"\\super 39\\uc0\\u8211{}41\\nosupersub{}","plainCitation":"39–41","noteIndex":0},"citationItems":[{"id":991,"uris":["http://zotero.org/users/5937427/items/HQT4RCZM"],"itemData":{"id":991,"type":"article-journal","abstract":"The flexible control of sequential behavior is a fundamental aspect of speech, enabling endless reordering of a limited set of learned vocal elements (syllables or words). Songbirds are phylogenetically distant from humans but share both the capacity for vocal learning and neural circuitry for vocal control that includes direct pallial-brainstem projections. Based on these similarities, we hypothesized that songbirds might likewise be able to learn flexible, moment-by-moment control over vocalizations. Here, we demonstrate that Bengalese finches (Lonchura striata domestica), which sing variable syllable sequences, can learn to rapidly modify the probability of specific sequences (e.g. ‘ab-c’ versus ‘ab-d’) in response to arbitrary visual cues. Moreover, once learned, this modulation of sequencing occurs immediately following changes in contextual cues and persists without external reinforcement. Our findings reveal a capacity in songbirds for learned contextual control over syllable sequencing that parallels human cognitive control over syllable sequencing in speech.","container-title":"eLife","DOI":"10.7554/eLife.61610","ISSN":"2050-084X","note":"publisher: eLife Sciences Publications, Ltd","page":"e61610","source":"eLife","title":"Songbirds can learn flexible contextual control over syllable sequencing","URL":"https://doi.org/10.7554/eLife.61610","volume":"10","author":[{"family":"Veit","given":"Lena"},{"family":"Tian","given":"Lucas Y"},{"family":"Monroy Hernandez","given":"Christian J"},{"family":"Brainard","given":"Michael S"}],"editor":[{"family":"Goldberg","given":"Jesse H"},{"family":"Shinn-Cunningham","given":"Barbara G"},{"family":"Goldberg","given":"Jesse H"},{"family":"Scharff","given":"Constance"}],"accessed":{"date-parts":[["2023",4,25]]},"issued":{"date-parts":[["2021",6,1]]},"citation-key":"veitSongbirdsCanLearn2021"}},{"id":992,"uris":["http://zotero.org/users/5937427/items/Y4G8A2Z6"],"itemData":{"id":992,"type":"article-journal","abstract":"Songbirds use a complex network of discrete brain areas and connecting fiber tracts to sing their song, but our knowledge of this circuitry may be incomplete. The forebrain area, “caudal mesopallium” (CM), has received much attention recently for its song-related activities. HVC, a prominent song system nucleus, projects to a restricted area of the CM known as the avalanche nucleus (Av). However, the other connections of Av remain unknown. Here we used tract-tracing methods to examine the connections of Av to other song system nuclei. Injections of biotinylated dextran amine (BDA) into Av labeled both afferent terminals and neurons in HVC and the interfacial nucleus of the nidopallium (NIf), suggesting that there is complex feedforward and feedback communication between these nuclei (HVC</w:instrText>
            </w:r>
            <w:r w:rsidR="00077BF3" w:rsidRPr="0B44BD26">
              <w:rPr>
                <w:rFonts w:ascii="Arial" w:hAnsi="Arial" w:cs="Arial"/>
              </w:rPr>
              <w:instrText>↔</w:instrText>
            </w:r>
            <w:r w:rsidR="00077BF3" w:rsidRPr="0B44BD26">
              <w:instrText>Av</w:instrText>
            </w:r>
            <w:r w:rsidR="00077BF3" w:rsidRPr="0B44BD26">
              <w:rPr>
                <w:rFonts w:ascii="Arial" w:hAnsi="Arial" w:cs="Arial"/>
              </w:rPr>
              <w:instrText>↔</w:instrText>
            </w:r>
            <w:r w:rsidR="00077BF3" w:rsidRPr="0B44BD26">
              <w:instrText xml:space="preserve">NIf). Labeled neurons were also found in the uvaeform nucleus (Uva), which was substantiated by BDA injections into Uva that labeled terminals in Av. Double fluorescent tracing experiments confirm that both HVC and Uva project to Av. The present study adds complex new connections that expand the traditional song system circuitry into the caudal mesopallium. These new pathways are likely to have broad implications for deciphering how this intricate system works. J. Comp. Neurol. 518:3086–3100, 2010. © 2010 Wiley-Liss, Inc.","container-title":"Journal of Comparative Neurology","DOI":"10.1002/cne.22383","ISSN":"1096-9861","issue":"15","language":"en","note":"_eprint: https://onlinelibrary.wiley.com/doi/pdf/10.1002/cne.22383","page":"3086-3100","source":"Wiley Online Library","title":"New brain pathways found in the vocal control system of a songbird","URL":"https://onlinelibrary.wiley.com/doi/abs/10.1002/cne.22383","volume":"518","author":[{"family":"Akutagawa","given":"Eugene"},{"family":"Konishi","given":"Masakazu"}],"accessed":{"date-parts":[["2023",4,25]]},"issued":{"date-parts":[["2010"]]},"citation-key":"akutagawaNewBrainPathways2010"}},{"id":3101,"uris":["http://zotero.org/users/5937427/items/QC3IG8E7"],"itemData":{"id":3101,"type":"chapter","abstract":"Song production across many songbird species is shaped by largely conserved sets of constraints associated with song control, production, and perception. This chapter addresses two main hypotheses: (1) that mechanisms of birdsong production and performance set constraints on vocal structure in ways that run parallel across taxa and that help to explain the evolution of vocal phenotypes; and (2) that resulting variations in birdsong structure influence communicative functions for both intrasexual and intersexual interactions in ways that favor the evolution of vocal phenotypes that challenge vocal performance capacities. Substantial evidence for both hypotheses has accumulated, showing that performance constraints can influence the structure of diverse vocal features and that birds indeed attend and respond differentially to performance-based vocal variations. Topics highlighted for future work include: (1) exploration of neural and endocrine mechanisms that underlie vocal performance, (2) elucidation of cognitive and sampling processes that underlie song performance assessment, and (3) evaluation of the overall impact of song performance on the evolution of songbird vocal phenotypes.","collection-title":"Springer Handbook of Auditory Research","container-title":"The Neuroethology of Birdsong","event-place":"Cham","ISBN":"978-3-030-34683-6","language":"en","note":"DOI: 10.1007/978-3-030-34683-6_9","page":"245-268","publisher":"Springer International Publishing","publisher-place":"Cham","source":"Springer Link","title":"Vocal Performance in Songbirds: From Mechanisms to Evolution","title-short":"Vocal Performance in Songbirds","URL":"https://doi.org/10.1007/978-3-030-34683-6_9","author":[{"family":"Podos","given":"Jeffrey"},{"family":"Sung","given":"Ha-Cheol"}],"editor":[{"family":"Sakata","given":"Jon T."},{"family":"Woolley","given":"Sarah C."},{"family":"Fay","given":"Richard R."},{"family":"Popper","given":"Arthur N."}],"accessed":{"date-parts":[["2023",4,25]]},"issued":{"date-parts":[["2020"]]},"citation-key":"podosVocalPerformanceSongbirds2020"}}],"schema":"https://github.com/citation-style-language/schema/raw/master/csl-citation.json"}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39–41</w:t>
            </w:r>
            <w:r w:rsidR="00077BF3" w:rsidRPr="0B44BD26">
              <w:fldChar w:fldCharType="end"/>
            </w:r>
            <w:r w:rsidRPr="0B44BD26">
              <w:rPr>
                <w:rFonts w:ascii="Avenir Next LT Pro" w:eastAsia="Avenir Next LT Pro" w:hAnsi="Avenir Next LT Pro" w:cs="Avenir Next LT Pro"/>
              </w:rPr>
              <w:t>, cetáceos</w:t>
            </w:r>
            <w:r w:rsidR="00077BF3" w:rsidRPr="0B44BD26">
              <w:fldChar w:fldCharType="begin"/>
            </w:r>
            <w:r w:rsidR="00077BF3" w:rsidRPr="0B44BD26">
              <w:instrText xml:space="preserve"> ADDIN ZOTERO_ITEM CSL_CITATION {"citationID":"I6Us3jaW","properties":{"formattedCitation":"\\super 42,43\\nosupersub{}","plainCitation":"42,43","noteIndex":0},"citationItems":[{"id":3104,"uris":["http://zotero.org/users/5937427/items/J53UJT93"],"itemData":{"id":3104,"type":"article-journal","abstract":"The detailed anatomy of the noses of Kogia breviceps and K. sima (Kogiidae: Cetacea) is described in greater detail than previously. Probable functions of component parts of the nose are deduced from their geometry and physical properties of the tissues. It is concluded that control of the air making the sound is similar to that found in scottish bagpipes with a single reed, that sounds are produced by air being forced from the vocal valve and is resonated in an unusual chamber having cords and membranes, similar to human vocal cords. It is then reflected by air filled ‘mirrors’ and conducted and intensified through a megaphone-like ‘horn’ which is surrounded by air and contains tissues rich in spermaceti oil. Sound then passes through the melon where, by changes in temperature of the spermaceti oil, it is actively focused and possibly scanned. Thermal properties of Kogia spermaceti oil are described and related to previously made sound velocity and density measurements. The way sound production and reflection can continue while large variations of pressure are experienced during deep dives, is suggested. A structure for controlling the temperature of the melon is described. It is considered unlikely that the spermaceti oil is used for buoyancy control in Kogia. Some comparisons are drawn with Physeter catodon, Xiphius and Tursiops and some implications for research on other cetaceans are outlined.","container-title":"Journal of the Marine Biological Association of the United Kingdom","DOI":"10.1017/S0025315403007045h","ISSN":"1469-7769, 0025-3154","issue":"2","language":"en","note":"publisher: Cambridge University Press","page":"241-263","source":"Cambridge University Press","title":"Production and control of sound by the small sperm whales, Kogia breviceps and K. sima and their implications for other Cetacea","URL":"https://www.cambridge.org/core/journals/journal-of-the-marine-biological-association-of-the-united-kingdom/article/abs/production-and-control-of-sound-by-the-small-sperm-whales-kogia-breviceps-and-k-sima-and-their-implications-for-other-cetacea/9427B908BD20C7D48F587BB87852B895","volume":"83","author":[{"family":"Clarke","given":"M. R."}],"accessed":{"date-parts":[["2023",4,25]]},"issued":{"date-parts":[["2003",4]]},"citation-key":"clarkeProductionControlSound2003"}},{"id":993,"uris":["http://zotero.org/users/5937427/items/52LHA955"],"itemData":{"id":993,"type":"article-journal","abstract":"The cetaceans are one of the few mammalian clades capable of vocal production learning. Evidence for this comes from synchronous changes in song patterns of baleen whales and experimental work on toothed whales in captivity. While baleen whales like many vocal learners use this skill in song displays that are involved in sexual selection, toothed whales use learned signals in individual recognition and the negotiation of social relationships. Experimental studies demonstrated that dolphins can use learned signals referentially. Studies on wild dolphins demonstrated how this skill appears to be useful in their own communication system, making them an interesting subject for comparative communication studies.","collection-title":"SI: Communication and language","container-title":"Current Opinion in Neurobiology","DOI":"10.1016/j.conb.2014.06.010","ISSN":"0959-4388","journalAbbreviation":"Current Opinion in Neurobiology","language":"en","page":"60-65","source":"ScienceDirect","title":"Cetacean vocal learning and communication","URL":"https://www.sciencedirect.com/science/article/pii/S0959438814001226","volume":"28","author":[{"family":"Janik","given":"Vincent M"}],"accessed":{"date-parts":[["2023",4,25]]},"issued":{"date-parts":[["2014",10,1]]},"citation-key":"janikCetaceanVocalLearning2014"}}],"schema":"https://github.com/citation-style-language/schema/raw/master/csl-citation.json"}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42,43</w:t>
            </w:r>
            <w:r w:rsidR="00077BF3" w:rsidRPr="0B44BD26">
              <w:fldChar w:fldCharType="end"/>
            </w:r>
            <w:r w:rsidRPr="0B44BD26">
              <w:rPr>
                <w:rFonts w:ascii="Avenir Next LT Pro" w:eastAsia="Avenir Next LT Pro" w:hAnsi="Avenir Next LT Pro" w:cs="Avenir Next LT Pro"/>
              </w:rPr>
              <w:t xml:space="preserve"> o pinnípedos</w:t>
            </w:r>
            <w:r w:rsidR="00077BF3" w:rsidRPr="0B44BD26">
              <w:fldChar w:fldCharType="begin"/>
            </w:r>
            <w:r w:rsidR="00077BF3" w:rsidRPr="0B44BD26">
              <w:instrText xml:space="preserve"> ADDIN ZOTERO_ITEM CSL_CITATION {"citationID":"mibfkrax","properties":{"formattedCitation":"\\super 44\\nosupersub{}","plainCitation":"44","noteIndex":0},"citationItems":[{"id":1029,"uris":["http://zotero.org/users/5937427/items/SCHVQYPR"],"itemData":{"id":1029,"type":"article-journal","abstract":"Vocal plasticity can occur in response to environmental and biological factors, including conspecifics’ vocalisations and noise. Pinnipeds are one of the few mammalian groups capable of vocal learning, and are therefore relevant to understanding the evolution of vocal plasticity in humans and other animals. Here, we investigate the vocal plasticity of harbour seals (Phoca vitulina), a species with vocal learning abilities attested in adulthood but not puppyhood. To zoom into early mammalian vocal development, we tested 1-3 weeks old seal pups. We tailored noise playbacks to this species and age to induce seal pups to shift their fundamental frequency (F0), rather than adapt call amplitude or temporal characteristics. We exposed individual pups to bandpass-filtered noise, which purposely spanned – and masked – their typical range of F0s, and simultaneously recorded pups’ spontaneous calls. Seals were able to modify their vocalisations quite unlike most mammals: They lowered their F0 in response to increased noise. This modulation was punctual and adapted to the particular noise condition. In addition, higher noise induced less dispersion around the mean F0, suggesting that pups may have been actively focusing their phonatory efforts to target lower frequencies. Noise masking did not seem to affect call amplitude. However, one seal showed two characteristics of the Lombard effect known for human speech in noise: significant increase in call amplitude and flattening of spectral tilt. Our relatively low noise levels may have favoured F0 shifts while inhibiting amplitude adjustments. This lowering of F0 is quite unusual, as other animals commonly display no F0 shift independently of noise amplitude. Our data represents a relatively rare case in mammalian neonates, and may have implications for the evolution of vocal plasticity across species, including humans.","container-title":"Philosophical Transactions of the Royal Society B: Biological Sciences","DOI":"10.1098/rstb.2020.0456","issue":"1840","journalAbbreviation":"Phil.  Trans.  R.  Soc.  B","language":"en","page":"20200456","title":"Vocal plasticity in harbour seal pups","volume":"376","author":[{"family":"Torres Borda","given":"Laura"},{"family":"Jadoul","given":"Yannick"},{"family":"Rasilo","given":"Heikki"},{"family":"Salazar Casals","given":"Anna"},{"family":"Ravignani","given":"Andrea"}],"issued":{"date-parts":[["2021",2,10]]},"citation-key":"torresbordaVocalPlasticityHarbour2021"}}],"schema":"https://github.com/citation-style-language/schema/raw/master/csl-citation.json"}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44</w:t>
            </w:r>
            <w:r w:rsidR="00077BF3" w:rsidRPr="0B44BD26">
              <w:fldChar w:fldCharType="end"/>
            </w:r>
            <w:r w:rsidRPr="0B44BD26">
              <w:rPr>
                <w:rFonts w:ascii="Avenir Next LT Pro" w:eastAsia="Avenir Next LT Pro" w:hAnsi="Avenir Next LT Pro" w:cs="Avenir Next LT Pro"/>
              </w:rPr>
              <w:t>. En los humanos, el control voluntario de la voz está altamente desarrollado</w:t>
            </w:r>
            <w:r w:rsidR="00077BF3" w:rsidRPr="0B44BD26">
              <w:fldChar w:fldCharType="begin"/>
            </w:r>
            <w:r w:rsidR="00077BF3" w:rsidRPr="0B44BD26">
              <w:instrText xml:space="preserve"> ADDIN ZOTERO_ITEM CSL_CITATION {"citationID":"Rz1vl4zh","properties":{"formattedCitation":"\\super 45,46\\nosupersub{}","plainCitation":"45,46","noteIndex":0},"citationItems":[{"id":1030,"uris":["http://zotero.org/users/5937427/items/29V8ATN3"],"itemData":{"id":1030,"type":"article-journal","abstract":"The networks of cortical and sub-cortical fields that contribute to speech production have benefitted from many years of detailed study, and have been used as a framework for human volitional vocal production more generally. In this article I will argue that we need to consider speech production as an expression of the human voice in a more general sense. I will also argue that the neural control of the voice can and should be considered to be a flexible system, into which more right hemispheric networks are differentially recruited, based on the factors that are modulating vocal production. I will explore how this flexible network is recruited to express aspects of non-verbal information in the voice, such as identity and social traits. Finally, I will argue that we need to widen out the kinds of vocal behaviours that we explore, if we want to understand the neural underpinnings of the true range of sound making capabilities of the human voice.","container-title":"Philosophical Transactions of the Royal Society B: Biological Sciences","DOI":"10.1098/rstb.2020.0395","issue":"1841","journalAbbreviation":"Phil.  Trans.  R.  Soc.  B","page":"20200395","title":"The neural control of volitional vocal production – from speech to identity, from social meaning to song","volume":"376","author":[{"family":"Scott","given":"Sophie K"}],"issued":{"date-parts":[["2021"]]},"citation-key":"scottNeuralControlVolitional2021"}},{"id":1028,"uris":["http://zotero.org/users/5937427/items/R4WETIPV"],"itemData":{"id":1028,"type":"article-journal","abstract":"Humans have a remarkable capacity to finely control the muscles of the larynx, via distinct patterns of cortical topography and innervation that may underpin our sophisticated vocal capabilities compared with non-human primates. Here, we investigated the behavioural and neural correlates of laryngeal control, and their relationship to vocal expertise, using an imitation task that required adjustments of larynx musculature during speech. Highly-trained human singers and non-singer control participants modulated voice pitch and vocal tract length (VTL) to mimic auditory speech targets, while undergoing real-time anatomical scans of the vocal tract and functional scans of brain activity. Multivariate analyses of speech acoustics, larynx movements and brain activation data were used to quantify vocal modulation behaviour, and to search for neural representations of the two modulated vocal parameters during the preparation and execution of speech. We found that singers showed more accurate task-relevant modulations of speech pitch and VTL (i.e. larynx height, as measured with vocal tract MRI) during speech imitation; this was accompanied by stronger representation of VTL within a region of right dorsal somatosensory cortex. Our findings suggest a common neural basis for enhanced vocal control in speech and song.","container-title":"Philosophical Transactions of the Royal Society B: Biological Sciences","DOI":"10.1098/rstb.2020.0399","issue":"1840","journalAbbreviation":"Phil.  Trans.  R.  Soc.  B","page":"20200399","title":"Singers show enhanced performance and neural representation of vocal imitation.","volume":"376","author":[{"family":"Waters","given":"Sheena"},{"family":"Kanber","given":"Elise"},{"family":"Lavan","given":"Nadine"},{"family":"Belyk","given":"Michel"},{"family":"Carey","given":"Daniel"},{"family":"Cartei","given":"Valentina"},{"family":"Lally","given":"Clare"},{"family":"Miquel","given":"Marc"},{"family":"McGettigan","given":"Carolyn"}],"issued":{"date-parts":[["2021"]]},"citation-key":"watersSingersShowEnhanced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45,46</w:t>
            </w:r>
            <w:r w:rsidR="00077BF3" w:rsidRPr="0B44BD26">
              <w:fldChar w:fldCharType="end"/>
            </w:r>
            <w:r w:rsidR="6C078A54" w:rsidRPr="0B44BD26">
              <w:rPr>
                <w:rFonts w:ascii="Avenir Next LT Pro" w:eastAsia="Avenir Next LT Pro" w:hAnsi="Avenir Next LT Pro" w:cs="Avenir Next LT Pro"/>
              </w:rPr>
              <w:t xml:space="preserve">, y </w:t>
            </w:r>
            <w:r w:rsidRPr="0B44BD26">
              <w:rPr>
                <w:rFonts w:ascii="Avenir Next LT Pro" w:eastAsia="Avenir Next LT Pro" w:hAnsi="Avenir Next LT Pro" w:cs="Avenir Next LT Pro"/>
              </w:rPr>
              <w:t>supera a otros primates</w:t>
            </w:r>
            <w:r w:rsidR="00077BF3" w:rsidRPr="0B44BD26">
              <w:fldChar w:fldCharType="begin"/>
            </w:r>
            <w:r w:rsidR="00077BF3" w:rsidRPr="0B44BD26">
              <w:instrText xml:space="preserve"> ADDIN ZOTERO_ITEM CSL_CITATION {"citationID":"Eqn66idF","properties":{"formattedCitation":"\\super 47\\uc0\\u8211{}49\\nosupersub{}","plainCitation":"47–49","noteIndex":0},"citationItems":[{"id":519,"uris":["http://zotero.org/users/5937427/items/SSLEWPU7"],"itemData":{"id":519,"type":"article-journal","abstract":"I analyze the biological underpinnings of human speech from a comparative perspective. By first identifying mechanisms that are evolutionarily derived relative to other primates, we obtain members of the faculty of language, derived components (FLD). Understanding when and why these evolved is central to understanding the evolution of speech. There is little evidence for human-specific mechanisms in auditory perception, and the hypothesis that speech perception is “special” is poorly supported by comparative data. Regarding speech production, human peripheral vocal anatomy includes several derived characteristics (permanently descended larynx, loss of air sacs), but their importance has been overestimated. In contrast, the central neural mechanisms underlying speech production involve crucial derived characteristics (direct monosynaptic connections from motor cortex to laryngeal motor neurons, derived intracortical dorsal circuitry between auditory and motor regions). Paleo-DNA from fossil hominins provides an exciting new opportunity to determine when these derived speech production mechanisms arose during evolution.","container-title":"Annual Review of Linguistics","DOI":"10.1146/annurev-linguistics-011817-045748","issue":"1","page":"255-279","source":"Annual Reviews","title":"The Biology and Evolution of Speech: A Comparative Analysis","title-short":"The Biology and Evolution of Speech","URL":"https://doi.org/10.1146/annurev-linguistics-011817-045748","volume":"4","author":[{"family":"Fitch","given":"W. Tecumseh"}],"accessed":{"date-parts":[["2019",10,21]]},"issued":{"date-parts":[["2018"]]},"citation-key":"fitchBiologyEvolutionSpeech2018"}},{"id":752,"uris":["http://zotero.org/users/5937427/items/ECRYYEDC"],"itemData":{"id":752,"type":"article-journal","abstract":"Studies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Tecumseh"}],"issued":{"date-parts":[["2006",5]]},"citation-key":"fitchBiologyEvolutionMusic2006"}},{"id":3010,"uris":["http://zotero.org/users/5937427/items/Q6IQET2I"],"itemData":{"id":3010,"type":"article-journal","abstract":"I SUGGEST THAT THE QUESTION of whether music is an adaptation has been overemphasized in recent discussions of the biology and evolution of music, because the subtleties of this question combine with our poor fossil record for musical abilities of extinct hominids to render many of the key facts necessary to answer it empirically inaccessible, for now and perhaps forever. Thus the \"adaptation question\" seems a poor choice as a defining issue for the new but rapidly growing field of biomusicology. This field will be better served if we treat this and similar evolutionary questions as \"intuition pumps\" to help generate testable hypotheses that spur further experimental work on living animals (in both laboratory and field) and humans. In addition to work on music perception, studies of production in animals such as songbirds and humpback whales will play an important role. Finally, I suggest that the distinction between culture and biology made by many in the field creates a false dichotomy: like birdsong learning, human musical ability is better treated as an \"instinct to learns' with biological and cultural aspects intimately intertwined.","container-title":"Music Perception","DOI":"10.1525/mp.2006.24.1.85","ISSN":"07307829","issue":"1","note":"Times cited: 1\ntex.ids= fitchBiologyEvolutionMusic2006\npublisher: University of California Press 2000 Center St., Suite 303, Berkeley, CA 94704-1223 USA journals@ucpress.edu","page":"85-88","title":"On the biology and evolution of music","volume":"24","author":[{"family":"Fitch","given":"W Tecumseh"}],"issued":{"date-parts":[["2006"]]},"citation-key":"fitchBiologyEvolutionMusic2006a"}}],"schema":"https://github.com/citation-style-language/schema/raw/master/csl-citation.json"}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47–49</w:t>
            </w:r>
            <w:r w:rsidR="00077BF3" w:rsidRPr="0B44BD26">
              <w:fldChar w:fldCharType="end"/>
            </w:r>
            <w:r w:rsidRPr="0B44BD26">
              <w:rPr>
                <w:rFonts w:ascii="Avenir Next LT Pro" w:eastAsia="Avenir Next LT Pro" w:hAnsi="Avenir Next LT Pro" w:cs="Avenir Next LT Pro"/>
              </w:rPr>
              <w:t>, lo cual ha permitido la evolución del habla y el canto</w:t>
            </w:r>
            <w:r w:rsidR="00077BF3" w:rsidRPr="0B44BD26">
              <w:fldChar w:fldCharType="begin"/>
            </w:r>
            <w:r w:rsidR="00077BF3" w:rsidRPr="0B44BD26">
              <w:instrText xml:space="preserve"> ADDIN ZOTERO_ITEM CSL_CITATION {"citationID":"3VngTwqg","properties":{"formattedCitation":"\\super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077BF3" w:rsidRPr="0B44BD26">
              <w:rPr>
                <w:rFonts w:ascii="Calibri" w:hAnsi="Calibri" w:cs="Calibri"/>
              </w:rPr>
              <w:instrText>č</w:instrText>
            </w:r>
            <w:r w:rsidR="00077BF3" w:rsidRPr="0B44BD26">
              <w:instrText xml:space="preserve">ek","given":"Jan"},{"family":"Roberts","given":"S. Craig"}],"accessed":{"date-parts":[["2021",11,22]]},"issued":{"date-parts":[["2022",1,3]]},"citation-key":"leongomezMusicalityHumanVocal2022"}}],"schema":"https://github.com/citation-style-language/schema/raw/master/csl-citation.json"}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16</w:t>
            </w:r>
            <w:r w:rsidR="00077BF3" w:rsidRPr="0B44BD26">
              <w:fldChar w:fldCharType="end"/>
            </w:r>
            <w:r w:rsidRPr="0B44BD26">
              <w:rPr>
                <w:rFonts w:ascii="Avenir Next LT Pro" w:eastAsia="Avenir Next LT Pro" w:hAnsi="Avenir Next LT Pro" w:cs="Avenir Next LT Pro"/>
              </w:rPr>
              <w:t>, pero también de vocalizaciones no verbales como la risa conversacional</w:t>
            </w:r>
            <w:r w:rsidR="00077BF3" w:rsidRPr="0B44BD26">
              <w:fldChar w:fldCharType="begin"/>
            </w:r>
            <w:r w:rsidR="00077BF3" w:rsidRPr="0B44BD26">
              <w:instrText xml:space="preserve"> ADDIN ZOTERO_ITEM CSL_CITATION {"citationID":"58QS4acl","properties":{"formattedCitation":"\\super 50\\nosupersub{}","plainCitation":"50","noteIndex":0},"citationItems":[{"id":1033,"uris":["http://zotero.org/users/5937427/items/EMDCAX3K"],"itemData":{"id":1033,"type":"article-journal","abstract":"The human voice is a primary tool for verbal and nonverbal communication. Studies on laughter emphasize a distinction between spontaneous laughter, which reflects a genuinely felt emotion, and volitional laughter, associated with more intentional communicative acts. Listeners can reliably differentiate the two. It remains unclear, however, if they can detect authenticity in other vocalizations, and whether authenticity determines the affective and social impressions that we form about others. Here, 137 participants listened to laughs and cries that could be spontaneous or volitional, and rated them on authenticity, valence, arousal, trustworthiness, and dominance. Bayesian mixed models indicated that listeners detect authenticity similarly well in laughter and crying. Speakers were also perceived to be more trustworthy, and in a higher arousal state, when their laughs and cries were spontaneous. Moreover, spontaneous laughs were evaluated as more positive than volitional ones, and we found that the same acoustic features predicted perceived authenticity and trustworthiness in laughter: high pitch, spectral variability, and less voicing. For crying, associations between acoustic features and ratings were less reliable. These findings indicate that emotional authenticity shapes affective and social trait inferences from voices, and that the ability to detect authenticity in vocalizations is not limited to laughter.","container-title":"Philosophical Transactions of the Royal Society B: Biological Sciences","DOI":"10.1098/rstb.2020.0402","issue":"1840","journalAbbreviation":"Phil.  Trans.  R.  Soc.  B","language":"en","page":"20200402","title":"Emotional authenticity modulates affective and social trait inferences from voices","volume":"376","author":[{"family":"Pinheiro","given":"Ana P."},{"family":"Anikin","given":"Andrey"},{"family":"Conde","given":"Tatiana"},{"family":"Sarzedas","given":"João"},{"family":"Chen","given":"Sinead"},{"family":"Scott","given":"Sophie K"},{"family":"Lima","given":"Cesar F."}],"issued":{"date-parts":[["2021"]]},"citation-key":"pinheiroEmotionalAuthenticityModulates2021"}}],"schema":"https://github.com/citation-style-language/schema/raw/master/csl-citation.json"}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50</w:t>
            </w:r>
            <w:r w:rsidR="00077BF3" w:rsidRPr="0B44BD26">
              <w:fldChar w:fldCharType="end"/>
            </w:r>
            <w:r w:rsidRPr="0B44BD26">
              <w:rPr>
                <w:rFonts w:ascii="Avenir Next LT Pro" w:eastAsia="Avenir Next LT Pro" w:hAnsi="Avenir Next LT Pro" w:cs="Avenir Next LT Pro"/>
              </w:rPr>
              <w:t xml:space="preserve"> o rugidos exagerados para señalar agresión</w:t>
            </w:r>
            <w:r w:rsidR="00077BF3" w:rsidRPr="0B44BD26">
              <w:fldChar w:fldCharType="begin"/>
            </w:r>
            <w:r w:rsidR="00077BF3" w:rsidRPr="0B44BD26">
              <w:instrText xml:space="preserve"> ADDIN ZOTERO_ITEM CSL_CITATION {"citationID":"r3GSUKkb","properties":{"formattedCitation":"\\super 51\\nosupersub{}","plainCitation":"51","noteIndex":0},"citationItems":[{"id":1939,"uris":["http://zotero.org/users/5937427/items/K4HP46L3"],"itemData":{"id":1939,"type":"article-journal","abstract":"The human voice carries information about a vocalizer's physical strength that listeners can perceive and that may influence mate choice and intrasexual competition. Yet, reliable acoustic correlates of strength in human speech remain unclear. Compared to speech, aggressive nonverbal vocalizations (roars) may function to maximize perceived strength, suggesting that their acoustic structure has been selected to communicate formidability, similar to the vocal threat displays of other animals. Here, we test this prediction in two non-WEIRD African samples: an urban community of Cameroonians and rural nomadic Hadza hunter–gatherers in the Tanzanian bushlands. Participants produced standardized speech and volitional roars and provided handgrip strength measures. Using acoustic analysis and information-theoretic multi-model inference and averaging techniques, we show that strength can be measured from both speech and roars, and as predicted, strength is more reliably gauged from roars than vowels, words or greetings. The acoustic structure of roars explains 40–70% of the variance in actual strength within adults of either sex. However, strength is predicted by multiple acoustic parameters whose combinations vary by sex, sample and vocal type. Thus, while roars may maximally signal strength, more research is needed to uncover consistent and likely interacting acoustic correlates of strength in the human voice.\n            This article is part of the theme issue ‘Voice modulation: from origin and mechanism to social impact (Part I)’.","container-title":"Philosophical Transactions of the Royal Society B: Biological Sciences","DOI":"10.1098/rstb.2020.0403","ISSN":"0962-8436, 1471-2970","issue":"1840","journalAbbreviation":"Phil. Trans. R. Soc. B","language":"en","license":"All rights reserved","page":"20200403","source":"DOI.org (Crossref)","title":"Predicting strength from aggressive vocalizations versus speech in African bushland and urban communities","URL":"https://royalsocietypublishing.org/doi/10.1098/rstb.2020.0403","volume":"376","author":[{"family":"Kleisner","given":"Karel"},{"family":"Leongómez","given":"Juan David"},{"family":"Pisanski","given":"Katarzyna"},{"family":"Fiala","given":"Vojt</w:instrText>
            </w:r>
            <w:r w:rsidR="00077BF3" w:rsidRPr="0B44BD26">
              <w:rPr>
                <w:rFonts w:ascii="Calibri" w:hAnsi="Calibri" w:cs="Calibri"/>
              </w:rPr>
              <w:instrText>ě</w:instrText>
            </w:r>
            <w:r w:rsidR="00077BF3" w:rsidRPr="0B44BD26">
              <w:instrText xml:space="preserve">ch"},{"family":"Cornec","given":"Clément"},{"family":"Groyecka-Bernard","given":"Agata"},{"family":"Butovskaya","given":"Marina"},{"family":"Reby","given":"David"},{"family":"Sorokowski","given":"Piotr"},{"family":"Akoko","given":"Robert Mbe"}],"accessed":{"date-parts":[["2021",11,22]]},"issued":{"date-parts":[["2021",12,20]]},"citation-key":"kleisnerPredictingStrengthAggressive2021"}}],"schema":"https://github.com/citation-style-language/schema/raw/master/csl-citation.json"}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51</w:t>
            </w:r>
            <w:r w:rsidR="00077BF3" w:rsidRPr="0B44BD26">
              <w:fldChar w:fldCharType="end"/>
            </w:r>
            <w:r w:rsidRPr="0B44BD26">
              <w:rPr>
                <w:rFonts w:ascii="Avenir Next LT Pro" w:eastAsia="Avenir Next LT Pro" w:hAnsi="Avenir Next LT Pro" w:cs="Avenir Next LT Pro"/>
              </w:rPr>
              <w:t>.</w:t>
            </w:r>
          </w:p>
          <w:p w14:paraId="62CE9EB0" w14:textId="10C9D6BE"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control vocal no solo permite expresar estados internos</w:t>
            </w:r>
            <w:r w:rsidR="63CDD28A" w:rsidRPr="0B44BD26">
              <w:rPr>
                <w:rFonts w:ascii="Avenir Next LT Pro" w:eastAsia="Avenir Next LT Pro" w:hAnsi="Avenir Next LT Pro" w:cs="Avenir Next LT Pro"/>
              </w:rPr>
              <w:t xml:space="preserve"> y emociones</w:t>
            </w:r>
            <w:r w:rsidR="03205DB7" w:rsidRPr="0B44BD26">
              <w:rPr>
                <w:rFonts w:ascii="Avenir Next LT Pro" w:eastAsia="Avenir Next LT Pro" w:hAnsi="Avenir Next LT Pro" w:cs="Avenir Next LT Pro"/>
              </w:rPr>
              <w:t xml:space="preserve"> (</w:t>
            </w:r>
            <w:r w:rsidR="63CDD28A" w:rsidRPr="0B44BD26">
              <w:rPr>
                <w:rFonts w:ascii="Avenir Next LT Pro" w:eastAsia="Avenir Next LT Pro" w:hAnsi="Avenir Next LT Pro" w:cs="Avenir Next LT Pro"/>
              </w:rPr>
              <w:t>independientemente de que se incluya o no contenido verbal</w:t>
            </w:r>
            <w:r w:rsidR="03205DB7"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sino también </w:t>
            </w:r>
            <w:r w:rsidR="03205DB7" w:rsidRPr="0B44BD26">
              <w:rPr>
                <w:rFonts w:ascii="Avenir Next LT Pro" w:eastAsia="Avenir Next LT Pro" w:hAnsi="Avenir Next LT Pro" w:cs="Avenir Next LT Pro"/>
              </w:rPr>
              <w:t xml:space="preserve">permite </w:t>
            </w:r>
            <w:r w:rsidRPr="0B44BD26">
              <w:rPr>
                <w:rFonts w:ascii="Avenir Next LT Pro" w:eastAsia="Avenir Next LT Pro" w:hAnsi="Avenir Next LT Pro" w:cs="Avenir Next LT Pro"/>
              </w:rPr>
              <w:t>influir estratégicamente en cómo somos percibidos. Así, por ejemplo, en contextos de cortejo o competencia social, las personas modulan sus voces para parecer más atractivas o dominantes</w:t>
            </w:r>
            <w:r w:rsidR="00077BF3" w:rsidRPr="0B44BD26">
              <w:fldChar w:fldCharType="begin"/>
            </w:r>
            <w:r w:rsidR="00077BF3" w:rsidRPr="0B44BD26">
              <w:instrText xml:space="preserve"> ADDIN ZOTERO_ITEM CSL_CITATION {"citationID":"1y5Vfdnd","properties":{"formattedCitation":"\\super 52\\uc0\\u8211{}55\\nosupersub{}","plainCitation":"52–55","noteIndex":0},"citationItems":[{"id":769,"uris":["http://zotero.org/users/5937427/items/G976X43X"],"itemData":{"id":769,"type":"article-journal","abstract":"Non-verbal behaviours, including voice characteristics during speech, are an important way to communicate social status. Research suggests that individuals can obtain high social status through dominance (using force and intimidation) or through prestige (by being knowledgeable and skillful). However, little is known regarding differences in the vocal behaviour of men and women in response to dominant and prestigious individuals. Here, we tested within-subject differences in vocal parameters of interviewees during simulated job inter-views with dominant, prestigious, and neutral employers (targets), while responding to questions which were classified as introductory, personal, and interpersonal. We found that vocal modulations were apparent between responses to the neutral and high-status targets, with participants, especially those who perceived themselves as low in dominance, increasing fundamental frequency (F0) in response to the dominant and prestigious targets relative to the neutral target. Self-perceived prestige, however, was less related to contextual vocal modulations than self-perceived dominance. Finally, we found that differences in the context of the interview questions participants were asked to respond to (introductory, personal, interpersonal), also affected their vocal parameters, being more prominent in responses to personal and interpersonal questions. Overall, our results suggest that people adjust their vocal parameters according to the perceived social status of the listener as well as their own self-perceived social status.","container-title":"PLoS One","DOI":"10.1371/journal.pone.0179407","issue":"6","license":"Licencia Creative Commons Atribución-NoComercial-NoDerivadas 4.0 Internacional (CC-BY-NC-ND)","note":"Times cited: 1\ntex.ids= Leongomeza2017, Leongómez2017Perceived, leongomezPerceivedDifferencesSocial2017\nISBN: 1111111111","page":"e0179407","title":"Perceived differences in social status between speaker and listener affect the speaker's vocal characteristics","volume":"12","author":[{"family":"Leongómez","given":"Juan David"},{"family":"Mileva","given":"Viktoria R"},{"family":"Little","given":"Anthony C"},{"family":"Roberts","given":"S Craig"}],"issued":{"date-parts":[["2017"]]},"citation-key":"leongomezPerceivedDifferencesSocial2017"}},{"id":1014,"uris":["http://zotero.org/users/5937427/items/H48PCB6P"],"itemData":{"id":1014,"type":"article-journal","abstract":"Speakers modulate their voice when talking to infants, but we know little about subtle variation in acoustic parameters during speech in adult social interactions. Because tests of perception of such variation are hampered by listeners' understanding of semantic content, studies often conﬁne speech to enunciation of standard sentences, restricting ecological validity. Furthermore, apparent paralinguistic modulation in one language may be underpinned by speciﬁc parameters of that language. Here we circumvent these problems by recording speech directed to attractive or unattractive potential partners or competitors, and testing responses to these recordings by naive listeners, across both a Germanic (English) and a Slavic (Czech) language. Analysis of acoustic parameters indicates that men's voices varied F0 most in speech towards potential attractive versus unattractive mates, while modulation of women's F0 variability was more sensitive to competitors, with higher variability when those competitors were relatively attractive. There was striking similarity in patterns of social context-dependent F0 variation across the two model languages, with both men's and women's voices varying most when responding to attractive individuals. Men's minimum pitch was lower when responding to attractive than unattractive women. For vocal modulation to be effective, however, it must be sufﬁciently detectable to promote proceptivity towards the speaker. We showed that speech directed towards attractive individuals was preferred by naive listeners of either language over speech by the same speaker to unattractive individuals, even when voices were stripped of several acoustic properties by low-pass ﬁltering, which renders speech unintelligible. Our results suggest that modulating F0 may be a critical parameter in human courtship, independently of semantic content.","container-title":"Evolution and Human Behavior","DOI":"10.1016/j.evolhumbehav.2014.06.008","ISSN":"10905138","issue":"6","journalAbbreviation":"Evolution and Human Behavior","language":"en","license":"All rights reserved","note":"tex.ids= leongomezVocalModulationCourtship2014a","page":"489-496","source":"DOI.org (Crossref)","title":"Vocal modulation during courtship increases proceptivity even in naive listeners","URL":"10.1016/j.evolhumbehav.2014.06.008","volume":"35","author":[{"family":"Leongómez","given":"Juan David"},{"family":"Binter","given":"Jakub"},{"family":"Kubicová","given":"Lydie"},{"family":"Stola</w:instrText>
            </w:r>
            <w:r w:rsidR="00077BF3" w:rsidRPr="0B44BD26">
              <w:rPr>
                <w:rFonts w:ascii="Calibri" w:hAnsi="Calibri" w:cs="Calibri"/>
              </w:rPr>
              <w:instrText>ř</w:instrText>
            </w:r>
            <w:r w:rsidR="00077BF3" w:rsidRPr="0B44BD26">
              <w:instrText>ov</w:instrText>
            </w:r>
            <w:r w:rsidR="00077BF3" w:rsidRPr="0B44BD26">
              <w:rPr>
                <w:rFonts w:cs="Avenir Book"/>
              </w:rPr>
              <w:instrText>á</w:instrText>
            </w:r>
            <w:r w:rsidR="00077BF3" w:rsidRPr="0B44BD26">
              <w:instrText>","given":"Petra"},{"family":"Klapilov</w:instrText>
            </w:r>
            <w:r w:rsidR="00077BF3" w:rsidRPr="0B44BD26">
              <w:rPr>
                <w:rFonts w:cs="Avenir Book"/>
              </w:rPr>
              <w:instrText>á</w:instrText>
            </w:r>
            <w:r w:rsidR="00077BF3" w:rsidRPr="0B44BD26">
              <w:instrText>","given":"Kate</w:instrText>
            </w:r>
            <w:r w:rsidR="00077BF3" w:rsidRPr="0B44BD26">
              <w:rPr>
                <w:rFonts w:ascii="Calibri" w:hAnsi="Calibri" w:cs="Calibri"/>
              </w:rPr>
              <w:instrText>ř</w:instrText>
            </w:r>
            <w:r w:rsidR="00077BF3" w:rsidRPr="0B44BD26">
              <w:instrText>ina"},{"family":"Havl</w:instrText>
            </w:r>
            <w:r w:rsidR="00077BF3" w:rsidRPr="0B44BD26">
              <w:rPr>
                <w:rFonts w:cs="Avenir Book"/>
              </w:rPr>
              <w:instrText>í</w:instrText>
            </w:r>
            <w:r w:rsidR="00077BF3" w:rsidRPr="0B44BD26">
              <w:rPr>
                <w:rFonts w:ascii="Calibri" w:hAnsi="Calibri" w:cs="Calibri"/>
              </w:rPr>
              <w:instrText>č</w:instrText>
            </w:r>
            <w:r w:rsidR="00077BF3" w:rsidRPr="0B44BD26">
              <w:instrText xml:space="preserve">ek","given":"Jan"},{"family":"Roberts","given":"S. Craig"}],"accessed":{"date-parts":[["2020",6,7]]},"issued":{"date-parts":[["2014",11]]},"citation-key":"leongomezVocalModulationCourtship2014"}},{"id":1146,"uris":["http://zotero.org/users/5937427/items/CRLG3DET"],"itemData":{"id":1146,"type":"article-journal","container-title":"Behavioural Processes","DOI":"10.1016/j.beproc.2021.104531","ISSN":"03766357","journalAbbreviation":"Behavioural Processes","language":"en","license":"All rights reserved","note":"tex.ids= Leongomez2020a, leongomezContextualisingCourtshipExploring2021","page":"104531","source":"DOI.org (Crossref)","title":"Contextualising courtship: Exploring male body odour effects on vocal modulation","title-short":"Contextualising courtship","URL":"https://linkinghub.elsevier.com/retrieve/pii/S0376635721002151","volume":"193","author":[{"family":"Leongómez","given":"Juan David"},{"family":"Sánchez","given":"Oscar R."},{"family":"Vásquez-Amézquita","given":"Milena"},{"family":"Roberts","given":"S. Craig"}],"accessed":{"date-parts":[["2021",11,22]]},"issued":{"date-parts":[["2021",12]]},"citation-key":"leongomezContextualisingCourtshipExploring2021"}},{"id":1077,"uris":["http://zotero.org/users/5937427/items/CJ9W8FBN"],"itemData":{"id":1077,"type":"article-journal","abstract":"Inter-individual differences in human fundamental frequency (F0, perceived as voice pitch) predict mate quality and reproductive success, and affect listeners' social attributions. Although humans can readily and volitionally manipulate their vocal apparatus and resultant voice pitch, for instance, in the production of speech sounds and singing, little is known about whether humans exploit this capacity to adjust the non-verbal dimensions of their voices during social (including sexual) interactions. Here, we recorded full-length conversations of 30 adult men and women taking part in real speed-dating events and tested whether their voice pitch (mean, range and variability) changed with their personal mate choice preferences and the overall desirability of each dating partner. Within-individual analyses indicated that men lowered the minimum pitch of their voices when interacting with women who were overall highly desired by other men. Men also lowered their mean voice pitch on dates with women they selected as potential mates, particularly those who indicated a mutual preference (matches). Interestingly, although women spoke with a higher and more variable voice pitch towards men they selected as potential mates, women lowered both voice pitch parameters towards men who were most desired by other women and whom they also personally preferred. Between-individual analyses indicated that men in turn preferred women with lower-pitched voices, wherein women's minimum voice pitch explained up to 55% of the variance in men's mate preferences. These results, derived in an ecologically valid setting, show that individual- and group-level mate preferences can interact to affect vocal behaviour, and support the hypothesis that human voice modulation functions in non-verbal communication to elicit favourable judgements and behaviours from others, including potential mates.","container-title":"Proceedings of the Royal Society B: Biological Sciences","DOI":"10.1098/rspb.2018.1634","ISSN":"0962-8452","issue":"1893","note":"Times cited: 2\ntex.ids= Pisanski2019Voice, pisanskiVoicePitchModulation2018\nISBN: 0000000322171","page":"20181634","title":"Voice pitch modulation in human mate choice","volume":"285","author":[{"family":"Pisanski","given":"Katarzyna"},{"family":"Oleszkiewicz","given":"Anna"},{"family":"Plachetka","given":"Justyna"},{"family":"Gmiterek","given":"Marzena"},{"family":"Reby","given":"David"}],"issued":{"date-parts":[["2018",12,19]]},"citation-key":"pisanskiVoicePitchModulation2018"}}],"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52–55</w:t>
            </w:r>
            <w:r w:rsidR="00077BF3" w:rsidRPr="0B44BD26">
              <w:fldChar w:fldCharType="end"/>
            </w:r>
            <w:r w:rsidRPr="0B44BD26">
              <w:rPr>
                <w:rFonts w:ascii="Avenir Next LT Pro" w:eastAsia="Avenir Next LT Pro" w:hAnsi="Avenir Next LT Pro" w:cs="Avenir Next LT Pro"/>
              </w:rPr>
              <w:t>. Estas modulaciones, por tanto, no solo son expresiones emocionales, sino también herramientas sociales con implicaciones adaptativas</w:t>
            </w:r>
            <w:r w:rsidR="00077BF3" w:rsidRPr="0B44BD26">
              <w:fldChar w:fldCharType="begin"/>
            </w:r>
            <w:r w:rsidR="00077BF3" w:rsidRPr="0B44BD26">
              <w:instrText xml:space="preserve"> ADDIN ZOTERO_ITEM CSL_CITATION {"citationID":"KNcAsXLg","properties":{"formattedCitation":"\\super 56\\nosupersub{}","plainCitation":"56","noteIndex":0},"citationItems":[{"id":1035,"uris":["http://zotero.org/users/5937427/items/EM8RKG4J"],"itemData":{"id":1035,"type":"article-journal","abstract":"The human voice is dynamic, and people modulate their voices across different social interactions. This article presents a review of the literature examining natural vocal modulation in social contexts relevant to human mating and intrasexual competition. Altering acoustic parameters during speech, particularly pitch, in response to mating and competitive contexts can influence social perception and indicate certain qualities of the speaker. For instance, a lowered voice pitch is often used to exert dominance, display status, and compete with rivals. Changes in voice can also serve as a salient medium for signaling a person’s attraction to another, and there is evidence to support the notion that attraction and/or romantic interest can be distinguished through vocal tones alone. Individuals can purposely change their vocal behavior in attempt to sound more attractive and to facilitate courtship success. Several findings also point to the effectiveness of vocal change as a mechanism for communicating relationship status. As future studies continue to explore vocal modulation in the arena of human mating, we will gain a better understanding of how and why vocal modulation varies across social contexts and its impact on receiver psychology.","container-title":"Philosophical Transactions of the Royal Society B: Biological Sciences","DOI":"10.1098/rstb.2020.0388","issue":"1840","journalAbbreviation":"Phil.  Trans.  R.  Soc.  B","page":"20200388","title":"Vocal Modulation in Human Mating and Competition","volume":"376","author":[{"family":"Hughes","given":"Susan M."},{"family":"Puts","given":"David Andrew"}],"issued":{"date-parts":[["2021"]]},"citation-key":"hughesVocalModulationHuman2021"}}],"schema":"https://github.com/citation-style-language/schema/raw/master/csl-citation.json"}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56</w:t>
            </w:r>
            <w:r w:rsidR="00077BF3" w:rsidRPr="0B44BD26">
              <w:fldChar w:fldCharType="end"/>
            </w:r>
            <w:r w:rsidRPr="0B44BD26">
              <w:rPr>
                <w:rFonts w:ascii="Avenir Next LT Pro" w:eastAsia="Avenir Next LT Pro" w:hAnsi="Avenir Next LT Pro" w:cs="Avenir Next LT Pro"/>
              </w:rPr>
              <w:t>.</w:t>
            </w:r>
          </w:p>
          <w:p w14:paraId="2367F513" w14:textId="1CEE5939" w:rsidR="00151151" w:rsidRDefault="6A7CF5F0" w:rsidP="0B44BD26">
            <w:pPr>
              <w:rPr>
                <w:rFonts w:ascii="Avenir Next LT Pro" w:eastAsia="Avenir Next LT Pro" w:hAnsi="Avenir Next LT Pro" w:cs="Avenir Next LT Pro"/>
              </w:rPr>
            </w:pPr>
            <w:r w:rsidRPr="3FF8FB8C">
              <w:rPr>
                <w:rFonts w:ascii="Avenir Next LT Pro" w:eastAsia="Avenir Next LT Pro" w:hAnsi="Avenir Next LT Pro" w:cs="Avenir Next LT Pro"/>
              </w:rPr>
              <w:t>Una de las formas más destacadas de modulación vocal en humanos</w:t>
            </w:r>
            <w:r w:rsidR="2746AD11" w:rsidRPr="3FF8FB8C">
              <w:rPr>
                <w:rFonts w:ascii="Avenir Next LT Pro" w:eastAsia="Avenir Next LT Pro" w:hAnsi="Avenir Next LT Pro" w:cs="Avenir Next LT Pro"/>
              </w:rPr>
              <w:t xml:space="preserve">, </w:t>
            </w:r>
            <w:r w:rsidR="5F9090CA" w:rsidRPr="3FF8FB8C">
              <w:rPr>
                <w:rFonts w:ascii="Avenir Next LT Pro" w:eastAsia="Avenir Next LT Pro" w:hAnsi="Avenir Next LT Pro" w:cs="Avenir Next LT Pro"/>
              </w:rPr>
              <w:t xml:space="preserve">y tal vez la que tiene un impacto más profundo </w:t>
            </w:r>
            <w:r w:rsidR="47BB50EF" w:rsidRPr="3FF8FB8C">
              <w:rPr>
                <w:rFonts w:ascii="Avenir Next LT Pro" w:eastAsia="Avenir Next LT Pro" w:hAnsi="Avenir Next LT Pro" w:cs="Avenir Next LT Pro"/>
              </w:rPr>
              <w:t>en la calidad de vida de los individuos</w:t>
            </w:r>
            <w:r w:rsidR="2746AD11" w:rsidRPr="3FF8FB8C">
              <w:rPr>
                <w:rFonts w:ascii="Avenir Next LT Pro" w:eastAsia="Avenir Next LT Pro" w:hAnsi="Avenir Next LT Pro" w:cs="Avenir Next LT Pro"/>
              </w:rPr>
              <w:t>,</w:t>
            </w:r>
            <w:r w:rsidRPr="3FF8FB8C">
              <w:rPr>
                <w:rFonts w:ascii="Avenir Next LT Pro" w:eastAsia="Avenir Next LT Pro" w:hAnsi="Avenir Next LT Pro" w:cs="Avenir Next LT Pro"/>
              </w:rPr>
              <w:t xml:space="preserve"> es el habla dirigida a bebés (IDS), anteriormente conocida como “maternés” o </w:t>
            </w:r>
            <w:proofErr w:type="spellStart"/>
            <w:r w:rsidRPr="3FF8FB8C">
              <w:rPr>
                <w:rFonts w:ascii="Avenir Next LT Pro" w:eastAsia="Avenir Next LT Pro" w:hAnsi="Avenir Next LT Pro" w:cs="Avenir Next LT Pro"/>
                <w:i/>
                <w:iCs/>
              </w:rPr>
              <w:t>motherese</w:t>
            </w:r>
            <w:proofErr w:type="spellEnd"/>
            <w:r w:rsidRPr="3FF8FB8C">
              <w:rPr>
                <w:rFonts w:ascii="Avenir Next LT Pro" w:eastAsia="Avenir Next LT Pro" w:hAnsi="Avenir Next LT Pro" w:cs="Avenir Next LT Pro"/>
              </w:rPr>
              <w:t xml:space="preserve">. El IDS </w:t>
            </w:r>
            <w:r w:rsidR="0F7324A8" w:rsidRPr="3FF8FB8C">
              <w:rPr>
                <w:rFonts w:ascii="Avenir Next LT Pro" w:eastAsia="Avenir Next LT Pro" w:hAnsi="Avenir Next LT Pro" w:cs="Avenir Next LT Pro"/>
              </w:rPr>
              <w:t>es una forma especial de comunicación vocal que los adultos utilizan espontáneamente al interactuar con bebés. Esta forma de habla se distingue del habla dirigida a adultos por una serie de características acústicas típicas: tono más agudo, mayor variabilidad tonal, entonación exagerada, mayor duración de las vocales, articulación más clara y una carga emocional más positiva. Estas propiedades prosódicas y afectivas no solo captan la atención de</w:t>
            </w:r>
            <w:r w:rsidR="62E3446A" w:rsidRPr="3FF8FB8C">
              <w:rPr>
                <w:rFonts w:ascii="Avenir Next LT Pro" w:eastAsia="Avenir Next LT Pro" w:hAnsi="Avenir Next LT Pro" w:cs="Avenir Next LT Pro"/>
              </w:rPr>
              <w:t xml:space="preserve"> las y los</w:t>
            </w:r>
            <w:r w:rsidR="0F7324A8" w:rsidRPr="3FF8FB8C">
              <w:rPr>
                <w:rFonts w:ascii="Avenir Next LT Pro" w:eastAsia="Avenir Next LT Pro" w:hAnsi="Avenir Next LT Pro" w:cs="Avenir Next LT Pro"/>
              </w:rPr>
              <w:t xml:space="preserve"> bebé</w:t>
            </w:r>
            <w:r w:rsidR="3BBE36B3" w:rsidRPr="3FF8FB8C">
              <w:rPr>
                <w:rFonts w:ascii="Avenir Next LT Pro" w:eastAsia="Avenir Next LT Pro" w:hAnsi="Avenir Next LT Pro" w:cs="Avenir Next LT Pro"/>
              </w:rPr>
              <w:t>s</w:t>
            </w:r>
            <w:r w:rsidR="0F7324A8" w:rsidRPr="3FF8FB8C">
              <w:rPr>
                <w:rFonts w:ascii="Avenir Next LT Pro" w:eastAsia="Avenir Next LT Pro" w:hAnsi="Avenir Next LT Pro" w:cs="Avenir Next LT Pro"/>
              </w:rPr>
              <w:t xml:space="preserve">, sino que también optimizan la transmisión de señales sociales y lingüísticas, y </w:t>
            </w:r>
            <w:r w:rsidR="3BBE36B3" w:rsidRPr="3FF8FB8C">
              <w:rPr>
                <w:rFonts w:ascii="Avenir Next LT Pro" w:eastAsia="Avenir Next LT Pro" w:hAnsi="Avenir Next LT Pro" w:cs="Avenir Next LT Pro"/>
              </w:rPr>
              <w:t xml:space="preserve">se ha demostrado que </w:t>
            </w:r>
            <w:r w:rsidR="0F7324A8" w:rsidRPr="3FF8FB8C">
              <w:rPr>
                <w:rFonts w:ascii="Avenir Next LT Pro" w:eastAsia="Avenir Next LT Pro" w:hAnsi="Avenir Next LT Pro" w:cs="Avenir Next LT Pro"/>
              </w:rPr>
              <w:t>están presentes en diversas lenguas y culturas</w:t>
            </w:r>
            <w:r>
              <w:fldChar w:fldCharType="begin"/>
            </w:r>
            <w:r>
              <w:instrText xml:space="preserve"> ADDIN ZOTERO_ITEM CSL_CITATION {"citationID":"5lR17y37","properties":{"formattedCitation":"\\super 57\\uc0\\u8211{}62\\nosupersub{}","plainCitation":"57–62","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5721,"uris":["http://zotero.org/users/5937427/items/HK96PUTR"],"itemData":{"id":5721,"type":"article-journal","container-title":"Frontiers in Psychology","DOI":"10.3389/fpsyg.2022.804792","journalAbbreviation":"Frontiers in Psychology","title":"Infant-Directed Speech From a Multidimensional Perspective: The Interplay of Infant Birth Status, Maternal Parenting Stress, and Dyadic Co-regulation on Infant-Directed Speech Linguistic and Pragmatic Features","URL":"https://consensus.app/papers/infantdirected-speech-from-a-multidimensional-spinelli-ponzetti/cfdb3aaa04b45f2087a15d9411d241fb/","volume":"13","author":[{"family":"Spinelli","given":"M."},{"family":"Lionetti","given":"Francesca"},{"family":"Garito","given":"Maria Concetta"},{"family":"Shah","given":"Prachi"},{"family":"Logrieco","given":"Maria Grazia Mada"},{"family":"Ponzetti","given":"Silvia"},{"family":"Cicioni","given":"P."},{"family":"Di Valerio","given":"S."},{"family":"Fasolo","given":"M."}],"issued":{"date-parts":[["2022",5,9]]},"citation-key":"spinelliInfantDirectedSpeechMultidimensional2022"}},{"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id":5727,"uris":["http://zotero.org/users/5937427/items/LUBH8E4S"],"itemData":{"id":5727,"type":"article-journal","container-title":"Developmental psychology","DOI":"10.1037/dev0001079","journalAbbreviation":"Developmental psychology","title":"Let's talk action: Infant-directed speech facilitates infants' action learning.","URL":"https://consensus.app/papers/lets-talk-action-infantdirected-speech-facilitates-schaik-hunnius/e277d482f6aa5786a9c138206ee9e5f5/","author":[{"family":"Schreiner","given":"Melanie"},{"family":"Van Schaik","given":"J."},{"family":"Su</w:instrText>
            </w:r>
            <w:r w:rsidRPr="3FF8FB8C">
              <w:rPr>
                <w:rFonts w:ascii="Calibri" w:hAnsi="Calibri" w:cs="Calibri"/>
              </w:rPr>
              <w:instrText>č</w:instrText>
            </w:r>
            <w:r>
              <w:instrText>evi</w:instrText>
            </w:r>
            <w:r w:rsidRPr="3FF8FB8C">
              <w:rPr>
                <w:rFonts w:ascii="Calibri" w:hAnsi="Calibri" w:cs="Calibri"/>
              </w:rPr>
              <w:instrText>ć</w:instrText>
            </w:r>
            <w:r>
              <w:instrText xml:space="preserve">","given":"J."},{"family":"Hunnius","given":"S."},{"family":"Meyer","given":"M."}],"issued":{"date-parts":[["2020",7,23]]},"citation-key":"schreinerLetsTalkAction2020"}},{"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schema":"https://github.com/citation-style-language/schema/raw/master/csl-citation.json"} </w:instrText>
            </w:r>
            <w:r>
              <w:fldChar w:fldCharType="separate"/>
            </w:r>
            <w:r w:rsidR="0B7FCB9D" w:rsidRPr="3FF8FB8C">
              <w:rPr>
                <w:rFonts w:ascii="Avenir Next LT Pro" w:hAnsi="Avenir Next LT Pro" w:cs="Times New Roman"/>
                <w:vertAlign w:val="superscript"/>
              </w:rPr>
              <w:t>57–62</w:t>
            </w:r>
            <w:r>
              <w:fldChar w:fldCharType="end"/>
            </w:r>
            <w:r w:rsidR="0F7324A8" w:rsidRPr="3FF8FB8C">
              <w:rPr>
                <w:rFonts w:ascii="Avenir Next LT Pro" w:eastAsia="Avenir Next LT Pro" w:hAnsi="Avenir Next LT Pro" w:cs="Avenir Next LT Pro"/>
              </w:rPr>
              <w:t>.</w:t>
            </w:r>
          </w:p>
          <w:p w14:paraId="5F93C81B" w14:textId="3B67A695" w:rsidR="004D3CB6" w:rsidRPr="004D3CB6" w:rsidRDefault="5F2F53AF"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Su</w:t>
            </w:r>
            <w:r w:rsidR="73C1A55D" w:rsidRPr="0B44BD26">
              <w:rPr>
                <w:rFonts w:ascii="Avenir Next LT Pro" w:eastAsia="Avenir Next LT Pro" w:hAnsi="Avenir Next LT Pro" w:cs="Avenir Next LT Pro"/>
              </w:rPr>
              <w:t xml:space="preserve"> relevancia es tal que</w:t>
            </w:r>
            <w:r w:rsidR="39EE4442" w:rsidRPr="0B44BD26">
              <w:rPr>
                <w:rFonts w:ascii="Avenir Next LT Pro" w:eastAsia="Avenir Next LT Pro" w:hAnsi="Avenir Next LT Pro" w:cs="Avenir Next LT Pro"/>
              </w:rPr>
              <w:t xml:space="preserve"> s</w:t>
            </w:r>
            <w:r w:rsidR="75A28DDB" w:rsidRPr="0B44BD26">
              <w:rPr>
                <w:rFonts w:ascii="Avenir Next LT Pro" w:eastAsia="Avenir Next LT Pro" w:hAnsi="Avenir Next LT Pro" w:cs="Avenir Next LT Pro"/>
              </w:rPr>
              <w:t>e ha demostrado que esta forma de habla cumple funciones cruciales en el desarrollo de</w:t>
            </w:r>
            <w:r w:rsidR="2896189F" w:rsidRPr="0B44BD26">
              <w:rPr>
                <w:rFonts w:ascii="Avenir Next LT Pro" w:eastAsia="Avenir Next LT Pro" w:hAnsi="Avenir Next LT Pro" w:cs="Avenir Next LT Pro"/>
              </w:rPr>
              <w:t xml:space="preserve"> las y los</w:t>
            </w:r>
            <w:r w:rsidR="75A28DDB" w:rsidRPr="0B44BD26">
              <w:rPr>
                <w:rFonts w:ascii="Avenir Next LT Pro" w:eastAsia="Avenir Next LT Pro" w:hAnsi="Avenir Next LT Pro" w:cs="Avenir Next LT Pro"/>
              </w:rPr>
              <w:t xml:space="preserve"> bebé</w:t>
            </w:r>
            <w:r w:rsidR="2896189F" w:rsidRPr="0B44BD26">
              <w:rPr>
                <w:rFonts w:ascii="Avenir Next LT Pro" w:eastAsia="Avenir Next LT Pro" w:hAnsi="Avenir Next LT Pro" w:cs="Avenir Next LT Pro"/>
              </w:rPr>
              <w:t>s</w:t>
            </w:r>
            <w:r w:rsidR="75A28DDB" w:rsidRPr="0B44BD26">
              <w:rPr>
                <w:rFonts w:ascii="Avenir Next LT Pro" w:eastAsia="Avenir Next LT Pro" w:hAnsi="Avenir Next LT Pro" w:cs="Avenir Next LT Pro"/>
              </w:rPr>
              <w:t>: mejora la atención, regula el temperamento, facilita el apego, y promueve el desarrollo lingüístico</w:t>
            </w:r>
            <w:r w:rsidR="004C2453" w:rsidRPr="0B44BD26">
              <w:fldChar w:fldCharType="begin"/>
            </w:r>
            <w:r w:rsidR="004C2453" w:rsidRPr="0B44BD26">
              <w:instrText xml:space="preserve"> ADDIN ZOTERO_ITEM CSL_CITATION {"citationID":"qRuWIY2D","properties":{"formattedCitation":"\\super 4,5\\nosupersub{}","plainCitation":"4,5","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K."}],"accessed":{"date-parts":[["2020",7,4]]},"issued":{"date-parts":[["2000",10,24]]},"citation-key":"kuhlNewViewLanguage2000"}}],"schema":"https://github.com/citation-style-language/schema/raw/master/csl-citation.json"} </w:instrText>
            </w:r>
            <w:r w:rsidR="004C2453" w:rsidRPr="0B44BD26">
              <w:fldChar w:fldCharType="separate"/>
            </w:r>
            <w:r w:rsidR="00892B9B" w:rsidRPr="00892B9B">
              <w:rPr>
                <w:rFonts w:ascii="Avenir Next LT Pro" w:hAnsi="Avenir Next LT Pro" w:cs="Times New Roman"/>
                <w:vertAlign w:val="superscript"/>
              </w:rPr>
              <w:t>4,5</w:t>
            </w:r>
            <w:r w:rsidR="004C2453" w:rsidRPr="0B44BD26">
              <w:fldChar w:fldCharType="end"/>
            </w:r>
            <w:r w:rsidR="75A28DDB" w:rsidRPr="0B44BD26">
              <w:rPr>
                <w:rFonts w:ascii="Avenir Next LT Pro" w:eastAsia="Avenir Next LT Pro" w:hAnsi="Avenir Next LT Pro" w:cs="Avenir Next LT Pro"/>
              </w:rPr>
              <w:t>.</w:t>
            </w:r>
          </w:p>
          <w:p w14:paraId="52FF080F" w14:textId="2CEF802A" w:rsidR="004D3CB6" w:rsidRPr="004864E5"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cumple un papel fundamental en el fortalecimiento del vínculo madre-bebé, al favorecer la conexión emocional, la atención conjunta y el desarrollo temprano de habilidades comunicativas. Estas características vocales promueven un mayor contacto visual, vocalizaciones y movimientos corporales durante las interacciones con la madre</w:t>
            </w:r>
            <w:r w:rsidR="004D3CB6" w:rsidRPr="0B44BD26">
              <w:fldChar w:fldCharType="begin"/>
            </w:r>
            <w:r w:rsidR="004D3CB6" w:rsidRPr="0B44BD26">
              <w:instrText xml:space="preserve"> ADDIN ZOTERO_ITEM CSL_CITATION {"citationID":"5PXvPl7n","properties":{"formattedCitation":"\\super 57,60\\nosupersub{}","plainCitation":"57,60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57,60</w:t>
            </w:r>
            <w:r w:rsidR="004D3CB6" w:rsidRPr="0B44BD26">
              <w:fldChar w:fldCharType="end"/>
            </w:r>
            <w:r w:rsidRPr="0B44BD26">
              <w:rPr>
                <w:rFonts w:ascii="Avenir Next LT Pro" w:eastAsia="Avenir Next LT Pro" w:hAnsi="Avenir Next LT Pro" w:cs="Avenir Next LT Pro"/>
              </w:rPr>
              <w:t>, facilitando una forma temprana de alternancia en los turnos, base para la reciprocidad social y el apego</w:t>
            </w:r>
            <w:r w:rsidR="004D3CB6" w:rsidRPr="0B44BD26">
              <w:fldChar w:fldCharType="begin"/>
            </w:r>
            <w:r w:rsidR="004D3CB6" w:rsidRPr="0B44BD26">
              <w:instrText xml:space="preserve"> ADDIN ZOTERO_ITEM CSL_CITATION {"citationID":"OMi5CHMT","properties":{"formattedCitation":"\\super 57,60\\nosupersub{}","plainCitation":"57,60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57,60</w:t>
            </w:r>
            <w:r w:rsidR="004D3CB6" w:rsidRPr="0B44BD26">
              <w:fldChar w:fldCharType="end"/>
            </w:r>
            <w:r w:rsidRPr="0B44BD26">
              <w:rPr>
                <w:rFonts w:ascii="Avenir Next LT Pro" w:eastAsia="Avenir Next LT Pro" w:hAnsi="Avenir Next LT Pro" w:cs="Avenir Next LT Pro"/>
              </w:rPr>
              <w:t>. Las cualidades emocionales del IDS</w:t>
            </w:r>
            <w:r w:rsidR="4339E1EE"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especialmente cuando las madres ajustan su habla al estado afectivo del bebé</w:t>
            </w:r>
            <w:r w:rsidR="4339E1E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se asocian con una mayor sincronía madre-bebé y pueden predecir la comprensión posterior del lenguaje</w:t>
            </w:r>
            <w:r w:rsidR="004D3CB6" w:rsidRPr="0B44BD26">
              <w:fldChar w:fldCharType="begin"/>
            </w:r>
            <w:r w:rsidR="004D3CB6" w:rsidRPr="0B44BD26">
              <w:instrText xml:space="preserve"> ADDIN ZOTERO_ITEM CSL_CITATION {"citationID":"I2AnJft8","properties":{"formattedCitation":"\\super 58,60\\nosupersub{}","plainCitation":"58,60","noteIndex":0},"citationItems":[{"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58,60</w:t>
            </w:r>
            <w:r w:rsidR="004D3CB6" w:rsidRPr="0B44BD26">
              <w:fldChar w:fldCharType="end"/>
            </w:r>
            <w:r w:rsidRPr="0B44BD26">
              <w:rPr>
                <w:rFonts w:ascii="Avenir Next LT Pro" w:eastAsia="Avenir Next LT Pro" w:hAnsi="Avenir Next LT Pro" w:cs="Avenir Next LT Pro"/>
              </w:rPr>
              <w:t>. Un IDS de alta calidad también se relaciona con un mejor estado de ánimo materno y menor estrés parental, mientras que la depresión puede disminuir tanto la cantidad como la expresividad del IDS, afectando potencialmente el vínculo y el desarrollo infantil</w:t>
            </w:r>
            <w:r w:rsidR="004D3CB6" w:rsidRPr="0B44BD26">
              <w:fldChar w:fldCharType="begin"/>
            </w:r>
            <w:r w:rsidR="004D3CB6" w:rsidRPr="0B44BD26">
              <w:instrText xml:space="preserve"> ADDIN ZOTERO_ITEM CSL_CITATION {"citationID":"9nkMBNXt","properties":{"formattedCitation":"\\super 59,63\\nosupersub{}","plainCitation":"59,63","noteIndex":0},"citationItems":[{"id":5721,"uris":["http://zotero.org/users/5937427/items/HK96PUTR"],"itemData":{"id":5721,"type":"article-journal","container-title":"Frontiers in Psychology","DOI":"10.3389/fpsyg.2022.804792","journalAbbreviation":"Frontiers in Psychology","title":"Infant-Directed Speech From a Multidimensional Perspective: The Interplay of Infant Birth Status, Maternal Parenting Stress, and Dyadic Co-regulation on Infant-Directed Speech Linguistic and Pragmatic Features","URL":"https://consensus.app/papers/infantdirected-speech-from-a-multidimensional-spinelli-ponzetti/cfdb3aaa04b45f2087a15d9411d241fb/","volume":"13","author":[{"family":"Spinelli","given":"M."},{"family":"Lionetti","given":"Francesca"},{"family":"Garito","given":"Maria Concetta"},{"family":"Shah","given":"Prachi"},{"family":"Logrieco","given":"Maria Grazia Mada"},{"family":"Ponzetti","given":"Silvia"},{"family":"Cicioni","given":"P."},{"family":"Di Valerio","given":"S."},{"family":"Fasolo","given":"M."}],"issued":{"date-parts":[["2022",5,9]]},"citation-key":"spinelliInfantDirectedSpeechMultidimensional2022"}},{"id":5723,"uris":["http://zotero.org/users/5937427/items/22K32NWV"],"itemData":{"id":5723,"type":"article-journal","container-title":"PLoS ONE","DOI":"10.1371/journal.pone.0236787","journalAbbreviation":"PLoS ONE","title":"Effect of maternal depression on infant-directed speech to prelinguistic infants: Implications for language development","URL":"https://consensus.app/papers/effect-of-maternal-depression-on-infantdirected-speech-to-kohlhoff-lam-cassettari/baf8bb3ec4925689a6518fb00672120a/","volume":"15","author":[{"family":"Lam-Cassettari","given":"C."},{"family":"Kohlhoff","given":"J."}],"issued":{"date-parts":[["2020",7,30]]},"citation-key":"lam-cassettariEffectMaternalDepression2020"}}],"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59,63</w:t>
            </w:r>
            <w:r w:rsidR="004D3CB6" w:rsidRPr="0B44BD26">
              <w:fldChar w:fldCharType="end"/>
            </w:r>
            <w:r w:rsidRPr="0B44BD26">
              <w:rPr>
                <w:rFonts w:ascii="Avenir Next LT Pro" w:eastAsia="Avenir Next LT Pro" w:hAnsi="Avenir Next LT Pro" w:cs="Avenir Next LT Pro"/>
              </w:rPr>
              <w:t>. Si bien madres y padres usan IDS, las madres tienden a ofrecer un habla más emocionalmente afinada, lo que refuerza el sentido de seguridad del bebé</w:t>
            </w:r>
            <w:r w:rsidR="004D3CB6" w:rsidRPr="0B44BD26">
              <w:fldChar w:fldCharType="begin"/>
            </w:r>
            <w:r w:rsidR="004D3CB6" w:rsidRPr="0B44BD26">
              <w:instrText xml:space="preserve"> ADDIN ZOTERO_ITEM CSL_CITATION {"citationID":"hsQZrrj5","properties":{"formattedCitation":"\\super 64\\nosupersub{}","plainCitation":"64","noteIndex":0},"citationItems":[{"id":5722,"uris":["http://zotero.org/users/5937427/items/BZRBF6NN"],"itemData":{"id":5722,"type":"article-journal","container-title":"Early Child Development and Care","DOI":"10.1080/03004430.2017.1423482","journalAbbreviation":"Early Child Development and Care","page":"1925-1942","title":"Structural variations, quantitative differences and similarities between maternal and paternal infant-directed speech","URL":"https://consensus.app/papers/structural-variations-quantitative-differences-and-kokkinaki/c6a99160e9cd599286608ec51bf0d102/","volume":"189","author":[{"family":"Kokkinaki","given":"T."}],"issued":{"date-parts":[["2019",10,15]]},"citation-key":"kokkinakiStructuralVariationsQuantitative2019"}}],"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64</w:t>
            </w:r>
            <w:r w:rsidR="004D3CB6" w:rsidRPr="0B44BD26">
              <w:fldChar w:fldCharType="end"/>
            </w:r>
            <w:r w:rsidRPr="0B44BD26">
              <w:rPr>
                <w:rFonts w:ascii="Avenir Next LT Pro" w:eastAsia="Avenir Next LT Pro" w:hAnsi="Avenir Next LT Pro" w:cs="Avenir Next LT Pro"/>
              </w:rPr>
              <w:t>. El IDS no solo apoya el desarrollo del lenguaje, sino que también fortalece el vínculo afectivo y social entre madre e hijo</w:t>
            </w:r>
            <w:r w:rsidR="004D3CB6" w:rsidRPr="0B44BD26">
              <w:fldChar w:fldCharType="begin"/>
            </w:r>
            <w:r w:rsidR="004D3CB6" w:rsidRPr="0B44BD26">
              <w:instrText xml:space="preserve"> ADDIN ZOTERO_ITEM CSL_CITATION {"citationID":"XN5qOXY9","properties":{"formattedCitation":"\\super 57,58,60\\nosupersub{}","plainCitation":"57,58,60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57,58,60</w:t>
            </w:r>
            <w:r w:rsidR="004D3CB6" w:rsidRPr="0B44BD26">
              <w:fldChar w:fldCharType="end"/>
            </w:r>
            <w:r w:rsidR="7B1A830E" w:rsidRPr="0B44BD26">
              <w:rPr>
                <w:rFonts w:ascii="Avenir Next LT Pro" w:eastAsia="Avenir Next LT Pro" w:hAnsi="Avenir Next LT Pro" w:cs="Avenir Next LT Pro"/>
              </w:rPr>
              <w:t>.</w:t>
            </w:r>
          </w:p>
          <w:p w14:paraId="18584698" w14:textId="7ECD4CA9" w:rsidR="004D3CB6" w:rsidRPr="00972F4D"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Diversos estudios han demostrado que el IDS también cumple un rol crucial en la adquisición del lenguaje, al captar la atención del bebé, facilitar la segmentación de palabras en el flujo continuo del habla y apoyar el aprendizaje temprano del vocabulario, especialmente en los primeros años de vida, cuando los niños son más sensibles al input lingüístico</w:t>
            </w:r>
            <w:r w:rsidR="004D3CB6" w:rsidRPr="0B44BD26">
              <w:fldChar w:fldCharType="begin"/>
            </w:r>
            <w:r w:rsidR="004D3CB6" w:rsidRPr="0B44BD26">
              <w:instrText xml:space="preserve"> ADDIN ZOTERO_ITEM CSL_CITATION {"citationID":"v9jx7LCE","properties":{"formattedCitation":"\\super 6,8,65\\nosupersub{}","plainCitation":"6,8,65","noteIndex":0},"citationItems":[{"id":3096,"uris":["http://zotero.org/users/5937427/items/N3YUS5LE"],"itemData":{"id":3096,"type":"article-journal","abstract":"There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5743,"uris":["http://zotero.org/users/5937427/items/KF74IKGP"],"itemData":{"id":5743,"type":"article-journal","container-title":"Language Learning and Development","DOI":"10.1080/15475441.2011.579839","journalAbbreviation":"Language Learning and Development","page":"185-201","title":"Word Learning in Infant- and Adult-Directed Speech","URL":"https://consensus.app/papers/word-learning-in-infant-and-adultdirected-speech-ma-hirsh-pasek/95c74863b3705f2ca3eca4dddc4562a6/","volume":"7","author":[{"literal":"Weiyi"},{"family":"Golinkoff","given":"R."},{"family":"Houston","given":"D."},{"family":"Hirsh-Pasek","given":"K."}],"issued":{"date-parts":[["2011",7,1]]},"citation-key":"weiyiWordLearningInfant2011"}}],"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6,8,65</w:t>
            </w:r>
            <w:r w:rsidR="004D3CB6" w:rsidRPr="0B44BD26">
              <w:fldChar w:fldCharType="end"/>
            </w:r>
            <w:r w:rsidRPr="0B44BD26">
              <w:rPr>
                <w:rFonts w:ascii="Avenir Next LT Pro" w:eastAsia="Avenir Next LT Pro" w:hAnsi="Avenir Next LT Pro" w:cs="Avenir Next LT Pro"/>
              </w:rPr>
              <w:t>. Al amplificar señales prosódicas como el tono y el ritmo, el IDS permite a los bebés procesar el habla de forma más efectiva, tanto a nivel conductual como neural, facilitando la identificación de los límites de las palabras y su asociación con significados</w:t>
            </w:r>
            <w:r w:rsidR="004D3CB6" w:rsidRPr="0B44BD26">
              <w:fldChar w:fldCharType="begin"/>
            </w:r>
            <w:r w:rsidR="004D3CB6" w:rsidRPr="0B44BD26">
              <w:instrText xml:space="preserve"> ADDIN ZOTERO_ITEM CSL_CITATION {"citationID":"WjU98GN7","properties":{"formattedCitation":"\\super 62,66,67\\nosupersub{}","plainCitation":"62,66,67","noteIndex":0},"citationItems":[{"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id":5746,"uris":["http://zotero.org/users/5937427/items/U2H5ZQ7M"],"itemData":{"id":5746,"type":"article-journal","container-title":"Developmental science","DOI":"10.1111/desc.13424","journalAbbreviation":"Developmental science","title":"Infant-directed speech facilitates word learning through attentional mechanisms: An fNIRS study of toddlers.","URL":"https://consensus.app/papers/infantdirected-speech-facilitates-word-learning-through-wang-zhou/53e575be079d5b94b489a399d00680be/","author":[{"family":"Zhou","given":"Xin"},{"family":"Wang","given":"Luchang"},{"family":"Hong","given":"Xuancu"},{"family":"Wong","given":"P."}],"issued":{"date-parts":[["2023",6,15]]},"citation-key":"zhouInfantdirectedSpeechFacilitates2023"}},{"id":5744,"uris":["http://zotero.org/users/5937427/items/4LQKQD6T"],"itemData":{"id":5744,"type":"article-journal","container-title":"Developmental Review","DOI":"10.1016/j.dr.2022.101047","journalAbbreviation":"Developmental Review","title":"Understanding why infant-directed speech supports learning: A dynamic attention perspective","URL":"https://consensus.app/papers/understanding-why-infantdirected-speech-supports-lew%E2%80%90williams-nencheva/60211282ca6a578f83c74fddc2ab3622/","author":[{"family":"Nencheva","given":"Mira"},{"family":"Lew‐Williams","given":"C."}],"issued":{"date-parts":[["2022",12,1]]},"citation-key":"nenchevaUnderstandingWhyInfantdirected2022"}}],"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62,66,67</w:t>
            </w:r>
            <w:r w:rsidR="004D3CB6" w:rsidRPr="0B44BD26">
              <w:fldChar w:fldCharType="end"/>
            </w:r>
            <w:r w:rsidRPr="0B44BD26">
              <w:rPr>
                <w:rFonts w:ascii="Avenir Next LT Pro" w:eastAsia="Avenir Next LT Pro" w:hAnsi="Avenir Next LT Pro" w:cs="Avenir Next LT Pro"/>
              </w:rPr>
              <w:t>. Estos beneficios se extienden también a niños con pérdida auditiva, al optimizar su entorno lingüístico temprano y mitigar posibles retrasos en el desarrollo del lenguaje</w:t>
            </w:r>
            <w:r w:rsidR="004D3CB6" w:rsidRPr="0B44BD26">
              <w:fldChar w:fldCharType="begin"/>
            </w:r>
            <w:r w:rsidR="004D3CB6" w:rsidRPr="0B44BD26">
              <w:instrText xml:space="preserve"> ADDIN ZOTERO_ITEM CSL_CITATION {"citationID":"UhsPIhI8","properties":{"formattedCitation":"\\super 68\\nosupersub{}","plainCitation":"68","noteIndex":0},"citationItems":[{"id":5742,"uris":["http://zotero.org/users/5937427/items/PWQZM5AQ"],"itemData":{"id":5742,"type":"article-journal","container-title":"Infant behavior &amp; development","DOI":"10.1016/j.infbeh.2022.101699","journalAbbreviation":"Infant behavior &amp; development","page":"101699","title":"Language development in infants with hearing loss: Benefits of infant-directed speech.","URL":"https://consensus.app/papers/language-development-in-infants-with-hearing-loss-burnham-lovcevic/79885285f9e5583b8a4ea1b0533866f2/","volume":"67","author":[{"family":"Lov</w:instrText>
            </w:r>
            <w:r w:rsidR="004D3CB6" w:rsidRPr="0B44BD26">
              <w:rPr>
                <w:rFonts w:ascii="Calibri" w:hAnsi="Calibri" w:cs="Calibri"/>
              </w:rPr>
              <w:instrText>č</w:instrText>
            </w:r>
            <w:r w:rsidR="004D3CB6" w:rsidRPr="0B44BD26">
              <w:instrText>evi</w:instrText>
            </w:r>
            <w:r w:rsidR="004D3CB6" w:rsidRPr="0B44BD26">
              <w:rPr>
                <w:rFonts w:ascii="Calibri" w:hAnsi="Calibri" w:cs="Calibri"/>
              </w:rPr>
              <w:instrText>ć</w:instrText>
            </w:r>
            <w:r w:rsidR="004D3CB6" w:rsidRPr="0B44BD26">
              <w:instrText xml:space="preserve">","given":"Irena"},{"family":"Burnham","given":"D."},{"family":"Kalashnikova","given":"M."}],"issued":{"date-parts":[["2022",1,30]]},"citation-key":"lovcevicLanguageDevelopmentInfants2022"}}],"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68</w:t>
            </w:r>
            <w:r w:rsidR="004D3CB6" w:rsidRPr="0B44BD26">
              <w:fldChar w:fldCharType="end"/>
            </w:r>
            <w:r w:rsidRPr="0B44BD26">
              <w:rPr>
                <w:rFonts w:ascii="Avenir Next LT Pro" w:eastAsia="Avenir Next LT Pro" w:hAnsi="Avenir Next LT Pro" w:cs="Avenir Next LT Pro"/>
              </w:rPr>
              <w:t>. Además, su naturaleza emocionalmente rica fomenta la interacción social y la sensibilidad del cuidador, estableciendo una base comunicativa incluso antes de que el bebé empiece a hablar</w:t>
            </w:r>
            <w:r w:rsidR="004D3CB6" w:rsidRPr="0B44BD26">
              <w:fldChar w:fldCharType="begin"/>
            </w:r>
            <w:r w:rsidR="004D3CB6" w:rsidRPr="0B44BD26">
              <w:instrText xml:space="preserve"> ADDIN ZOTERO_ITEM CSL_CITATION {"citationID":"ExyA0thD","properties":{"formattedCitation":"\\super 8,69\\nosupersub{}","plainCitation":"8,69","noteIndex":0},"citationItems":[{"id":978,"uris":["http://zotero.org/users/5937427/items/86UYSABL"],"itemData":{"id":978,"type":"article-journal","abstract":"Since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979,"uris":["http://zotero.org/users/5937427/items/64PBC9N6"],"itemData":{"id":979,"type":"article-journal","abstract":"Over the first year of life, infant perception changes radically as the child learns the phonology of the ambient language from the speech she is exposed to. Since infant-directed speech attracts the child's attention more than other registers, it is necessary to describe that input in order to understand language development, and to address questions of learnability. In this review, evidence from corpora analyses, experimental studies, and observational paradigms is brought together to outline the first comprehensive empirical picture of infant-directed speech and its effects on language acquisition. The ensuing landscape suggests that infant-directed speech provides an emotionally and linguistically rich input to language acquisition.","container-title":"Language and Linguistics Compass","DOI":"10.1111/lnc3.12015","ISSN":"1749-818X","issue":"3","language":"en","note":"_eprint: https://onlinelibrary.wiley.com/doi/pdf/10.1111/lnc3.12015","page":"157-170","source":"Wiley Online Library","title":"Input to Language: The Phonetics and Perception of Infant-Directed Speech","title-short":"Input to Language","URL":"https://onlinelibrary.wiley.com/doi/abs/10.1111/lnc3.12015","volume":"7","author":[{"family":"Cristia","given":"Alejandrina"}],"accessed":{"date-parts":[["2023",5,4]]},"issued":{"date-parts":[["2013"]]},"citation-key":"cristiaInputLanguagePhonetics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8,69</w:t>
            </w:r>
            <w:r w:rsidR="004D3CB6" w:rsidRPr="0B44BD26">
              <w:fldChar w:fldCharType="end"/>
            </w:r>
            <w:r w:rsidRPr="0B44BD26">
              <w:rPr>
                <w:rFonts w:ascii="Avenir Next LT Pro" w:eastAsia="Avenir Next LT Pro" w:hAnsi="Avenir Next LT Pro" w:cs="Avenir Next LT Pro"/>
              </w:rPr>
              <w:t>. Aunque su uso disminuye a medida que el lenguaje se desarrolla, su presencia temprana se asocia con mejores resultados lingüísticos</w:t>
            </w:r>
            <w:r w:rsidR="004D3CB6" w:rsidRPr="0B44BD26">
              <w:fldChar w:fldCharType="begin"/>
            </w:r>
            <w:r w:rsidR="004D3CB6" w:rsidRPr="0B44BD26">
              <w:instrText xml:space="preserve"> ADDIN ZOTERO_ITEM CSL_CITATION {"citationID":"66u7oOQ5","properties":{"formattedCitation":"\\super 65\\nosupersub{}","plainCitation":"65","noteIndex":0},"citationItems":[{"id":5743,"uris":["http://zotero.org/users/5937427/items/KF74IKGP"],"itemData":{"id":5743,"type":"article-journal","container-title":"Language Learning and Development","DOI":"10.1080/15475441.2011.579839","journalAbbreviation":"Language Learning and Development","page":"185-201","title":"Word Learning in Infant- and Adult-Directed Speech","URL":"https://consensus.app/papers/word-learning-in-infant-and-adultdirected-speech-ma-hirsh-pasek/95c74863b3705f2ca3eca4dddc4562a6/","volume":"7","author":[{"literal":"Weiyi"},{"family":"Golinkoff","given":"R."},{"family":"Houston","given":"D."},{"family":"Hirsh-Pasek","given":"K."}],"issued":{"date-parts":[["2011",7,1]]},"citation-key":"weiyiWordLearningInfant2011"}}],"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65</w:t>
            </w:r>
            <w:r w:rsidR="004D3CB6" w:rsidRPr="0B44BD26">
              <w:fldChar w:fldCharType="end"/>
            </w:r>
            <w:r w:rsidRPr="0B44BD26">
              <w:rPr>
                <w:rFonts w:ascii="Avenir Next LT Pro" w:eastAsia="Avenir Next LT Pro" w:hAnsi="Avenir Next LT Pro" w:cs="Avenir Next LT Pro"/>
              </w:rPr>
              <w:t>.</w:t>
            </w:r>
          </w:p>
          <w:p w14:paraId="1101793B" w14:textId="1B6AA1EF" w:rsidR="007625EB" w:rsidRPr="004D3CB6"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también desempeña un rol clave en la regulación emocional del bebé. Cuando las madres utilizan una prosodia típica del IDS</w:t>
            </w:r>
            <w:r w:rsidR="03B13B3C"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marcada por amplia variabilidad tonal</w:t>
            </w:r>
            <w:r w:rsidR="03B13B3C"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junto con sensibilidad emocional, los bebés logran regular mejor sus emociones negativas</w:t>
            </w:r>
            <w:r w:rsidR="004D3CB6" w:rsidRPr="0B44BD26">
              <w:fldChar w:fldCharType="begin"/>
            </w:r>
            <w:r w:rsidR="004D3CB6" w:rsidRPr="0B44BD26">
              <w:instrText xml:space="preserve"> ADDIN ZOTERO_ITEM CSL_CITATION {"citationID":"fYcVHlCp","properties":{"formattedCitation":"\\super 70\\nosupersub{}","plainCitation":"70","noteIndex":0},"citationItems":[{"id":5758,"uris":["http://zotero.org/users/5937427/items/964D2RQ4"],"itemData":{"id":5758,"type":"article-journal","container-title":"Infancy","DOI":"10.1111/INFA.12237","journalAbbreviation":"Infancy","page":"502-518","title":"The Regulation of Infant Negative Emotions: The Role of Maternal Sensitivity and Infant‐Directed Speech Prosody","URL":"https://consensus.app/papers/the-regulation-of-infant-negative-emotions-the-role-of-mesman-spinelli/5e3712380b205f92922a877801edeb77/","volume":"23","author":[{"family":"Spinelli","given":"Maria"},{"family":"Mesman","given":"J."}],"issued":{"date-parts":[["2018",7,1]]},"citation-key":"spinelliRegulationInfantNegative2018"}}],"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70</w:t>
            </w:r>
            <w:r w:rsidR="004D3CB6" w:rsidRPr="0B44BD26">
              <w:fldChar w:fldCharType="end"/>
            </w:r>
            <w:r w:rsidRPr="0B44BD26">
              <w:rPr>
                <w:rFonts w:ascii="Avenir Next LT Pro" w:eastAsia="Avenir Next LT Pro" w:hAnsi="Avenir Next LT Pro" w:cs="Avenir Next LT Pro"/>
              </w:rPr>
              <w:t>, especialmente en situaciones estresantes como el paradigma de la “cara inmóvil” (</w:t>
            </w:r>
            <w:proofErr w:type="spellStart"/>
            <w:r w:rsidRPr="0B44BD26">
              <w:rPr>
                <w:rFonts w:ascii="Avenir Next LT Pro" w:eastAsia="Avenir Next LT Pro" w:hAnsi="Avenir Next LT Pro" w:cs="Avenir Next LT Pro"/>
              </w:rPr>
              <w:t>Still-Face</w:t>
            </w:r>
            <w:proofErr w:type="spellEnd"/>
            <w:r w:rsidRPr="0B44BD26">
              <w:rPr>
                <w:rFonts w:ascii="Avenir Next LT Pro" w:eastAsia="Avenir Next LT Pro" w:hAnsi="Avenir Next LT Pro" w:cs="Avenir Next LT Pro"/>
              </w:rPr>
              <w:t xml:space="preserve"> </w:t>
            </w:r>
            <w:proofErr w:type="spellStart"/>
            <w:r w:rsidRPr="0B44BD26">
              <w:rPr>
                <w:rFonts w:ascii="Avenir Next LT Pro" w:eastAsia="Avenir Next LT Pro" w:hAnsi="Avenir Next LT Pro" w:cs="Avenir Next LT Pro"/>
              </w:rPr>
              <w:t>Paradigm</w:t>
            </w:r>
            <w:proofErr w:type="spellEnd"/>
            <w:r w:rsidRPr="0B44BD26">
              <w:rPr>
                <w:rFonts w:ascii="Avenir Next LT Pro" w:eastAsia="Avenir Next LT Pro" w:hAnsi="Avenir Next LT Pro" w:cs="Avenir Next LT Pro"/>
              </w:rPr>
              <w:t>). No obstante, el IDS por sí solo resulta menos eficaz sin sensibilidad materna, lo cual subraya la importancia conjunta de las señales vocales y conductuales</w:t>
            </w:r>
            <w:r w:rsidR="004D3CB6" w:rsidRPr="0B44BD26">
              <w:fldChar w:fldCharType="begin"/>
            </w:r>
            <w:r w:rsidR="004D3CB6" w:rsidRPr="0B44BD26">
              <w:instrText xml:space="preserve"> ADDIN ZOTERO_ITEM CSL_CITATION {"citationID":"E8Juh9nE","properties":{"formattedCitation":"\\super 70\\nosupersub{}","plainCitation":"70","noteIndex":0},"citationItems":[{"id":5758,"uris":["http://zotero.org/users/5937427/items/964D2RQ4"],"itemData":{"id":5758,"type":"article-journal","container-title":"Infancy","DOI":"10.1111/INFA.12237","journalAbbreviation":"Infancy","page":"502-518","title":"The Regulation of Infant Negative Emotions: The Role of Maternal Sensitivity and Infant‐Directed Speech Prosody","URL":"https://consensus.app/papers/the-regulation-of-infant-negative-emotions-the-role-of-mesman-spinelli/5e3712380b205f92922a877801edeb77/","volume":"23","author":[{"family":"Spinelli","given":"Maria"},{"family":"Mesman","given":"J."}],"issued":{"date-parts":[["2018",7,1]]},"citation-key":"spinelliRegulationInfantNegative2018"}}],"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70</w:t>
            </w:r>
            <w:r w:rsidR="004D3CB6" w:rsidRPr="0B44BD26">
              <w:fldChar w:fldCharType="end"/>
            </w:r>
            <w:r w:rsidRPr="0B44BD26">
              <w:rPr>
                <w:rFonts w:ascii="Avenir Next LT Pro" w:eastAsia="Avenir Next LT Pro" w:hAnsi="Avenir Next LT Pro" w:cs="Avenir Next LT Pro"/>
              </w:rPr>
              <w:t xml:space="preserve">. En comparación con el habla dirigida a adultos, el IDS comunica niveles más altos de activación emocional y valencia positiva, y esta expresividad permanece estable durante los primeros 18 </w:t>
            </w:r>
            <w:r w:rsidRPr="0B44BD26">
              <w:rPr>
                <w:rFonts w:ascii="Avenir Next LT Pro" w:eastAsia="Avenir Next LT Pro" w:hAnsi="Avenir Next LT Pro" w:cs="Avenir Next LT Pro"/>
              </w:rPr>
              <w:lastRenderedPageBreak/>
              <w:t>meses</w:t>
            </w:r>
            <w:r w:rsidR="004D3CB6" w:rsidRPr="0B44BD26">
              <w:fldChar w:fldCharType="begin"/>
            </w:r>
            <w:r w:rsidR="004D3CB6" w:rsidRPr="0B44BD26">
              <w:instrText xml:space="preserve"> ADDIN ZOTERO_ITEM CSL_CITATION {"citationID":"XrCdf1xD","properties":{"formattedCitation":"\\super 71,72\\nosupersub{}","plainCitation":"71,72","noteIndex":0},"citationItems":[{"id":5759,"uris":["http://zotero.org/users/5937427/items/56SHS3Q2"],"itemData":{"id":5759,"type":"article-journal","container-title":"Speech Prosody 2022","DOI":"10.21437/speechprosody.2022-120","journalAbbreviation":"Speech Prosody 2022","title":"Perceived emotions in infant-directed narrative across time and speech acts","URL":"https://consensus.app/papers/perceived-emotions-in-infantdirected-narrative-across-gyuris-m%C3%A1dy/8c30ab41c5ad541a972cfbb14905385f/","author":[{"family":"Mády","given":"K."},{"family":"Gyuris","given":"Beáta"},{"family":"Gärtner","given":"Hans-Martin"},{"family":"Kohári","given":"Anna"},{"family":"Szalontai","given":"Ádám"},{"family":"Reichel","given":"U."}],"issued":{"date-parts":[["2022",5,23]]},"citation-key":"madyPerceivedEmotionsInfantdirected2022"}},{"id":5729,"uris":["http://zotero.org/users/5937427/items/3A2ZXYTW"],"itemData":{"id":5729,"type":"article-journal","container-title":"Language Learning and Development","DOI":"10.1080/15475441.2023.2239801","journalAbbreviation":"Language Learning and Development","page":"145-157","title":"Affect in Infant-Directed Speech of Swedish-Speaking Mothers and Fathers to 3-, 6-, 9-, and 12-Month-Old Infants","URL":"https://consensus.app/papers/affect-in-infantdirected-speech-of-swedishspeaking-gustavsson-schwarz/73b0f5d005ed5928b53f4a79fcf62ef3/","volume":"20","author":[{"family":"Schwarz","given":"I."},{"family":"Marklund","given":"Ellen"},{"family":"Marklund","given":"Ulrika"},{"family":"Gustavsson","given":"Lisa"},{"family":"Lam-Cassettari","given":"C."}],"issued":{"date-parts":[["2023",8,7]]},"citation-key":"schwarzAffectInfantDirectedSpeech2023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71,72</w:t>
            </w:r>
            <w:r w:rsidR="004D3CB6" w:rsidRPr="0B44BD26">
              <w:fldChar w:fldCharType="end"/>
            </w:r>
            <w:r w:rsidRPr="0B44BD26">
              <w:rPr>
                <w:rFonts w:ascii="Avenir Next LT Pro" w:eastAsia="Avenir Next LT Pro" w:hAnsi="Avenir Next LT Pro" w:cs="Avenir Next LT Pro"/>
              </w:rPr>
              <w:t>. Además, aunque tanto el IDS como el canto dirigido a bebés logran captar la atención del infante, el canto —en particular las canciones lúdicas— resulta aún más eficaz para reducir el malestar fisiológico, lo que sugiere que los elementos musicales del IDS también contribuyen a la regulación afectiva</w:t>
            </w:r>
            <w:r w:rsidR="004D3CB6" w:rsidRPr="0B44BD26">
              <w:fldChar w:fldCharType="begin"/>
            </w:r>
            <w:r w:rsidR="004D3CB6" w:rsidRPr="0B44BD26">
              <w:instrText xml:space="preserve"> ADDIN ZOTERO_ITEM CSL_CITATION {"citationID":"CWnf55tt","properties":{"formattedCitation":"\\super 73,74\\nosupersub{}","plainCitation":"73,74","noteIndex":0},"citationItems":[{"id":5760,"uris":["http://zotero.org/users/5937427/items/6DR5UD8Z"],"itemData":{"id":5760,"type":"article-journal","DOI":"10.32920/ryerson.14645832","title":"Emotion regulation in infants using maternal singing and speech","URL":"https://consensus.app/papers/emotion-regulation-in-infants-using-maternal-singing-and-ghazban/92c153664ff05314a2f0a4ccc4d3fec7/","author":[{"family":"Ghazban","given":"Niusha"}],"issued":{"date-parts":[["2021",5,22]]},"citation-key":"ghazbanEmotionRegulationInfants2021"}},{"id":5762,"uris":["http://zotero.org/users/5937427/items/S8MPRNJX"],"itemData":{"id":5762,"type":"article-journal","container-title":"Infancy","DOI":"10.1111/INFA.12114","journalAbbreviation":"Infancy","page":"373-391","title":"Singing Delays the Onset of Infant Distress","URL":"https://consensus.app/papers/singing-delays-the-onset-of-infant-distress-peretz-trehub/d8e2fa08db05517584694058138582df/","volume":"21","author":[{"family":"Corbeil","given":"Mariève"},{"family":"Trehub","given":"S."},{"family":"Peretz","given":"I."}],"issued":{"date-parts":[["2016",5,1]]},"citation-key":"corbeilSingingDelaysOnset2016"}}],"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73,74</w:t>
            </w:r>
            <w:r w:rsidR="004D3CB6" w:rsidRPr="0B44BD26">
              <w:fldChar w:fldCharType="end"/>
            </w:r>
            <w:r w:rsidRPr="0B44BD26">
              <w:rPr>
                <w:rFonts w:ascii="Avenir Next LT Pro" w:eastAsia="Avenir Next LT Pro" w:hAnsi="Avenir Next LT Pro" w:cs="Avenir Next LT Pro"/>
              </w:rPr>
              <w:t>. El IDS no destaca únicamente por sus propiedades acústicas, sino porque los cuidadores expresan emociones con mayor libertad hacia los bebés, convirtiéndolo en una poderosa herramienta de comunicación emocional</w:t>
            </w:r>
            <w:r w:rsidR="004D3CB6" w:rsidRPr="0B44BD26">
              <w:fldChar w:fldCharType="begin"/>
            </w:r>
            <w:r w:rsidR="004D3CB6" w:rsidRPr="0B44BD26">
              <w:instrText xml:space="preserve"> ADDIN ZOTERO_ITEM CSL_CITATION {"citationID":"TunJURCv","properties":{"formattedCitation":"\\super 75\\nosupersub{}","plainCitation":"75","noteIndex":0},"citationItems":[{"id":794,"uris":["http://zotero.org/users/5937427/items/X4ZE6SDL"],"itemData":{"id":794,"type":"article-journal","abstract":"Many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75</w:t>
            </w:r>
            <w:r w:rsidR="004D3CB6" w:rsidRPr="0B44BD26">
              <w:fldChar w:fldCharType="end"/>
            </w:r>
            <w:r w:rsidRPr="0B44BD26">
              <w:rPr>
                <w:rFonts w:ascii="Avenir Next LT Pro" w:eastAsia="Avenir Next LT Pro" w:hAnsi="Avenir Next LT Pro" w:cs="Avenir Next LT Pro"/>
              </w:rPr>
              <w:t>. Así, el IDS responde no solo a necesidades cognitivas y lingüísticas, sino también afectivas, proporcionando al bebé claves emocionales y una sensación de seguridad durante las interacciones tempranas</w:t>
            </w:r>
            <w:r w:rsidR="004D3CB6" w:rsidRPr="0B44BD26">
              <w:fldChar w:fldCharType="begin"/>
            </w:r>
            <w:r w:rsidR="004D3CB6" w:rsidRPr="0B44BD26">
              <w:instrText xml:space="preserve"> ADDIN ZOTERO_ITEM CSL_CITATION {"citationID":"UiekPvvk","properties":{"formattedCitation":"\\super 60,70,72\\nosupersub{}","plainCitation":"60,70,72","noteIndex":0},"citationItems":[{"id":5646,"uris":["http://zotero.org/users/5937427/items/MDYPRGD9","http://zotero.org/users/5937427/items/YMUU3J8D"],"itemData":{"id":5646,"type":"article-journal","abstract":"Various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id":5758,"uris":["http://zotero.org/users/5937427/items/964D2RQ4"],"itemData":{"id":5758,"type":"article-journal","container-title":"Infancy","DOI":"10.1111/INFA.12237","journalAbbreviation":"Infancy","page":"502-518","title":"The Regulation of Infant Negative Emotions: The Role of Maternal Sensitivity and Infant‐Directed Speech Prosody","URL":"https://consensus.app/papers/the-regulation-of-infant-negative-emotions-the-role-of-mesman-spinelli/5e3712380b205f92922a877801edeb77/","volume":"23","author":[{"family":"Spinelli","given":"Maria"},{"family":"Mesman","given":"J."}],"issued":{"date-parts":[["2018",7,1]]},"citation-key":"spinelliRegulationInfantNegative2018"}},{"id":5729,"uris":["http://zotero.org/users/5937427/items/3A2ZXYTW"],"itemData":{"id":5729,"type":"article-journal","container-title":"Language Learning and Development","DOI":"10.1080/15475441.2023.2239801","journalAbbreviation":"Language Learning and Development","page":"145-157","title":"Affect in Infant-Directed Speech of Swedish-Speaking Mothers and Fathers to 3-, 6-, 9-, and 12-Month-Old Infants","URL":"https://consensus.app/papers/affect-in-infantdirected-speech-of-swedishspeaking-gustavsson-schwarz/73b0f5d005ed5928b53f4a79fcf62ef3/","volume":"20","author":[{"family":"Schwarz","given":"I."},{"family":"Marklund","given":"Ellen"},{"family":"Marklund","given":"Ulrika"},{"family":"Gustavsson","given":"Lisa"},{"family":"Lam-Cassettari","given":"C."}],"issued":{"date-parts":[["2023",8,7]]},"citation-key":"schwarzAffectInfantDirectedSpeech2023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60,70,72</w:t>
            </w:r>
            <w:r w:rsidR="004D3CB6" w:rsidRPr="0B44BD26">
              <w:fldChar w:fldCharType="end"/>
            </w:r>
            <w:r w:rsidRPr="0B44BD26">
              <w:rPr>
                <w:rFonts w:ascii="Avenir Next LT Pro" w:eastAsia="Avenir Next LT Pro" w:hAnsi="Avenir Next LT Pro" w:cs="Avenir Next LT Pro"/>
              </w:rPr>
              <w:t>.</w:t>
            </w:r>
          </w:p>
          <w:p w14:paraId="1269F775" w14:textId="79765FB8" w:rsidR="000B2E1E"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No obstante,</w:t>
            </w:r>
            <w:r w:rsidR="6B5B651F" w:rsidRPr="0B44BD26">
              <w:rPr>
                <w:rFonts w:ascii="Avenir Next LT Pro" w:eastAsia="Avenir Next LT Pro" w:hAnsi="Avenir Next LT Pro" w:cs="Avenir Next LT Pro"/>
              </w:rPr>
              <w:t xml:space="preserve"> los estudios sobre modulación vocal </w:t>
            </w:r>
            <w:proofErr w:type="spellStart"/>
            <w:r w:rsidR="6B5B651F" w:rsidRPr="0B44BD26">
              <w:rPr>
                <w:rFonts w:ascii="Avenir Next LT Pro" w:eastAsia="Avenir Next LT Pro" w:hAnsi="Avenir Next LT Pro" w:cs="Avenir Next LT Pro"/>
              </w:rPr>
              <w:t>intra-individual</w:t>
            </w:r>
            <w:proofErr w:type="spellEnd"/>
            <w:r w:rsidR="6B5B651F" w:rsidRPr="0B44BD26">
              <w:rPr>
                <w:rFonts w:ascii="Avenir Next LT Pro" w:eastAsia="Avenir Next LT Pro" w:hAnsi="Avenir Next LT Pro" w:cs="Avenir Next LT Pro"/>
              </w:rPr>
              <w:t xml:space="preserve"> en contextos funcionales como el IDS, siguen siendo sorprendentemente escasos</w:t>
            </w:r>
            <w:r w:rsidR="128EA788" w:rsidRPr="0B44BD26">
              <w:rPr>
                <w:rFonts w:ascii="Avenir Next LT Pro" w:eastAsia="Avenir Next LT Pro" w:hAnsi="Avenir Next LT Pro" w:cs="Avenir Next LT Pro"/>
              </w:rPr>
              <w:t xml:space="preserve"> en relación a su trascendencia</w:t>
            </w:r>
            <w:r w:rsidR="00077BF3" w:rsidRPr="0B44BD26">
              <w:fldChar w:fldCharType="begin"/>
            </w:r>
            <w:r w:rsidR="00077BF3" w:rsidRPr="0B44BD26">
              <w:instrText xml:space="preserve"> ADDIN ZOTERO_ITEM CSL_CITATION {"citationID":"KnoME6pn","properties":{"formattedCitation":"\\super 24\\nosupersub{}","plainCitation":"24","noteIndex":0},"citationItems":[{"id":1145,"uris":["http://zotero.org/users/5937427/items/JI262P3S"],"itemData":{"id":1145,"type":"article-journal","abstract":"Research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Sciences","DOI":"10.1098/rstb.2020.0386","ISSN":"0962-8436, 1471-2970","issue":"1840","journalAbbreviation":"Phil. Trans. R. Soc. B","language":"en","license":"Licencia Creative Commons Atribución-NoComercial-NoDerivadas 4.0 Internacional (CC-BY-NC-ND)","note":"tex.ids= leongomezVoiceModulationOrigin2021, leongomezVoiceModulationOrigin2021a","page":"20200386","source":"DOI.org (Crossref)","title":"Voice modulation: from origin and mechanism to social impact","title-short":"Voice modulation","URL":"https://royalsocietypublishing.org/doi/10.1098/rstb.2020.0386","volume":"376","author":[{"family":"Leongómez","given":"Juan David"},{"family":"Pisanski","given":"Katarzyna"},{"family":"Reby","given":"David"},{"family":"Sauter","given":"Disa"},{"family":"Lavan","given":"Nadine"},{"family":"Perlman","given":"Marcus"},{"family":"Varella Valentova","given":"Jaroslava"}],"accessed":{"date-parts":[["2021",11,22]]},"issued":{"date-parts":[["2021",12,20]]},"citation-key":"leongomezVoiceModulationOrigin2021"}}],"schema":"https://github.com/citation-style-language/schema/raw/master/csl-citation.json"}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24</w:t>
            </w:r>
            <w:r w:rsidR="00077BF3" w:rsidRPr="0B44BD26">
              <w:fldChar w:fldCharType="end"/>
            </w:r>
            <w:r w:rsidR="6B5B651F" w:rsidRPr="0B44BD26">
              <w:rPr>
                <w:rFonts w:ascii="Avenir Next LT Pro" w:eastAsia="Avenir Next LT Pro" w:hAnsi="Avenir Next LT Pro" w:cs="Avenir Next LT Pro"/>
              </w:rPr>
              <w:t>. A</w:t>
            </w:r>
            <w:r w:rsidRPr="0B44BD26">
              <w:rPr>
                <w:rFonts w:ascii="Avenir Next LT Pro" w:eastAsia="Avenir Next LT Pro" w:hAnsi="Avenir Next LT Pro" w:cs="Avenir Next LT Pro"/>
              </w:rPr>
              <w:t xml:space="preserve"> pesar de su</w:t>
            </w:r>
            <w:r w:rsidR="2C657EB4" w:rsidRPr="0B44BD26">
              <w:rPr>
                <w:rFonts w:ascii="Avenir Next LT Pro" w:eastAsia="Avenir Next LT Pro" w:hAnsi="Avenir Next LT Pro" w:cs="Avenir Next LT Pro"/>
              </w:rPr>
              <w:t xml:space="preserve"> enorme</w:t>
            </w:r>
            <w:r w:rsidRPr="0B44BD26">
              <w:rPr>
                <w:rFonts w:ascii="Avenir Next LT Pro" w:eastAsia="Avenir Next LT Pro" w:hAnsi="Avenir Next LT Pro" w:cs="Avenir Next LT Pro"/>
              </w:rPr>
              <w:t xml:space="preserve"> relevancia</w:t>
            </w:r>
            <w:r w:rsidR="4AA76E60" w:rsidRPr="0B44BD26">
              <w:rPr>
                <w:rFonts w:ascii="Avenir Next LT Pro" w:eastAsia="Avenir Next LT Pro" w:hAnsi="Avenir Next LT Pro" w:cs="Avenir Next LT Pro"/>
              </w:rPr>
              <w:t xml:space="preserve"> y efectos demostrados en </w:t>
            </w:r>
            <w:r w:rsidR="18DB222A" w:rsidRPr="0B44BD26">
              <w:rPr>
                <w:rFonts w:ascii="Avenir Next LT Pro" w:eastAsia="Avenir Next LT Pro" w:hAnsi="Avenir Next LT Pro" w:cs="Avenir Next LT Pro"/>
              </w:rPr>
              <w:t xml:space="preserve">aspectos tan esenciales </w:t>
            </w:r>
            <w:r w:rsidR="18335755" w:rsidRPr="0B44BD26">
              <w:rPr>
                <w:rFonts w:ascii="Avenir Next LT Pro" w:eastAsia="Avenir Next LT Pro" w:hAnsi="Avenir Next LT Pro" w:cs="Avenir Next LT Pro"/>
              </w:rPr>
              <w:t>d</w:t>
            </w:r>
            <w:r w:rsidR="4AA76E60" w:rsidRPr="0B44BD26">
              <w:rPr>
                <w:rFonts w:ascii="Avenir Next LT Pro" w:eastAsia="Avenir Next LT Pro" w:hAnsi="Avenir Next LT Pro" w:cs="Avenir Next LT Pro"/>
              </w:rPr>
              <w:t>el desarrollo, apego, regulación emocional y adquisición del lenguaje,</w:t>
            </w:r>
            <w:r w:rsidR="61146B4F" w:rsidRPr="0B44BD26">
              <w:rPr>
                <w:rFonts w:ascii="Avenir Next LT Pro" w:eastAsia="Avenir Next LT Pro" w:hAnsi="Avenir Next LT Pro" w:cs="Avenir Next LT Pro"/>
              </w:rPr>
              <w:t xml:space="preserve"> y a que el IDS podría </w:t>
            </w:r>
            <w:r w:rsidR="18335755" w:rsidRPr="0B44BD26">
              <w:rPr>
                <w:rFonts w:ascii="Avenir Next LT Pro" w:eastAsia="Avenir Next LT Pro" w:hAnsi="Avenir Next LT Pro" w:cs="Avenir Next LT Pro"/>
              </w:rPr>
              <w:t xml:space="preserve">incluso </w:t>
            </w:r>
            <w:r w:rsidR="61146B4F" w:rsidRPr="0B44BD26">
              <w:rPr>
                <w:rFonts w:ascii="Avenir Next LT Pro" w:eastAsia="Avenir Next LT Pro" w:hAnsi="Avenir Next LT Pro" w:cs="Avenir Next LT Pro"/>
              </w:rPr>
              <w:t>ofrecer una ventana hacia la comprensión de los orígenes evolutivos del lenguaje y la música</w:t>
            </w:r>
            <w:r w:rsidR="00077BF3" w:rsidRPr="0B44BD26">
              <w:fldChar w:fldCharType="begin"/>
            </w:r>
            <w:r w:rsidR="00077BF3" w:rsidRPr="0B44BD26">
              <w:instrText xml:space="preserve"> ADDIN ZOTERO_ITEM CSL_CITATION {"citationID":"ktxxcBCt","properties":{"formattedCitation":"\\super 10,16,17\\nosupersub{}","plainCitation":"10,16,17","noteIndex":0},"citationItems":[{"id":768,"uris":["http://zotero.org/users/5937427/items/XRE7SQPR"],"itemData":{"id":768,"type":"article-journal","abstract":"In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077BF3" w:rsidRPr="0B44BD26">
              <w:rPr>
                <w:rFonts w:ascii="Calibri" w:hAnsi="Calibri" w:cs="Calibri"/>
              </w:rPr>
              <w:instrText>č</w:instrText>
            </w:r>
            <w:r w:rsidR="00077BF3" w:rsidRPr="0B44BD26">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10,16,17</w:t>
            </w:r>
            <w:r w:rsidR="00077BF3" w:rsidRPr="0B44BD26">
              <w:fldChar w:fldCharType="end"/>
            </w:r>
            <w:r w:rsidR="1449551E" w:rsidRPr="0B44BD26">
              <w:rPr>
                <w:rFonts w:ascii="Avenir Next LT Pro" w:eastAsia="Avenir Next LT Pro" w:hAnsi="Avenir Next LT Pro" w:cs="Avenir Next LT Pro"/>
              </w:rPr>
              <w:t xml:space="preserve">, </w:t>
            </w:r>
            <w:r w:rsidR="05E9E561" w:rsidRPr="0B44BD26">
              <w:rPr>
                <w:rFonts w:ascii="Avenir Next LT Pro" w:eastAsia="Avenir Next LT Pro" w:hAnsi="Avenir Next LT Pro" w:cs="Avenir Next LT Pro"/>
              </w:rPr>
              <w:t>no se han realizado estudios que analicen cómo las características acústicas del IDS influyen en la captación de atención en bebés</w:t>
            </w:r>
            <w:r w:rsidR="62346927" w:rsidRPr="0B44BD26">
              <w:rPr>
                <w:rFonts w:ascii="Avenir Next LT Pro" w:eastAsia="Avenir Next LT Pro" w:hAnsi="Avenir Next LT Pro" w:cs="Avenir Next LT Pro"/>
              </w:rPr>
              <w:t xml:space="preserve"> de modo experimental (y causal)</w:t>
            </w:r>
            <w:r w:rsidR="527593E3" w:rsidRPr="0B44BD26">
              <w:rPr>
                <w:rFonts w:ascii="Avenir Next LT Pro" w:eastAsia="Avenir Next LT Pro" w:hAnsi="Avenir Next LT Pro" w:cs="Avenir Next LT Pro"/>
              </w:rPr>
              <w:t xml:space="preserve">, </w:t>
            </w:r>
            <w:r w:rsidR="1449551E" w:rsidRPr="0B44BD26">
              <w:rPr>
                <w:rFonts w:ascii="Avenir Next LT Pro" w:eastAsia="Avenir Next LT Pro" w:hAnsi="Avenir Next LT Pro" w:cs="Avenir Next LT Pro"/>
              </w:rPr>
              <w:t>ni cómo su uso podría prede</w:t>
            </w:r>
            <w:r w:rsidR="0BF1BD39" w:rsidRPr="0B44BD26">
              <w:rPr>
                <w:rFonts w:ascii="Avenir Next LT Pro" w:eastAsia="Avenir Next LT Pro" w:hAnsi="Avenir Next LT Pro" w:cs="Avenir Next LT Pro"/>
              </w:rPr>
              <w:t xml:space="preserve">cir habilidades </w:t>
            </w:r>
            <w:r w:rsidR="6B5B651F" w:rsidRPr="0B44BD26">
              <w:rPr>
                <w:rFonts w:ascii="Avenir Next LT Pro" w:eastAsia="Avenir Next LT Pro" w:hAnsi="Avenir Next LT Pro" w:cs="Avenir Next LT Pro"/>
              </w:rPr>
              <w:t xml:space="preserve">lingüísticas </w:t>
            </w:r>
            <w:r w:rsidR="0BF1BD39" w:rsidRPr="0B44BD26">
              <w:rPr>
                <w:rFonts w:ascii="Avenir Next LT Pro" w:eastAsia="Avenir Next LT Pro" w:hAnsi="Avenir Next LT Pro" w:cs="Avenir Next LT Pro"/>
              </w:rPr>
              <w:t>posteriores</w:t>
            </w:r>
            <w:r w:rsidR="6B5B651F" w:rsidRPr="0B44BD26">
              <w:rPr>
                <w:rFonts w:ascii="Avenir Next LT Pro" w:eastAsia="Avenir Next LT Pro" w:hAnsi="Avenir Next LT Pro" w:cs="Avenir Next LT Pro"/>
              </w:rPr>
              <w:t xml:space="preserve"> (y quizás musicales). </w:t>
            </w:r>
          </w:p>
          <w:p w14:paraId="7593BF32" w14:textId="230D6800"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vacío es especialmente importante si se considera que el IDS puede reflejar capacidades cognitivas y sociales complejas, y que su estudio puede aportar a nuestra comprensión tanto del desarrollo temprano como de las raíces evolutivas del lenguaje y la musicalidad</w:t>
            </w:r>
            <w:r w:rsidR="00077BF3" w:rsidRPr="0B44BD26">
              <w:fldChar w:fldCharType="begin"/>
            </w:r>
            <w:r w:rsidR="00202498">
              <w:instrText xml:space="preserve"> ADDIN ZOTERO_ITEM CSL_CITATION {"citationID":"4SF14CmR","properties":{"formattedCitation":"\\super 47\\uc0\\u8211{}49,76\\nosupersub{}","plainCitation":"47–49,76","noteIndex":0},"citationItems":[{"id":519,"uris":["http://zotero.org/users/5937427/items/SSLEWPU7"],"itemData":{"id":519,"type":"article-journal","abstract":"I analyze the biological underpinnings of human speech from a comparative perspective. By first identifying mechanisms that are evolutionarily derived relative to other primates, we obtain members of the faculty of language, derived components (FLD). Understanding when and why these evolved is central to understanding the evolution of speech. There is little evidence for human-specific mechanisms in auditory perception, and the hypothesis that speech perception is “special” is poorly supported by comparative data. Regarding speech production, human peripheral vocal anatomy includes several derived characteristics (permanently descended larynx, loss of air sacs), but their importance has been overestimated. In contrast, the central neural mechanisms underlying speech production involve crucial derived characteristics (direct monosynaptic connections from motor cortex to laryngeal motor neurons, derived intracortical dorsal circuitry between auditory and motor regions). Paleo-DNA from fossil hominins provides an exciting new opportunity to determine when these derived speech production mechanisms arose during evolution.","container-title":"Annual Review of Linguistics","DOI":"10.1146/annurev-linguistics-011817-045748","issue":"1","page":"255-279","source":"Annual Reviews","title":"The Biology and Evolution of Speech: A Comparative Analysis","title-short":"The Biology and Evolution of Speech","URL":"https://doi.org/10.1146/annurev-linguistics-011817-045748","volume":"4","author":[{"family":"Fitch","given":"W. Tecumseh"}],"accessed":{"date-parts":[["2019",10,21]]},"issued":{"date-parts":[["2018"]]},"citation-key":"fitchBiologyEvolutionSpeech2018"}},{"id":752,"uris":["http://zotero.org/users/5937427/items/ECRYYEDC"],"itemData":{"id":752,"type":"article-journal","abstract":"Studies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Tecumseh"}],"issued":{"date-parts":[["2006",5]]},"citation-key":"fitchBiologyEvolutionMusic2006"}},{"id":3010,"uris":["http://zotero.org/users/5937427/items/Q6IQET2I"],"itemData":{"id":3010,"type":"article-journal","abstract":"I SUGGEST THAT THE QUESTION of whether music is an adaptation has been overemphasized in recent discussions of the biology and evolution of music, because the subtleties of this question combine with our poor fossil record for musical abilities of extinct hominids to render many of the key facts necessary to answer it empirically inaccessible, for now and perhaps forever. Thus the \"adaptation question\" seems a poor choice as a defining issue for the new but rapidly growing field of biomusicology. This field will be better served if we treat this and similar evolutionary questions as \"intuition pumps\" to help generate testable hypotheses that spur further experimental work on living animals (in both laboratory and field) and humans. In addition to work on music perception, studies of production in animals such as songbirds and humpback whales will play an important role. Finally, I suggest that the distinction between culture and biology made by many in the field creates a false dichotomy: like birdsong learning, human musical ability is better treated as an \"instinct to learns' with biological and cultural aspects intimately intertwined.","container-title":"Music Perception","DOI":"10.1525/mp.2006.24.1.85","ISSN":"07307829","issue":"1","note":"Times cited: 1\ntex.ids= fitchBiologyEvolutionMusic2006\npublisher: University of California Press 2000 Center St., Suite 303, Berkeley, CA 94704-1223 USA journals@ucpress.edu","page":"85-88","title":"On the biology and evolution of music","volume":"24","author":[{"family":"Fitch","given":"W Tecumseh"}],"issued":{"date-parts":[["2006"]]},"citation-key":"fitchBiologyEvolutionMusic2006a"}},{"id":5841,"uris":["http://zotero.org/users/5937427/items/WQM4YX5R","http://zotero.org/users/5937427/items/NESPF2PS"],"itemData":{"id":5841,"type":"chapter","abstract":"The human voice is a rich source of information and an important means of interpersonal communication. Beginning with Darwin (1872), nonverbal vocal communication has long interested evolutionary scientists, and in the last quarter century empirical research on voice production and perception from an evolutionary perspective has increased dramatically. One reason for this surge of interest is that behavioral ecologists and evolutionary psychologists have taken advantage of recent technological improvements in acoustic analysis software as well as sound recording and reproduction devices. More importantly, many voice researchers have recognized that the extraction of biologically relevant information from the vocal channel constitutes a set of adaptive problems widely shared across many species. Evolutionary scientists studying human vocal behavior therefore have a rich theoretical framework and an established comparative basis for developing specific research questions. For any vocal species, including humans, we should expect perceptual adaptations designed to process acoustic features of the vocal sounds of conspecifics (other individuals of the same species). An evolutionary approach provides a framework for specifying the nature of these adaptive perceptual problems. In this chapter, the authors describe recent work focusing on human voice perception from an evolutionary perspective and provide examples of the value of this approach for gaining a full understanding of this fundamental aspect of human behavior.","container-title":"The Oxford Handbook of Voice Studies","ISBN":"978-0-19-998229-5","language":"en","note":"DOI: 10.1093/oxfordhb/9780199982295.013.29","page":"268-300","publisher":"Oxford University Press","source":"DOI.org (Crossref)","title":"The Evolution of Voice Perception","URL":"https://academic.oup.com/edited-volume/28026/chapter/211850056","editor":[{"family":"Eidsheim","given":"Nina Sun"},{"family":"Meizel","given":"Katherine"}],"author":[{"family":"Pisanski","given":"Katarzyna"},{"family":"Bryant","given":"Gregory A."}],"accessed":{"date-parts":[["2025",8,31]]},"issued":{"date-parts":[["2019",7,25]]},"citation-key":"pisanskiEvolutionVoicePerception2019"}}],"schema":"https://github.com/citation-style-language/schema/raw/master/csl-citation.json"}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47–49,76</w:t>
            </w:r>
            <w:r w:rsidR="00077BF3" w:rsidRPr="0B44BD26">
              <w:fldChar w:fldCharType="end"/>
            </w:r>
            <w:r w:rsidRPr="0B44BD26">
              <w:rPr>
                <w:rFonts w:ascii="Avenir Next LT Pro" w:eastAsia="Avenir Next LT Pro" w:hAnsi="Avenir Next LT Pro" w:cs="Avenir Next LT Pro"/>
              </w:rPr>
              <w:t>. A su vez, el IDS permite observar cómo las personas</w:t>
            </w:r>
            <w:r w:rsidR="51107B18"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especialmente las madres y cuidadores</w:t>
            </w:r>
            <w:r w:rsidR="51107B18"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usan intencionalmente su voz para influir en la atención, las emociones y el aprendizaje de los bebés, lo que plantea preguntas fundamentales sobre los mecanismos y efectos de dicha modulación.</w:t>
            </w:r>
          </w:p>
          <w:p w14:paraId="480737CC" w14:textId="2C56B061"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busca avanzar en el conocimiento sobre las funciones y efectos del habla dirigida a bebés (IDS), desde una perspectiva fundamentalmente transdisciplinar que integra aportes de la medicina, la psicología, la biología, la educación, la comunicación, el diseño y el desarrollo de tecnologías de punta. Además, empleará métodos alineados con los principios de la ciencia abierta, lo cual permitirá garantizar la transparencia, la credibilidad y la posibilidad de generalizar los resultados.</w:t>
            </w:r>
          </w:p>
          <w:p w14:paraId="58297269" w14:textId="2C88B7DA"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objetivo central del proyecto es responder la siguiente pregunta de investigación:</w:t>
            </w:r>
          </w:p>
          <w:p w14:paraId="14EB1B41" w14:textId="68DA894A"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¿Cómo influyen las características acústicas del habla dirigida a bebés (IDS) en la atención social temprana y en el desarrollo lingüístico y musical de las y los bebés durante sus primeros años de vida?</w:t>
            </w:r>
          </w:p>
          <w:p w14:paraId="6B1748F0" w14:textId="3299CF16"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 esta pregunta general se derivan varias preguntas más específicas:</w:t>
            </w:r>
          </w:p>
          <w:p w14:paraId="43FFAA9F" w14:textId="1DC0A162" w:rsidR="00A95722" w:rsidRPr="00D51C40" w:rsidRDefault="0A02AFC9" w:rsidP="3FF8FB8C">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¿Qué tipo de modulaciones vocales son preferidas por las y los bebés en etapa prelingüística (</w:t>
            </w:r>
            <w:r w:rsidR="574CA49E" w:rsidRPr="3FF8FB8C">
              <w:rPr>
                <w:rFonts w:ascii="Avenir Next LT Pro" w:eastAsia="Avenir Next LT Pro" w:hAnsi="Avenir Next LT Pro" w:cs="Avenir Next LT Pro"/>
              </w:rPr>
              <w:t>con edades entre 3 y 9 meses</w:t>
            </w:r>
            <w:r w:rsidRPr="3FF8FB8C">
              <w:rPr>
                <w:rFonts w:ascii="Avenir Next LT Pro" w:eastAsia="Avenir Next LT Pro" w:hAnsi="Avenir Next LT Pro" w:cs="Avenir Next LT Pro"/>
              </w:rPr>
              <w:t>)?</w:t>
            </w:r>
          </w:p>
          <w:p w14:paraId="42415DEB" w14:textId="193C4285" w:rsidR="00A95722" w:rsidRPr="00D51C40" w:rsidRDefault="0A02AFC9" w:rsidP="0B44BD26">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¿Las características del habla materna d</w:t>
            </w:r>
            <w:r w:rsidR="23185D40" w:rsidRPr="3FF8FB8C">
              <w:rPr>
                <w:rFonts w:ascii="Avenir Next LT Pro" w:eastAsia="Avenir Next LT Pro" w:hAnsi="Avenir Next LT Pro" w:cs="Avenir Next LT Pro"/>
              </w:rPr>
              <w:t>irigida a bebés prelingüísticos</w:t>
            </w:r>
            <w:r w:rsidRPr="3FF8FB8C">
              <w:rPr>
                <w:rFonts w:ascii="Avenir Next LT Pro" w:eastAsia="Avenir Next LT Pro" w:hAnsi="Avenir Next LT Pro" w:cs="Avenir Next LT Pro"/>
              </w:rPr>
              <w:t xml:space="preserve"> predicen el desarrollo de habilidades lingüísticas y/o musicales </w:t>
            </w:r>
            <w:r w:rsidR="328C2961" w:rsidRPr="3FF8FB8C">
              <w:rPr>
                <w:rFonts w:ascii="Avenir Next LT Pro" w:eastAsia="Avenir Next LT Pro" w:hAnsi="Avenir Next LT Pro" w:cs="Avenir Next LT Pro"/>
              </w:rPr>
              <w:t xml:space="preserve">posteriores </w:t>
            </w:r>
            <w:r w:rsidRPr="3FF8FB8C">
              <w:rPr>
                <w:rFonts w:ascii="Avenir Next LT Pro" w:eastAsia="Avenir Next LT Pro" w:hAnsi="Avenir Next LT Pro" w:cs="Avenir Next LT Pro"/>
              </w:rPr>
              <w:t xml:space="preserve">durante la </w:t>
            </w:r>
            <w:r w:rsidR="106F306B" w:rsidRPr="3FF8FB8C">
              <w:rPr>
                <w:rFonts w:ascii="Avenir Next LT Pro" w:eastAsia="Avenir Next LT Pro" w:hAnsi="Avenir Next LT Pro" w:cs="Avenir Next LT Pro"/>
              </w:rPr>
              <w:t xml:space="preserve">primera </w:t>
            </w:r>
            <w:r w:rsidRPr="3FF8FB8C">
              <w:rPr>
                <w:rFonts w:ascii="Avenir Next LT Pro" w:eastAsia="Avenir Next LT Pro" w:hAnsi="Avenir Next LT Pro" w:cs="Avenir Next LT Pro"/>
              </w:rPr>
              <w:t xml:space="preserve">infancia (entre los </w:t>
            </w:r>
            <w:r w:rsidR="67640118" w:rsidRPr="3FF8FB8C">
              <w:rPr>
                <w:rFonts w:ascii="Avenir Next LT Pro" w:eastAsia="Avenir Next LT Pro" w:hAnsi="Avenir Next LT Pro" w:cs="Avenir Next LT Pro"/>
              </w:rPr>
              <w:t xml:space="preserve">16 a </w:t>
            </w:r>
            <w:r w:rsidR="383DB7E8" w:rsidRPr="3FF8FB8C">
              <w:rPr>
                <w:rFonts w:ascii="Avenir Next LT Pro" w:eastAsia="Avenir Next LT Pro" w:hAnsi="Avenir Next LT Pro" w:cs="Avenir Next LT Pro"/>
              </w:rPr>
              <w:t>23</w:t>
            </w:r>
            <w:r w:rsidR="67640118" w:rsidRPr="3FF8FB8C">
              <w:rPr>
                <w:rFonts w:ascii="Avenir Next LT Pro" w:eastAsia="Avenir Next LT Pro" w:hAnsi="Avenir Next LT Pro" w:cs="Avenir Next LT Pro"/>
              </w:rPr>
              <w:t xml:space="preserve"> meses </w:t>
            </w:r>
            <w:r w:rsidRPr="3FF8FB8C">
              <w:rPr>
                <w:rFonts w:ascii="Avenir Next LT Pro" w:eastAsia="Avenir Next LT Pro" w:hAnsi="Avenir Next LT Pro" w:cs="Avenir Next LT Pro"/>
              </w:rPr>
              <w:t>de edad)?</w:t>
            </w:r>
          </w:p>
          <w:p w14:paraId="3E668C6B" w14:textId="2FE8D157" w:rsidR="00D51C40" w:rsidRPr="0086507F" w:rsidRDefault="53695F7D" w:rsidP="3FF8FB8C">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¿Qué relación existe entre el desarrollo lingüístico y musical en </w:t>
            </w:r>
            <w:r w:rsidR="746EBFC0" w:rsidRPr="3FF8FB8C">
              <w:rPr>
                <w:rFonts w:ascii="Avenir Next LT Pro" w:eastAsia="Avenir Next LT Pro" w:hAnsi="Avenir Next LT Pro" w:cs="Avenir Next LT Pro"/>
              </w:rPr>
              <w:t>la primera infancia (entre los 16 a 23 meses de edad)</w:t>
            </w:r>
            <w:r w:rsidRPr="3FF8FB8C">
              <w:rPr>
                <w:rFonts w:ascii="Avenir Next LT Pro" w:eastAsia="Avenir Next LT Pro" w:hAnsi="Avenir Next LT Pro" w:cs="Avenir Next LT Pro"/>
              </w:rPr>
              <w:t>?</w:t>
            </w:r>
          </w:p>
          <w:p w14:paraId="20D543FA" w14:textId="1CFBF8F1" w:rsidR="00AB7B54"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su vez, los hallazgos permitirán avanzar en la comprensión de los mecanismos que vinculan el IDS con el desarrollo infantil, y contribuirán al diseño de pautas que fortalezcan la comunicación entre madres, padres y cuidadores con bebés, promoviendo así su desarrollo social, lingüístico y emocional.</w:t>
            </w:r>
          </w:p>
          <w:p w14:paraId="4E0DFBDD" w14:textId="1779E190" w:rsidR="00AB7B54" w:rsidRPr="003155D0" w:rsidRDefault="6F329673"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 xml:space="preserve">Adicionalmente, el proyecto permitirá establecer la funcionalidad del </w:t>
            </w:r>
            <w:r w:rsidRPr="0B44BD26">
              <w:rPr>
                <w:rFonts w:ascii="Avenir Next LT Pro" w:eastAsia="Avenir Next LT Pro" w:hAnsi="Avenir Next LT Pro" w:cs="Avenir Next LT Pro"/>
                <w:i/>
                <w:iCs/>
              </w:rPr>
              <w:t>eye-tracker</w:t>
            </w:r>
            <w:r w:rsidRPr="0B44BD26">
              <w:rPr>
                <w:rFonts w:ascii="Avenir Next LT Pro" w:eastAsia="Avenir Next LT Pro" w:hAnsi="Avenir Next LT Pro" w:cs="Avenir Next LT Pro"/>
              </w:rPr>
              <w:t xml:space="preserve"> webcam</w:t>
            </w:r>
            <w:r w:rsidR="19B53BD7" w:rsidRPr="0B44BD26">
              <w:rPr>
                <w:rFonts w:ascii="Avenir Next LT Pro" w:eastAsia="Avenir Next LT Pro" w:hAnsi="Avenir Next LT Pro" w:cs="Avenir Next LT Pro"/>
              </w:rPr>
              <w:t xml:space="preserve"> como herramienta accesible y de código abierto para estudios remotos sobre atención social en la infancia, permitiendo validar su uso frente a sistemas de escritorio tradicionales en contextos naturales. Esta validación no solo fortalecerá la línea de investigación del grupo en rastreo ocular, sino que facilitará el estudio de la atención de bebés hacia el habla dirigida (IDS) en entornos más diversos, superando las limitaciones de los laboratorios tradicionales y permitiendo mayor representatividad y escalabilidad en estudios de desarrollo temprano</w:t>
            </w:r>
            <w:r w:rsidR="6F2FF34B" w:rsidRPr="0B44BD26">
              <w:rPr>
                <w:rFonts w:ascii="Avenir Next LT Pro" w:eastAsia="Avenir Next LT Pro" w:hAnsi="Avenir Next LT Pro" w:cs="Avenir Next LT Pro"/>
              </w:rPr>
              <w:t xml:space="preserve">. </w:t>
            </w:r>
          </w:p>
          <w:p w14:paraId="7C05F76C" w14:textId="59A68234" w:rsidR="00AB7B54" w:rsidRPr="008D20A1" w:rsidRDefault="6F2FF34B"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El equipo de investigación cuenta con una sólida trayectoria en el uso del eye tracking como herramienta para el estudio de patrones visuales vinculados a conductas humanas relevantes. Tanto el investigador principal como la coinvestigadora Milena Vásquez-Amézquita han desarrollado durante varios años una línea de trabajo empírica y metodológicamente robusta que integra el rastreo ocular en estudios sobre comportamiento visual, preferencia sexual, atención social y toma de decisiones, con contribuciones publicadas en revistas científicas de alto impacto</w:t>
            </w:r>
            <w:r w:rsidR="09090B6A" w:rsidRPr="0B44BD26">
              <w:rPr>
                <w:rFonts w:eastAsia="Avenir Book" w:cs="Avenir Book"/>
              </w:rPr>
              <w:fldChar w:fldCharType="begin"/>
            </w:r>
            <w:r w:rsidR="09090B6A" w:rsidRPr="0B44BD26">
              <w:rPr>
                <w:rFonts w:eastAsia="Avenir Book" w:cs="Avenir Book"/>
              </w:rPr>
              <w:instrText xml:space="preserve"> ADDIN ZOTERO_ITEM CSL_CITATION {"citationID":"itx5aFDA","properties":{"formattedCitation":"\\super 77\\uc0\\u8211{}81\\nosupersub{}","plainCitation":"77–81","noteIndex":0},"citationItems":[{"id":840,"uris":["http://zotero.org/users/5937427/items/QJM9NHBL"],"itemData":{"id":840,"type":"article-journal","abstract":"Men, whether gynephilic or androphilic, show both early and late attention toward adults and not toward children. We examined early and late visual attention to sexually mature versus immature stimuli in four groups of heterosexual men: sexual offenders against children (SOAC = 18), sexual offenders against adults (SOAA = 16), nonsexual offenders (NSO = 18), and nonoffending men (NOM = 19). We simultaneously presented adult and child stimuli and measured time to first fixation, number of first fixations, total duration of fixation, and fixation count to four areas of interest: entire body, then face, chest, and pelvis. We found a significant interaction where only SOAC tended to fixate more first times to child than to adult stimuli. Conversely, we found longer total duration of fixations for the bodies of adults compared to the bodies of children in all groups; however, in both the total duration of fixations and the fixation count for the whole body, but especially in the chest, SOAC tended to fixate longer and more often on child stimuli than the other two groups of offenders, but not longer or more often than NOM. This study adds to the limited research using eye-tracking techniques in samples of SOAC.","container-title":"Journal of Sex Research","DOI":"10.1080/00224499.2018.1511965","ISSN":"0022-4499","issue":"2","license":"All rights reserved","note":"publisher: Taylor &amp; Francis\nCitation Key: VasquezAmezquita2019","page":"213-228","title":"Differences in Visual Attention Patterns to Sexually Mature and Immature Stimuli Between Heterosexual Sexual Offenders, Nonsexual Offenders, and Nonoffending Men","URL":"https://doi.org/10.1080/00224499.2018.1511965","volume":"56","author":[{"family":"Vásquez-Amézquita","given":"Milena"},{"family":"Leongómez","given":"Juan David"},{"family":"Seto","given":"Michael C."},{"family":"Salvador","given":"Alicia"}],"issued":{"date-parts":[["2019"]]},"citation-key":"VasquezAmezquita2019"}},{"id":508,"uris":["http://zotero.org/users/5937427/items/TN69RT5Z"],"itemData":{"id":508,"type":"article-journal","abstract":"Visual attention patterns measured with eye-tracking techniques provide indirect clues about sexual response. This study aimed to test the category specificity of sexual responses to stimuli varying in gender and age by evaluating both early and late attention of gynephilic and androphilic men and women. We simultaneously presented sexually preferred and nonpreferred stimuli and measured time to first fixation and total duration of fixation on four areas of interest: entire body, then face, chest, and pelvis. Androphilic women’s early attention patterns were nonspecific,whereas gynephilic women and both groups of men showed a category-specific pattern for the entire body. In contrast, all groups showed gender-specific patterns of late attention for all areas of interest. We also found support for age specificity of early and late visual attention in all four groups, with greater attention to adult than child stimuli. This study supports the usefulness of a competing stimulus eye-tracking paradigm as a method to examine gender specificity in gynephilic women and androphilic and gynephilic men, and as a measure of age specificity in gynephilic and androphilic men and women.","container-title":"Journal of Sex Research","DOI":"10.1080/00224499.2017.1372353","ISSN":"0022-4499","issue":"1","license":"All rights reserved","note":"Citation Key: Vasquez-Amezquita2017\ncites: leongomezSelfreportedHealthRelated2020","page":"85-101","title":"Visual Attention Patterns Differ in Gynephilic and Androphilic Men and Women Depending on Age and Gender of Targets","URL":"http://dx.doi.org/10.1080/00224499.2017.1372353","volume":"56","author":[{"family":"Vásquez-Amézquita","given":"Milena"},{"family":"Leongómez","given":"Juan David"},{"family":"Seto","given":"Michael C."},{"family":"Bonilla","given":"Mauricio"},{"family":"Rodríguez-Padilla","given":"Alexa"},{"family":"Salvador","given":"Alicia"}],"issued":{"date-parts":[["2019"]]},"citation-key":"Vasquez-Amezquita2017"}},{"id":209,"uris":["http://zotero.org/users/5937427/items/A3UZRPC8"],"itemData":{"id":209,"type":"article-journal","abstract":"© 2017 Elsevier Ltd Digit ratio (2D:4D) is a marker of prenatal androgenic exposure that is correlated with different behaviour patterns. Here, we explore the rel ationship between 2D:4D ratio and early versus late attention to sexually preferred stimuli using an eye-tracking paradigm with 78 androphilic or gynephilic men and women. We simultaneously presented preferred and non-preferred adult stimuli and assessed visual attention across time to first fixation and total duration fixation on entire body and three specific areas (face, chest and pelvis), and investigated whether digit ratio was related to visual attentional biases towards sexually preferred stimuli. As expected, participants tended to fixate faster and for more time on the preferred gender. However, we found no significant interactions between 2D:4D and attentional biases towards the preferred gender, for any measure of attention. These results suggest that attention towards the preferred gender is not related to the 2D:4D digit ratio.","container-title":"Personality and Individual Differences","DOI":"10.1016/j.paid.2017.08.022","ISSN":"01918869","license":"All rights reserved","note":"Citation Key: Vasquez-Amezquita2018","page":"151-158","title":"No relation between digit ratio (2D:4D) and visual attention patterns to sexually preferred and non-preferred stimuli","URL":"http://linkinghub.elsevier.com/retrieve/pii/S0191886917305147","volume":"120","author":[{"family":"Vásquez-Amézquita","given":"Milena"},{"family":"Leongómez","given":"Juan David"},{"family":"Seto","given":"Michael C."},{"family":"Bonilla","given":"Fidel Mauricio"},{"family":"Rodríguez-Padilla","given":"Alexa"},{"family":"Salvador","given":"Alicia"}],"issued":{"date-parts":[["2018"]]},"citation-key":"Vasquez-Amezquita2018"}},{"id":1012,"uris":["http://zotero.org/users/5937427/items/IGCJMJZV"],"itemData":{"id":1012,"type":"article-journal","abstract":"Visual attention plays a central role in current theories of sexual information processing and is key to informing the use of eye-tracking techniques in the study of typical sexual preferences and more recently, in the study of atypical preferences such as pedophilia (prepubescent children) and hebephilia (pubescent children). The aim of this theoretical-empirical review is to connect the concepts of a visual attention-based model of sexual arousal processing with eye movements as indicators of atypical sexual interests, to substantiate the use of eye-tracking as a useful indirect measure of sexual preferences according to sex and age of the stimuli. Implications for research are discussed in terms of recognizing the value, scope, and limitations of eye-tracking in the study of pedophilia and other chronophilias in males and females, and the generation of new hypotheses using this type of indirect measure of human sexual response.","container-title":"Forensic Sciences Research","DOI":"10.1093/fsr/owad009","ISSN":"2096-1790","journalAbbreviation":"Forensic Sciences Research","license":"All rights reserved","page":"owad009","source":"Silverchair","title":"What can the eyes tell us about atypical sexual preferences as a function of sex and age? Linking eye movements with child-related chronophilias","title-short":"What can the eyes tell us about atypical sexual preferences as a function of sex and age?","URL":"https://doi.org/10.1093/fsr/owad009","author":[{"family":"Vásquez-Amézquita","given":"Milena"},{"family":"Leongoméz","given":"Juan David"},{"family":"Salvador","given":"Alicia"},{"family":"Seto","given":"Michael C"}],"accessed":{"date-parts":[["2023",4,19]]},"issued":{"date-parts":[["2023",3,24]]},"citation-key":"vasquez-amezquitaWhatCanEyes2023"}},{"id":5667,"uris":["http://zotero.org/users/5937427/items/IE2WYGXP"],"itemData":{"id":5667,"type":"article-journal","abstract":"Women's preferences for facial masculinity in men are influenced by individual and socio-contextual factors that help balance costs-benefits in pursuit of well-being. This study explored how Colombian women's preferences for masculinized male faces are influenced by relationship context and resource availability, as well as their individual experiences of intimate partner violence (IPV). Using a forced-choice paradigm with eye-tracking, we assessed visual attention and face-choice in 293 cisgender heterosexual Colombian women recruited through social media adverts. Participants were assigned to either a high or low resource availability condition and selected preferred partners for short- and long-term relationships. Self-reported IPV experiences were also collected. Results revealed a strong preference for masculine faces in both relationship contexts, with higher preference in long-term scenarios and under low resource availability. However, higher frequencies of physical IPV predicted a lower preference for masculinity, particularly in long-term and high-resource contexts. These exploratory findings suggest that while Colombian women generally favor masculine traits, socio-contextual factors, such as resource availability and IPV experiences, significantly modulate these preferences. The study highlights the complex interplay between individual, evolutionary, and socio-ecological factors in shaping mate preferences, suggesting that masculinity is valued depending on relationship goals, resource conditions, and individual experiences like IPV.","container-title":"Evolution and Human Behavior","DOI":"10.1016/j.evolhumbehav.2025.106707","ISSN":"1090-5138","issue":"4","journalAbbreviation":"Evolution and Human Behavior","page":"106707","source":"ScienceDirect","title":"Resource availability and experiences of partner violence shape facial masculinity preferences in Colombian women","URL":"https://www.sciencedirect.com/science/article/pii/S109051382500056X","volume":"46","author":[{"family":"Vásquez-Amézquita","given":"Milena"},{"family":"Castellanos-Chacón","given":"Andrés"},{"family":"Medina-Sarmiento","given":"Wendy"},{"family":"Cepeda","given":"Valentina"},{"family":"Martínez-González","given":"Marina Begoña"},{"family":"Leongómez","given":"Juan David"}],"accessed":{"date-parts":[["2025",6,5]]},"issued":{"date-parts":[["2025",7,1]]},"citation-key":"vasquez-amezquitaResourceAvailabilityExperiences2025"}}],"schema":"https://github.com/citation-style-language/schema/raw/master/csl-citation.json"} </w:instrText>
            </w:r>
            <w:r w:rsidR="09090B6A" w:rsidRPr="0B44BD26">
              <w:rPr>
                <w:rFonts w:eastAsia="Avenir Book" w:cs="Avenir Book"/>
              </w:rPr>
              <w:fldChar w:fldCharType="separate"/>
            </w:r>
            <w:r w:rsidR="00892B9B" w:rsidRPr="00892B9B">
              <w:rPr>
                <w:rFonts w:ascii="Avenir Next LT Pro" w:hAnsi="Avenir Next LT Pro" w:cs="Times New Roman"/>
                <w:vertAlign w:val="superscript"/>
              </w:rPr>
              <w:t>77–81</w:t>
            </w:r>
            <w:r w:rsidR="09090B6A" w:rsidRPr="0B44BD26">
              <w:rPr>
                <w:rFonts w:eastAsia="Avenir Book" w:cs="Avenir Book"/>
              </w:rPr>
              <w:fldChar w:fldCharType="end"/>
            </w:r>
            <w:r w:rsidRPr="0B44BD26">
              <w:rPr>
                <w:rFonts w:ascii="Avenir Next LT Pro" w:eastAsia="Avenir Next LT Pro" w:hAnsi="Avenir Next LT Pro" w:cs="Avenir Next LT Pro"/>
              </w:rPr>
              <w:t xml:space="preserve">. En </w:t>
            </w:r>
            <w:r w:rsidRPr="0B44BD26">
              <w:rPr>
                <w:rFonts w:ascii="Avenir Next LT Pro" w:eastAsia="Avenir Next LT Pro" w:hAnsi="Avenir Next LT Pro" w:cs="Avenir Next LT Pro"/>
              </w:rPr>
              <w:lastRenderedPageBreak/>
              <w:t xml:space="preserve">particular, su más reciente publicación en </w:t>
            </w:r>
            <w:proofErr w:type="spellStart"/>
            <w:r w:rsidRPr="0B44BD26">
              <w:rPr>
                <w:rFonts w:ascii="Avenir Next LT Pro" w:eastAsia="Avenir Next LT Pro" w:hAnsi="Avenir Next LT Pro" w:cs="Avenir Next LT Pro"/>
              </w:rPr>
              <w:t>Evolution</w:t>
            </w:r>
            <w:proofErr w:type="spellEnd"/>
            <w:r w:rsidRPr="0B44BD26">
              <w:rPr>
                <w:rFonts w:ascii="Avenir Next LT Pro" w:eastAsia="Avenir Next LT Pro" w:hAnsi="Avenir Next LT Pro" w:cs="Avenir Next LT Pro"/>
              </w:rPr>
              <w:t xml:space="preserve"> and Human Behavior</w:t>
            </w:r>
            <w:r w:rsidR="09090B6A" w:rsidRPr="0B44BD26">
              <w:rPr>
                <w:rFonts w:eastAsia="Avenir Book" w:cs="Avenir Book"/>
              </w:rPr>
              <w:fldChar w:fldCharType="begin"/>
            </w:r>
            <w:r w:rsidR="09090B6A" w:rsidRPr="0B44BD26">
              <w:rPr>
                <w:rFonts w:eastAsia="Avenir Book" w:cs="Avenir Book"/>
              </w:rPr>
              <w:instrText xml:space="preserve"> ADDIN ZOTERO_ITEM CSL_CITATION {"citationID":"1Q7kZhh3","properties":{"formattedCitation":"\\super 81\\nosupersub{}","plainCitation":"81","noteIndex":0},"citationItems":[{"id":5667,"uris":["http://zotero.org/users/5937427/items/IE2WYGXP"],"itemData":{"id":5667,"type":"article-journal","abstract":"Women's preferences for facial masculinity in men are influenced by individual and socio-contextual factors that help balance costs-benefits in pursuit of well-being. This study explored how Colombian women's preferences for masculinized male faces are influenced by relationship context and resource availability, as well as their individual experiences of intimate partner violence (IPV). Using a forced-choice paradigm with eye-tracking, we assessed visual attention and face-choice in 293 cisgender heterosexual Colombian women recruited through social media adverts. Participants were assigned to either a high or low resource availability condition and selected preferred partners for short- and long-term relationships. Self-reported IPV experiences were also collected. Results revealed a strong preference for masculine faces in both relationship contexts, with higher preference in long-term scenarios and under low resource availability. However, higher frequencies of physical IPV predicted a lower preference for masculinity, particularly in long-term and high-resource contexts. These exploratory findings suggest that while Colombian women generally favor masculine traits, socio-contextual factors, such as resource availability and IPV experiences, significantly modulate these preferences. The study highlights the complex interplay between individual, evolutionary, and socio-ecological factors in shaping mate preferences, suggesting that masculinity is valued depending on relationship goals, resource conditions, and individual experiences like IPV.","container-title":"Evolution and Human Behavior","DOI":"10.1016/j.evolhumbehav.2025.106707","ISSN":"1090-5138","issue":"4","journalAbbreviation":"Evolution and Human Behavior","page":"106707","source":"ScienceDirect","title":"Resource availability and experiences of partner violence shape facial masculinity preferences in Colombian women","URL":"https://www.sciencedirect.com/science/article/pii/S109051382500056X","volume":"46","author":[{"family":"Vásquez-Amézquita","given":"Milena"},{"family":"Castellanos-Chacón","given":"Andrés"},{"family":"Medina-Sarmiento","given":"Wendy"},{"family":"Cepeda","given":"Valentina"},{"family":"Martínez-González","given":"Marina Begoña"},{"family":"Leongómez","given":"Juan David"}],"accessed":{"date-parts":[["2025",6,5]]},"issued":{"date-parts":[["2025",7,1]]},"citation-key":"vasquez-amezquitaResourceAvailabilityExperiences2025"}}],"schema":"https://github.com/citation-style-language/schema/raw/master/csl-citation.json"} </w:instrText>
            </w:r>
            <w:r w:rsidR="09090B6A" w:rsidRPr="0B44BD26">
              <w:rPr>
                <w:rFonts w:eastAsia="Avenir Book" w:cs="Avenir Book"/>
              </w:rPr>
              <w:fldChar w:fldCharType="separate"/>
            </w:r>
            <w:r w:rsidR="00892B9B" w:rsidRPr="00892B9B">
              <w:rPr>
                <w:rFonts w:ascii="Avenir Next LT Pro" w:hAnsi="Avenir Next LT Pro" w:cs="Times New Roman"/>
                <w:vertAlign w:val="superscript"/>
              </w:rPr>
              <w:t>81</w:t>
            </w:r>
            <w:r w:rsidR="09090B6A" w:rsidRPr="0B44BD26">
              <w:rPr>
                <w:rFonts w:eastAsia="Avenir Book" w:cs="Avenir Book"/>
              </w:rPr>
              <w:fldChar w:fldCharType="end"/>
            </w:r>
            <w:r w:rsidRPr="0B44BD26">
              <w:rPr>
                <w:rFonts w:ascii="Avenir Next LT Pro" w:eastAsia="Avenir Next LT Pro" w:hAnsi="Avenir Next LT Pro" w:cs="Avenir Next LT Pro"/>
              </w:rPr>
              <w:t xml:space="preserve"> se desprende de un proyecto con financiación interna de la Universidad El Bosque (convocatoria 2024 – PCI 2024-0009), en el cual se logró desarrollar el primer prototipo de una aplicación de rastreo ocular vía webcam y que ya se encuentra en pruebas</w:t>
            </w:r>
            <w:r w:rsidR="3125804F" w:rsidRPr="0B44BD26">
              <w:rPr>
                <w:rFonts w:ascii="Avenir Next LT Pro" w:eastAsia="Avenir Next LT Pro" w:hAnsi="Avenir Next LT Pro" w:cs="Avenir Next LT Pro"/>
              </w:rPr>
              <w:t xml:space="preserve"> y será de código abierto</w:t>
            </w:r>
            <w:r w:rsidRPr="0B44BD26">
              <w:rPr>
                <w:rFonts w:ascii="Avenir Next LT Pro" w:eastAsia="Avenir Next LT Pro" w:hAnsi="Avenir Next LT Pro" w:cs="Avenir Next LT Pro"/>
              </w:rPr>
              <w:t>. A partir de estos avances, los investigadores buscan continuar probando, refinando y validando esta herramienta de bajo costo, con el fin de extender su uso a estudios en contextos diversos y poblaciones más amplias, incluyendo la infancia. Este objetivo se alinea con una visión más amplia de democratizar el acceso a tecnologías de medición del comportamiento visual, facilitando su aplicación en campos como el desarrollo infantil, la comunicación temprana y la salud mental.</w:t>
            </w:r>
          </w:p>
        </w:tc>
      </w:tr>
    </w:tbl>
    <w:p w14:paraId="590F5B2B" w14:textId="797B6D21"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4. JUSTIFICACIÓN</w:t>
      </w:r>
    </w:p>
    <w:tbl>
      <w:tblPr>
        <w:tblStyle w:val="affffffff9"/>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764F54B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D295930"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4. JUSTIFICACIÓN</w:t>
            </w:r>
          </w:p>
        </w:tc>
      </w:tr>
      <w:tr w:rsidR="00844492" w:rsidRPr="00847B5F" w14:paraId="7E7CEAD5"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21B90" w14:textId="50CD14D8"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Antecedentes y vacíos en la investigación:</w:t>
            </w:r>
          </w:p>
          <w:p w14:paraId="04FB4CFC" w14:textId="3A0B9E7F"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habla dirigida a bebés (IDS, por sus siglas en inglés) es una forma de comunicación vocal universalmente presente en las interacciones tempranas entre cuidadores y bebés. Numerosos estudios han demostrado que el IDS cumple funciones esenciales en el desarrollo infantil: facilita el apego, capta la atención del bebé, regula el temperamento y promueve el desarrollo del lenguaje y la musicalidad</w:t>
            </w:r>
            <w:r w:rsidR="009B28CB" w:rsidRPr="0B44BD26">
              <w:fldChar w:fldCharType="begin"/>
            </w:r>
            <w:r w:rsidR="009B28CB" w:rsidRPr="0B44BD26">
              <w:instrText xml:space="preserve"> ADDIN ZOTERO_ITEM CSL_CITATION {"citationID":"8eBSyqmE","properties":{"formattedCitation":"\\super 1\\uc0\\u8211{}4\\nosupersub{}","plainCitation":"1–4","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1–4</w:t>
            </w:r>
            <w:r w:rsidR="009B28CB" w:rsidRPr="0B44BD26">
              <w:fldChar w:fldCharType="end"/>
            </w:r>
            <w:r w:rsidRPr="0B44BD26">
              <w:rPr>
                <w:rFonts w:ascii="Avenir Next LT Pro" w:eastAsia="Avenir Next LT Pro" w:hAnsi="Avenir Next LT Pro" w:cs="Avenir Next LT Pro"/>
              </w:rPr>
              <w:t>. Estas funciones están mediadas por características acústicas específicas del IDS</w:t>
            </w:r>
            <w:r w:rsidR="18409F1E"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como la entonación exagerada, el tono agudo y la prosodia emocional</w:t>
            </w:r>
            <w:r w:rsidR="18409F1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que permiten transmitir señales sociales y afectivas de manera especialmente eficaz</w:t>
            </w:r>
            <w:r w:rsidR="009B28CB" w:rsidRPr="0B44BD26">
              <w:fldChar w:fldCharType="begin"/>
            </w:r>
            <w:r w:rsidR="009B28CB" w:rsidRPr="0B44BD26">
              <w:instrText xml:space="preserve"> ADDIN ZOTERO_ITEM CSL_CITATION {"citationID":"jnVKKdub","properties":{"formattedCitation":"\\super 5\\uc0\\u8211{}7\\nosupersub{}","plainCitation":"5–7","noteIndex":0},"citationItems":[{"id":640,"uris":["http://zotero.org/users/5937427/items/XFQI88RR"],"itemData":{"id":640,"type":"article-journal","abstract":"At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5–7</w:t>
            </w:r>
            <w:r w:rsidR="009B28CB" w:rsidRPr="0B44BD26">
              <w:fldChar w:fldCharType="end"/>
            </w:r>
            <w:r w:rsidRPr="0B44BD26">
              <w:rPr>
                <w:rFonts w:ascii="Avenir Next LT Pro" w:eastAsia="Avenir Next LT Pro" w:hAnsi="Avenir Next LT Pro" w:cs="Avenir Next LT Pro"/>
              </w:rPr>
              <w:t>.</w:t>
            </w:r>
          </w:p>
          <w:p w14:paraId="211E0055" w14:textId="1A8E82EE"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Sin embargo, a pesar de su enorme importancia, persisten vacíos críticos en la investigación. Por un lado, pocos estudios han analizado de forma sistemática cómo las propiedades acústicas específicas del IDS influyen en la atención de bebés en etapas prelingüísticas. Por otro, no se ha evaluado empíricamente si dichas características predicen el desarrollo lingüístico y musical posterior. Estos vacíos son especialmente relevantes si se consideran las consecuencias del entorno vocal temprano sobre el desarrollo cognitivo, emocional y social del bebé</w:t>
            </w:r>
            <w:r w:rsidR="009B28CB" w:rsidRPr="0B44BD26">
              <w:fldChar w:fldCharType="begin"/>
            </w:r>
            <w:r w:rsidR="009B28CB" w:rsidRPr="0B44BD26">
              <w:instrText xml:space="preserve"> ADDIN ZOTERO_ITEM CSL_CITATION {"citationID":"2BGuAyWU","properties":{"formattedCitation":"\\super 8\\uc0\\u8211{}10\\nosupersub{}","plainCitation":"8–10","noteIndex":0},"citationItems":[{"id":768,"uris":["http://zotero.org/users/5937427/items/XRE7SQPR"],"itemData":{"id":768,"type":"article-journal","abstract":"In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8–10</w:t>
            </w:r>
            <w:r w:rsidR="009B28CB" w:rsidRPr="0B44BD26">
              <w:fldChar w:fldCharType="end"/>
            </w:r>
            <w:r w:rsidRPr="0B44BD26">
              <w:rPr>
                <w:rFonts w:ascii="Avenir Next LT Pro" w:eastAsia="Avenir Next LT Pro" w:hAnsi="Avenir Next LT Pro" w:cs="Avenir Next LT Pro"/>
              </w:rPr>
              <w:t>.</w:t>
            </w:r>
          </w:p>
          <w:p w14:paraId="16FF88C9" w14:textId="5DAC2E3B"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Pertinencia social y educativa:</w:t>
            </w:r>
          </w:p>
          <w:p w14:paraId="02E6CBAF" w14:textId="7FA2374C"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es socialmente pertinente porque aborda un proceso cotidiano y universal</w:t>
            </w:r>
            <w:r w:rsidR="7DEC72DB"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la manera en que las madres se comunican con sus bebés</w:t>
            </w:r>
            <w:r w:rsidR="7DEC72DB" w:rsidRPr="0B44BD26">
              <w:rPr>
                <w:rFonts w:ascii="Avenir Next LT Pro" w:eastAsia="Avenir Next LT Pro" w:hAnsi="Avenir Next LT Pro" w:cs="Avenir Next LT Pro"/>
              </w:rPr>
              <w:t>, un fenómeno</w:t>
            </w:r>
            <w:r w:rsidRPr="0B44BD26">
              <w:rPr>
                <w:rFonts w:ascii="Avenir Next LT Pro" w:eastAsia="Avenir Next LT Pro" w:hAnsi="Avenir Next LT Pro" w:cs="Avenir Next LT Pro"/>
              </w:rPr>
              <w:t xml:space="preserve"> que tiene consecuencias directas en el bienestar infantil. Entender cómo ciertas modulaciones vocales afectan la atención y el aprendizaje puede orientar estrategias de crianza más efectivas, así como intervenciones de salud pública, especialmente en casos donde el vínculo afectivo o la comunicación se ven comprometidos (por ejemplo, en contextos de depresión materna, estrés parental o privación sensorial).</w:t>
            </w:r>
          </w:p>
          <w:p w14:paraId="5EC5E849" w14:textId="71F2E81D"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Además, los resultados de este estudio </w:t>
            </w:r>
            <w:r w:rsidR="31FA2D3A" w:rsidRPr="0B44BD26">
              <w:rPr>
                <w:rFonts w:ascii="Avenir Next LT Pro" w:eastAsia="Avenir Next LT Pro" w:hAnsi="Avenir Next LT Pro" w:cs="Avenir Next LT Pro"/>
              </w:rPr>
              <w:t>sentarán las bases para el desarrollo</w:t>
            </w:r>
            <w:r w:rsidRPr="0B44BD26">
              <w:rPr>
                <w:rFonts w:ascii="Avenir Next LT Pro" w:eastAsia="Avenir Next LT Pro" w:hAnsi="Avenir Next LT Pro" w:cs="Avenir Next LT Pro"/>
              </w:rPr>
              <w:t xml:space="preserve"> programas de educación inicial, formación de profesionales en salud y desarrollo infantil, y campañas de divulgación para promover prácticas de comunicación sensibles, eficaces y basadas en evidencia. Al centrarse en el IDS materno, este proyecto también reconoce el papel clave de las madres en el entorno de desarrollo del bebé.</w:t>
            </w:r>
          </w:p>
          <w:p w14:paraId="696D17C0" w14:textId="2C5CBA72"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Pertinencia científica y técnica:</w:t>
            </w:r>
          </w:p>
          <w:p w14:paraId="2577AB3D" w14:textId="5AB9863D"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Desde una perspectiva científica, esta investigación se ubica en la intersección entre las ciencias del desarrollo, la biología evolutiva y las neurociencias del lenguaje, y aporta un enfoque metodológico robusto y novedoso. El proyecto combina técnicas de análisis acústico con tecnologías como el rastreo ocular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 para medir la atención del bebé, y sigue un diseño longitudinal que permite examinar efectos a mediano plazo en el desarrollo lingüístico y musical.</w:t>
            </w:r>
          </w:p>
          <w:p w14:paraId="5B8E55C2" w14:textId="25706FFA" w:rsidR="00B43331" w:rsidRPr="009B28CB" w:rsidRDefault="77BF8FE6" w:rsidP="0B44BD26">
            <w:pPr>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rPr>
              <w:t xml:space="preserve">En cuanto a su pertinencia técnica, el estudio está alineado con los principios de ciencia abierta, incluyendo </w:t>
            </w:r>
            <w:r w:rsidR="6D36BEF3" w:rsidRPr="0B44BD26">
              <w:rPr>
                <w:rFonts w:ascii="Avenir Next LT Pro" w:eastAsia="Avenir Next LT Pro" w:hAnsi="Avenir Next LT Pro" w:cs="Avenir Next LT Pro"/>
              </w:rPr>
              <w:t>el</w:t>
            </w:r>
            <w:r w:rsidRPr="0B44BD26">
              <w:rPr>
                <w:rFonts w:ascii="Avenir Next LT Pro" w:eastAsia="Avenir Next LT Pro" w:hAnsi="Avenir Next LT Pro" w:cs="Avenir Next LT Pro"/>
              </w:rPr>
              <w:t xml:space="preserve"> pre</w:t>
            </w:r>
            <w:r w:rsidR="047CC98C"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registr</w:t>
            </w:r>
            <w:r w:rsidR="6D36BEF3" w:rsidRPr="0B44BD26">
              <w:rPr>
                <w:rFonts w:ascii="Avenir Next LT Pro" w:eastAsia="Avenir Next LT Pro" w:hAnsi="Avenir Next LT Pro" w:cs="Avenir Next LT Pro"/>
              </w:rPr>
              <w:t>o</w:t>
            </w:r>
            <w:r w:rsidR="047CC98C" w:rsidRPr="0B44BD26">
              <w:rPr>
                <w:rFonts w:ascii="Avenir Next LT Pro" w:eastAsia="Avenir Next LT Pro" w:hAnsi="Avenir Next LT Pro" w:cs="Avenir Next LT Pro"/>
              </w:rPr>
              <w:t xml:space="preserve"> y análisis de poder estadístico </w:t>
            </w:r>
            <w:r w:rsidR="3538EB62" w:rsidRPr="0B44BD26">
              <w:rPr>
                <w:rFonts w:ascii="Avenir Next LT Pro" w:eastAsia="Avenir Next LT Pro" w:hAnsi="Avenir Next LT Pro" w:cs="Avenir Next LT Pro"/>
              </w:rPr>
              <w:t>empíricos (</w:t>
            </w:r>
            <w:r w:rsidR="24B155AA" w:rsidRPr="0B44BD26">
              <w:rPr>
                <w:rFonts w:ascii="Avenir Next LT Pro" w:eastAsia="Avenir Next LT Pro" w:hAnsi="Avenir Next LT Pro" w:cs="Avenir Next LT Pro"/>
              </w:rPr>
              <w:t>con base</w:t>
            </w:r>
            <w:r w:rsidR="047CC98C" w:rsidRPr="0B44BD26">
              <w:rPr>
                <w:rFonts w:ascii="Avenir Next LT Pro" w:eastAsia="Avenir Next LT Pro" w:hAnsi="Avenir Next LT Pro" w:cs="Avenir Next LT Pro"/>
              </w:rPr>
              <w:t xml:space="preserve"> en simulaciones</w:t>
            </w:r>
            <w:r w:rsidR="24B155AA" w:rsidRPr="0B44BD26">
              <w:rPr>
                <w:rFonts w:ascii="Avenir Next LT Pro" w:eastAsia="Avenir Next LT Pro" w:hAnsi="Avenir Next LT Pro" w:cs="Avenir Next LT Pro"/>
              </w:rPr>
              <w:t xml:space="preserve"> y la determinación de hipótesis </w:t>
            </w:r>
            <w:r w:rsidR="5885B97D" w:rsidRPr="0B44BD26">
              <w:rPr>
                <w:rFonts w:ascii="Avenir Next LT Pro" w:eastAsia="Avenir Next LT Pro" w:hAnsi="Avenir Next LT Pro" w:cs="Avenir Next LT Pro"/>
              </w:rPr>
              <w:t>concretas</w:t>
            </w:r>
            <w:r w:rsidRPr="0B44BD26">
              <w:rPr>
                <w:rFonts w:ascii="Avenir Next LT Pro" w:eastAsia="Avenir Next LT Pro" w:hAnsi="Avenir Next LT Pro" w:cs="Avenir Next LT Pro"/>
              </w:rPr>
              <w:t>,</w:t>
            </w:r>
            <w:r w:rsidR="3538EB62" w:rsidRPr="0B44BD26">
              <w:rPr>
                <w:rFonts w:ascii="Avenir Next LT Pro" w:eastAsia="Avenir Next LT Pro" w:hAnsi="Avenir Next LT Pro" w:cs="Avenir Next LT Pro"/>
              </w:rPr>
              <w:t xml:space="preserve"> y no en literatura previa, lo que implica grandes sesgos</w:t>
            </w:r>
            <w:r w:rsidR="24B155AA" w:rsidRPr="0B44BD26">
              <w:rPr>
                <w:rFonts w:ascii="Avenir Next LT Pro" w:eastAsia="Avenir Next LT Pro" w:hAnsi="Avenir Next LT Pro" w:cs="Avenir Next LT Pro"/>
              </w:rPr>
              <w:t xml:space="preserve"> pues tienden a reportar efectos inflados</w:t>
            </w:r>
            <w:r w:rsidR="009B28CB" w:rsidRPr="0B44BD26">
              <w:fldChar w:fldCharType="begin"/>
            </w:r>
            <w:r w:rsidR="009B28CB" w:rsidRPr="0B44BD26">
              <w:instrText xml:space="preserve"> ADDIN ZOTERO_ITEM CSL_CITATION {"citationID":"Q1n1Icuo","properties":{"formattedCitation":"\\super 82,83\\nosupersub{}","plainCitation":"82,83","noteIndex":0},"citationItems":[{"id":756,"uris":["http://zotero.org/users/5937427/items/F2EE25L5"],"itemData":{"id":756,"type":"article-journal","abstract":"The calculation of heart rate variability (HRV) is a popular tool used to investigate differences in cardiac autonomic control between population samples. When interpreting effect sizes to quantify the magnitude of group differences, researchers typically use Cohen's guidelines of small (0.2), medium (0.5), and large (0.8) effects. However, these guidelines were originally proposed as a fallback for when the effect size distribution (ESD) was unknown. Despite the availability of effect sizes from hundreds of HRV studies, researchers still largely rely on Cohen's guidelines to interpret effect sizes and to perform power analyses to calculate required sample sizes for future research. This article describes an ESD analysis of 297 HRV effect sizes from between-group/case-control studies, revealing that the 25th, 50th, and 75th effect size percentiles correspond with effect sizes of 0.26, 0.51, and 0.88, respectively. The analyses suggest that Cohen's guidelines may underestimate the magnitude of small and large effect sizes and that HRV studies are generally underpowered. Therefore, to better reflect the observed ESD, effect sizes of 0.25, 0.5, and 0.9 should be interpreted as small, medium, and large effects (after rounding to the closest 0.05). Based on power calculations using the ESD, suggested sample sizes are also provided for planning suitably powered studies that are more likely to replicate. Researchers are encouraged to use the ESD data set or their own collected data sets in tandem with the provided analysis script to perform custom ESD and power analyses relevant to their specific research area.","container-title":"Psychophysiology","DOI":"10.1111/psyp.12798","ISSN":"1469-8986","issue":"3","language":"en","license":"© 2016 Society for Psychophysiological Research","note":"_eprint: https://onlinelibrary.wiley.com/doi/pdf/10.1111/psyp.12798\ntex.ids= quintanaStatisticalConsiderationsReporting2017a","page":"344-349","source":"Wiley Online Library","title":"Statistical considerations for reporting and planning heart rate variability case-control studies","URL":"https://onlinelibrary.wiley.com/doi/abs/10.1111/psyp.12798","volume":"54","author":[{"family":"Quintana","given":"Daniel S."}],"accessed":{"date-parts":[["2020",4,13]]},"issued":{"date-parts":[["2017"]]},"citation-key":"quintanaStatisticalConsiderationsReporting2017"}},{"id":2405,"uris":["http://zotero.org/users/5937427/items/EUJTFT9I"],"itemData":{"id":2405,"type":"article-journal","container-title":"Advances in Methods and Practices in Psychological Science","DOI":"10.1177/2515245918770963","ISSN":"2515-2459, 2515-2467","issue":"2","journalAbbreviation":"Advances in Methods and Practices in Psychological Science","language":"en","note":"tex.ids= lakensEquivalenceTestingPsychological2018\npublisher: SAGE Publications Inc; http://web.archive.org/web/20200414002605/https://journals.sagepub.com/doi/10.1177/2515245918770963","page":"259-269","source":"DOI.org (Crossref)","title":"Equivalence Testing for Psychological Research: A Tutorial","title-short":"Equivalence Testing for Psychological Research","URL":"http://journals.sagepub.com/doi/10.1177/2515245918770963","volume":"1","author":[{"family":"Lakens","given":"Daniël"},{"family":"Scheel","given":"Anne M."},{"family":"Isager","given":"Peder M."}],"accessed":{"date-parts":[["2020",11,30]]},"issued":{"date-parts":[["2018",6]]},"citation-key":"lakensEquivalenceTestingPsychological2018"}}],"schema":"https://github.com/citation-style-language/schema/raw/master/csl-citation.json"}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82,83</w:t>
            </w:r>
            <w:r w:rsidR="009B28CB" w:rsidRPr="0B44BD26">
              <w:fldChar w:fldCharType="end"/>
            </w:r>
            <w:r w:rsidR="3538EB62"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el uso de software libre y el acceso abierto a datos y materiales, lo que garantiza transparencia, reproducibilidad y utilidad pública. Además, al incluir una muestra contextualizada en el Sur Global, el proyecto busca </w:t>
            </w:r>
            <w:r w:rsidR="1D6048B4" w:rsidRPr="0B44BD26">
              <w:rPr>
                <w:rFonts w:ascii="Avenir Next LT Pro" w:eastAsia="Avenir Next LT Pro" w:hAnsi="Avenir Next LT Pro" w:cs="Avenir Next LT Pro"/>
              </w:rPr>
              <w:t xml:space="preserve">ayudar a </w:t>
            </w:r>
            <w:r w:rsidRPr="0B44BD26">
              <w:rPr>
                <w:rFonts w:ascii="Avenir Next LT Pro" w:eastAsia="Avenir Next LT Pro" w:hAnsi="Avenir Next LT Pro" w:cs="Avenir Next LT Pro"/>
              </w:rPr>
              <w:t>superar los sesgos de representatividad que caracterizan buena parte de la literatura científica</w:t>
            </w:r>
            <w:r w:rsidR="1D6048B4" w:rsidRPr="0B44BD26">
              <w:rPr>
                <w:rFonts w:ascii="Avenir Next LT Pro" w:eastAsia="Avenir Next LT Pro" w:hAnsi="Avenir Next LT Pro" w:cs="Avenir Next LT Pro"/>
              </w:rPr>
              <w:t xml:space="preserve"> en ciencias del comportamiento</w:t>
            </w:r>
            <w:r w:rsidR="009B28CB" w:rsidRPr="0B44BD26">
              <w:fldChar w:fldCharType="begin"/>
            </w:r>
            <w:r w:rsidR="009B28CB" w:rsidRPr="0B44BD26">
              <w:instrText xml:space="preserve"> ADDIN ZOTERO_ITEM CSL_CITATION {"citationID":"lLivcPpu","properties":{"formattedCitation":"\\super 84\\nosupersub{}","plainCitation":"84","noteIndex":0},"citationItems":[{"id":447,"uris":["http://zotero.org/users/5937427/items/FEWU5GZJ"],"itemData":{"id":447,"type":"article-journal","abstract":"Behavioral scientists routinely publish broad claims about human psychology and behavior in the world's top journals based on samples drawn entirely from Western, Educated, Industrialized, Rich, and Democratic (WEIRD) societies. Researchers - often implicitly - assume that either there is little variation across human populations, or that these \"standard subjects\" are as representative of the species as any other population. Are these assumptions justified? Here, our review of the comparative database from across the behavioral sciences suggests both that there is substantial variability in experimental results across populations and that WEIRD subjects are particularly unusual compared with the rest of the species - frequent outliers. The domains reviewed include visual perception, fairness, cooperation, spatial reasoning, categorization and inferential induction, moral reasoning, reasoning styles, self-concepts and related motivations, and the heritability of IQ. The findings suggest that members of WEIRD societies, including young children, are among the least representative populations one could find for generalizing about humans. Many of these findings involve domains that are associated with fundamental aspects of psychology, motivation, and behavior - hence, there are no obvious a priori grounds for claiming that a particular behavioral phenomenon is universal based on sampling from a single subpopulation. Overall, these empirical patterns suggests that we need to be less cavalier in addressing questions of human nature on the basis of data drawn from this particularly thin, and rather unusual, slice of humanity. We close by proposing ways to structurally re-organize the behavioral sciences to best tackle these challenges.","container-title":"Behavioral and Brain Sciences","DOI":"10.1017/S0140525X0999152X","ISSN":"0140-525X","issue":"2-3","note":"Citation Key: Henrich2010\ntex.ids: Henrich2010weirdest\npublisher: Department of Psychology and Department of Economics, University of British Columbia, Vancouver V6T 1Z4, Canada. joseph.henrich@gmail.com","page":"61-83","title":"The weirdest people in the world?","URL":"http://www.journals.cambridge.org/abstract_S0140525X0999152X","volume":"33","author":[{"family":"Henrich","given":"Joseph"},{"family":"Heine","given":"Steven J"},{"family":"Norenzayan","given":"Ara"}],"issued":{"date-parts":[["2010",6,15]]},"citation-key":"Henrich2010"}}],"schema":"https://github.com/citation-style-language/schema/raw/master/csl-citation.json"}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84</w:t>
            </w:r>
            <w:r w:rsidR="009B28CB" w:rsidRPr="0B44BD26">
              <w:fldChar w:fldCharType="end"/>
            </w:r>
            <w:r w:rsidR="1D6048B4" w:rsidRPr="0B44BD26">
              <w:rPr>
                <w:rFonts w:ascii="Avenir Next LT Pro" w:eastAsia="Avenir Next LT Pro" w:hAnsi="Avenir Next LT Pro" w:cs="Avenir Next LT Pro"/>
              </w:rPr>
              <w:t>, incluyendo</w:t>
            </w:r>
            <w:r w:rsidR="5885B97D" w:rsidRPr="0B44BD26">
              <w:rPr>
                <w:rFonts w:ascii="Avenir Next LT Pro" w:eastAsia="Avenir Next LT Pro" w:hAnsi="Avenir Next LT Pro" w:cs="Avenir Next LT Pro"/>
              </w:rPr>
              <w:t xml:space="preserve"> el</w:t>
            </w:r>
            <w:r w:rsidRPr="0B44BD26">
              <w:rPr>
                <w:rFonts w:ascii="Avenir Next LT Pro" w:eastAsia="Avenir Next LT Pro" w:hAnsi="Avenir Next LT Pro" w:cs="Avenir Next LT Pro"/>
              </w:rPr>
              <w:t xml:space="preserve"> desarrollo infantil.</w:t>
            </w:r>
          </w:p>
        </w:tc>
      </w:tr>
    </w:tbl>
    <w:p w14:paraId="1949FB25" w14:textId="6AD9D45D"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5. MARCO CONCEPTUAL</w:t>
      </w:r>
    </w:p>
    <w:tbl>
      <w:tblPr>
        <w:tblStyle w:val="affffffffa"/>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683AF612"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46348765" w14:textId="6ECD08A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5. MARCO CONCEPTUAL</w:t>
            </w:r>
          </w:p>
        </w:tc>
      </w:tr>
      <w:tr w:rsidR="00844492" w:rsidRPr="00847B5F" w14:paraId="652927C0"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8B5EDA" w14:textId="6C3FC5AD"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Modulación vocal en humanos y otras especies</w:t>
            </w:r>
          </w:p>
          <w:p w14:paraId="70E8E146" w14:textId="29AC478B"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lastRenderedPageBreak/>
              <w:t xml:space="preserve">Las modulaciones vocales, </w:t>
            </w:r>
            <w:r w:rsidR="5C8D4B4C" w:rsidRPr="0B44BD26">
              <w:rPr>
                <w:rFonts w:ascii="Avenir Next LT Pro" w:eastAsia="Avenir Next LT Pro" w:hAnsi="Avenir Next LT Pro" w:cs="Avenir Next LT Pro"/>
              </w:rPr>
              <w:t xml:space="preserve">aunque </w:t>
            </w:r>
            <w:r w:rsidRPr="0B44BD26">
              <w:rPr>
                <w:rFonts w:ascii="Avenir Next LT Pro" w:eastAsia="Avenir Next LT Pro" w:hAnsi="Avenir Next LT Pro" w:cs="Avenir Next LT Pro"/>
              </w:rPr>
              <w:t xml:space="preserve">comunes en múltiples especies animales, son un elemento trascendental de la comunicación humana. </w:t>
            </w:r>
            <w:r w:rsidR="5C8D4B4C" w:rsidRPr="0B44BD26">
              <w:rPr>
                <w:rFonts w:ascii="Avenir Next LT Pro" w:eastAsia="Avenir Next LT Pro" w:hAnsi="Avenir Next LT Pro" w:cs="Avenir Next LT Pro"/>
              </w:rPr>
              <w:t>A pesar de que</w:t>
            </w:r>
            <w:r w:rsidRPr="0B44BD26">
              <w:rPr>
                <w:rFonts w:ascii="Avenir Next LT Pro" w:eastAsia="Avenir Next LT Pro" w:hAnsi="Avenir Next LT Pro" w:cs="Avenir Next LT Pro"/>
              </w:rPr>
              <w:t xml:space="preserve"> muchas de estas modulaciones ocurren de forma no consciente ni controlada (por ejemplo, en respuesta al estrés</w:t>
            </w:r>
            <w:r w:rsidR="0086251C" w:rsidRPr="0B44BD26">
              <w:fldChar w:fldCharType="begin"/>
            </w:r>
            <w:r w:rsidR="0086251C" w:rsidRPr="0B44BD26">
              <w:instrText xml:space="preserve"> ADDIN ZOTERO_ITEM CSL_CITATION {"citationID":"ubKxpOX0","properties":{"formattedCitation":"\\super 85\\nosupersub{}","plainCitation":"85","noteIndex":0},"citationItems":[{"id":5778,"uris":["http://zotero.org/users/5937427/items/Z5H48TN8"],"itemData":{"id":5778,"type":"article-journal","abstract":"This study investigated the effects of anxiety on nonverbal aspects of speech using data collected in the framework of a large study of social phobia treatment. The speech of social phobics (N = 71) was recorded during an anxiogenic public speaking task both before and after treatment. The speech samples were analyzed with respect to various acoustic parameters related to pitch, loudness, voice quality, and temporal aspects of speech. The samples were further content-masked by low-pass filtering (which obscures the linguistic content of the speech but preserves nonverbal affective cues) and subjected to listening tests. Results showed that a decrease in experienced state anxiety after treatment was accompanied by corresponding decreases in (a) several acoustic parameters (i.e., mean and maximum voice pitch, high-frequency components in the energy spectrum, and proportion of silent pauses), and (b) listeners’ perceived level of nervousness. Both speakers’ self-ratings of state anxiety and listeners’ ratings of perceived nervousness were further correlated with similar acoustic parameters. The results complement earlier studies on vocal affect expression which have been conducted on posed, rather than authentic, emotional speech.","container-title":"Journal of Nonverbal Behavior","DOI":"10.1007/s10919-008-0055-9","ISSN":"1573-3653","issue":"4","journalAbbreviation":"J Nonverbal Behav","language":"en","page":"195-214","source":"Springer Link","title":"In a Nervous Voice: Acoustic Analysis and Perception of Anxiety in Social Phobics’ Speech","title-short":"In a Nervous Voice","URL":"https://doi.org/10.1007/s10919-008-0055-9","volume":"32","author":[{"family":"Laukka","given":"Petri"},{"family":"Linnman","given":"Clas"},{"family":"Åhs","given":"Fredrik"},{"family":"Pissiota","given":"Anna"},{"family":"Frans","given":"Örjan"},{"family":"Faria","given":"Vanda"},{"family":"Michelgård","given":"Åsa"},{"family":"Appel","given":"Lieuwe"},{"family":"Fredrikson","given":"Mats"},{"family":"Furmark","given":"Tomas"}],"accessed":{"date-parts":[["2025",7,8]]},"issued":{"date-parts":[["2008",12,1]]},"citation-key":"laukkaNervousVoiceAcoustic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85</w:t>
            </w:r>
            <w:r w:rsidR="0086251C" w:rsidRPr="0B44BD26">
              <w:fldChar w:fldCharType="end"/>
            </w:r>
            <w:r w:rsidR="2B65B4A9"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otras son voluntarias y contextualmente ajustadas. El extraordinario control vocal de los seres humanos </w:t>
            </w:r>
            <w:r w:rsidR="52EC1F18" w:rsidRPr="0B44BD26">
              <w:rPr>
                <w:rFonts w:ascii="Avenir Next LT Pro" w:eastAsia="Avenir Next LT Pro" w:hAnsi="Avenir Next LT Pro" w:cs="Avenir Next LT Pro"/>
              </w:rPr>
              <w:t xml:space="preserve">nos </w:t>
            </w:r>
            <w:r w:rsidRPr="0B44BD26">
              <w:rPr>
                <w:rFonts w:ascii="Avenir Next LT Pro" w:eastAsia="Avenir Next LT Pro" w:hAnsi="Avenir Next LT Pro" w:cs="Avenir Next LT Pro"/>
              </w:rPr>
              <w:t xml:space="preserve">permite realizar acciones tan complejas como </w:t>
            </w:r>
            <w:r w:rsidR="3B0249F9" w:rsidRPr="0B44BD26">
              <w:rPr>
                <w:rFonts w:ascii="Avenir Next LT Pro" w:eastAsia="Avenir Next LT Pro" w:hAnsi="Avenir Next LT Pro" w:cs="Avenir Next LT Pro"/>
              </w:rPr>
              <w:t xml:space="preserve">reír o gritar a voluntad, </w:t>
            </w:r>
            <w:r w:rsidRPr="0B44BD26">
              <w:rPr>
                <w:rFonts w:ascii="Avenir Next LT Pro" w:eastAsia="Avenir Next LT Pro" w:hAnsi="Avenir Next LT Pro" w:cs="Avenir Next LT Pro"/>
              </w:rPr>
              <w:t>actuar, imitar a otr</w:t>
            </w:r>
            <w:r w:rsidR="6B504F16" w:rsidRPr="0B44BD26">
              <w:rPr>
                <w:rFonts w:ascii="Avenir Next LT Pro" w:eastAsia="Avenir Next LT Pro" w:hAnsi="Avenir Next LT Pro" w:cs="Avenir Next LT Pro"/>
              </w:rPr>
              <w:t>a</w:t>
            </w:r>
            <w:r w:rsidRPr="0B44BD26">
              <w:rPr>
                <w:rFonts w:ascii="Avenir Next LT Pro" w:eastAsia="Avenir Next LT Pro" w:hAnsi="Avenir Next LT Pro" w:cs="Avenir Next LT Pro"/>
              </w:rPr>
              <w:t xml:space="preserve">s </w:t>
            </w:r>
            <w:r w:rsidR="6B504F16" w:rsidRPr="0B44BD26">
              <w:rPr>
                <w:rFonts w:ascii="Avenir Next LT Pro" w:eastAsia="Avenir Next LT Pro" w:hAnsi="Avenir Next LT Pro" w:cs="Avenir Next LT Pro"/>
              </w:rPr>
              <w:t xml:space="preserve">personas, </w:t>
            </w:r>
            <w:r w:rsidRPr="0B44BD26">
              <w:rPr>
                <w:rFonts w:ascii="Avenir Next LT Pro" w:eastAsia="Avenir Next LT Pro" w:hAnsi="Avenir Next LT Pro" w:cs="Avenir Next LT Pro"/>
              </w:rPr>
              <w:t>o incluso cantar.</w:t>
            </w:r>
          </w:p>
          <w:p w14:paraId="61FD985C" w14:textId="188A8B78"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Muchas de estas modulaciones comunican señales emocionales</w:t>
            </w:r>
            <w:r w:rsidR="0086251C" w:rsidRPr="0B44BD26">
              <w:fldChar w:fldCharType="begin"/>
            </w:r>
            <w:r w:rsidR="0086251C" w:rsidRPr="0B44BD26">
              <w:instrText xml:space="preserve"> ADDIN ZOTERO_ITEM CSL_CITATION {"citationID":"077lUO7t","properties":{"formattedCitation":"\\super 86\\nosupersub{}","plainCitation":"86","noteIndex":0},"citationItems":[{"id":5779,"uris":["http://zotero.org/users/5937427/items/RZJPPT7U"],"itemData":{"id":5779,"type":"article-journal","abstract":"Decoders can detect emotion in voice with much greater accuracy than can be achieved by objective acoustic analysis. Studies that have established this advantage, however, used methods that may have favored decoders and disadvantaged acoustic analysis. In this study, we applied several methodologic modifications for the analysis of the acoustic differentiation of fear, anger, sadness, and joy. Thirty-one female subjects between the ages of 18 and 35 (encoders) were audio-recorded during an emotion-induction procedure and produced a total of 620 emotion-laden sentences. Twelve female judges (decoders), three for each of the four emotions, were assigned to rate the intensity of one emotion each. Their combined ratings were used to select 38 prototype samples per emotion. Past acoustic findings were replicated, and increased acoustic differentiation among the emotions was achieved. Multiple regression analysis suggested that some, although not all, of the acoustic variables were associated with decoders' ratings. Signal detection analysis gave some insight into this disparity. However, the analysis of the classic constellation of acoustic variables may not completely capture the acoustic features that influence decoders' ratings. Future analyses would likely benefit from the parallel assessment of respiration, phonation, and articulation.","container-title":"Journal of Psycholinguistic Research","DOI":"10.1023/A:1023237014909","ISSN":"1573-6555","issue":"4","journalAbbreviation":"J Psycholinguist Res","language":"en","page":"347-365","source":"Springer Link","title":"Emotion in Speech: The Acoustic Attributes of Fear, Anger, Sadness, and Joy","title-short":"Emotion in Speech","URL":"https://doi.org/10.1023/A:1023237014909","volume":"28","author":[{"family":"Sobin","given":"Christina"},{"family":"Alpert","given":"Murray"}],"accessed":{"date-parts":[["2025",7,8]]},"issued":{"date-parts":[["1999",7,1]]},"citation-key":"sobinEmotionSpeechAcoustic1999"}}],"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86</w:t>
            </w:r>
            <w:r w:rsidR="0086251C" w:rsidRPr="0B44BD26">
              <w:fldChar w:fldCharType="end"/>
            </w:r>
            <w:r w:rsidRPr="0B44BD26">
              <w:rPr>
                <w:rFonts w:ascii="Avenir Next LT Pro" w:eastAsia="Avenir Next LT Pro" w:hAnsi="Avenir Next LT Pro" w:cs="Avenir Next LT Pro"/>
              </w:rPr>
              <w:t xml:space="preserve"> y se producen en respuesta a situaciones sociales específicas. Por ejemplo, se han documentado cambios en la voz para atraer la atención</w:t>
            </w:r>
            <w:r w:rsidR="0086251C" w:rsidRPr="0B44BD26">
              <w:fldChar w:fldCharType="begin"/>
            </w:r>
            <w:r w:rsidR="0086251C" w:rsidRPr="0B44BD26">
              <w:instrText xml:space="preserve"> ADDIN ZOTERO_ITEM CSL_CITATION {"citationID":"TDQFrVtC","properties":{"formattedCitation":"\\super 87\\nosupersub{}","plainCitation":"87","noteIndex":0},"citationItems":[{"id":970,"uris":["http://zotero.org/users/5937427/items/HHR7LCZE"],"itemData":{"id":970,"type":"article-journal","abstract":"The exaggerated intonation and special rhythmic properties of infant-directed speech (IDS) have been hypothesized to attract infants’ attention to the speech stream. However, there has been little work actually connecting the properties of IDS to models of attentional processing or perceptual learning. A number of such attention models suggest that surprising or novel perceptual inputs attract attention, where novelty can be operationalized as the statistical (un)predictability of the stimulus in the given context. Since prosodic patterns such as F0 contours are accessible to young infants who are also known to be adept statistical learners, the present paper investigates a hypothesis that F0 contours in IDS are less predictable than those in adult-directed speech (ADS), given previous exposure to both speaking styles, thereby potentially tapping into basic attentional mechanisms of the listeners in a similar manner that relative probabilities of other linguistic patterns are known to modulate attentional processing in infants and adults. Computational modeling analyses with naturalistic IDS and ADS speech from matched speakers and contexts show that IDS intonation has lower overall temporal predictability even when the F0 contours of both speaking styles are normalized to have equal means and variances. A closer analysis reveals that there is a tendency of IDS intonation to be less predictable at the end of short utterances, whereas ADS exhibits more stable average predictability patterns across the full extent of the utterances. The difference between IDS and ADS persists even when the proportion of IDS and ADS exposure is varied substantially, simulating different relative amounts of IDS heard in different family and cultural environments. Exposure to IDS is also found to be more efficient for predicting ADS intonation contours in new utterances than exposure to the equal amount of ADS speech. This indicates that the more variable prosodic contours of IDS also generalize to ADS, and may therefore enhance prosodic learning in infancy. Overall, the study suggests that one reason behind infant preference for IDS could be its higher information value at the prosodic level, as measured by the amount of surprisal in the F0 contours. This provides the first formal link between the properties of IDS and the models of attentional processing and statistical learning in the brain. However, this finding does not rule out the possibility that other differences between the IDS and ADS also play a role.","container-title":"Cognition","DOI":"10.1016/j.cognition.2018.05.015","ISSN":"0010-0277","journalAbbreviation":"Cognition","language":"en","page":"193-206","source":"ScienceDirect","title":"Is infant-directed speech interesting because it is surprising? – Linking properties of IDS to statistical learning and attention at the prosodic level","title-short":"Is infant-directed speech interesting because it is surprising?","URL":"https://www.sciencedirect.com/science/article/pii/S0010027718301355","volume":"178","author":[{"family":"Räsänen","given":"Okko"},{"family":"Kakouros","given":"Sofoklis"},{"family":"Soderstrom","given":"Melanie"}],"accessed":{"date-parts":[["2023",5,4]]},"issued":{"date-parts":[["2018",9,1]]},"citation-key":"rasanenInfantdirectedSpeechInteresting2018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87</w:t>
            </w:r>
            <w:r w:rsidR="0086251C" w:rsidRPr="0B44BD26">
              <w:fldChar w:fldCharType="end"/>
            </w:r>
            <w:r w:rsidRPr="0B44BD26">
              <w:rPr>
                <w:rFonts w:ascii="Avenir Next LT Pro" w:eastAsia="Avenir Next LT Pro" w:hAnsi="Avenir Next LT Pro" w:cs="Avenir Next LT Pro"/>
              </w:rPr>
              <w:t xml:space="preserve"> y fortalecer vínculos</w:t>
            </w:r>
            <w:r w:rsidR="0086251C" w:rsidRPr="0B44BD26">
              <w:fldChar w:fldCharType="begin"/>
            </w:r>
            <w:r w:rsidR="0086251C" w:rsidRPr="0B44BD26">
              <w:instrText xml:space="preserve"> ADDIN ZOTERO_ITEM CSL_CITATION {"citationID":"qo8mPc1I","properties":{"formattedCitation":"\\super 1\\nosupersub{}","plainCitation":"1","noteIndex":0},"citationItems":[{"id":809,"uris":["http://zotero.org/users/5937427/items/MHN4CZDT"],"itemData":{"id":809,"type":"article-journal","abstract":"Although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w:t>
            </w:r>
            <w:r w:rsidR="0086251C" w:rsidRPr="0B44BD26">
              <w:fldChar w:fldCharType="end"/>
            </w:r>
            <w:r w:rsidRPr="0B44BD26">
              <w:rPr>
                <w:rFonts w:ascii="Avenir Next LT Pro" w:eastAsia="Avenir Next LT Pro" w:hAnsi="Avenir Next LT Pro" w:cs="Avenir Next LT Pro"/>
              </w:rPr>
              <w:t xml:space="preserve"> con bebés prelingüísticos, así como para exagerar rasgos deseables en el cortejo (como la feminidad o masculinidad) o en contextos de jerarquía social, donde se modulan aspectos como la dominancia (</w:t>
            </w:r>
            <w:r w:rsidR="60376CE0" w:rsidRPr="0B44BD26">
              <w:rPr>
                <w:rFonts w:ascii="Avenir Next LT Pro" w:eastAsia="Avenir Next LT Pro" w:hAnsi="Avenir Next LT Pro" w:cs="Avenir Next LT Pro"/>
              </w:rPr>
              <w:t>ver</w:t>
            </w:r>
            <w:r w:rsidRPr="0B44BD26">
              <w:rPr>
                <w:rFonts w:ascii="Avenir Next LT Pro" w:eastAsia="Avenir Next LT Pro" w:hAnsi="Avenir Next LT Pro" w:cs="Avenir Next LT Pro"/>
              </w:rPr>
              <w:t xml:space="preserve"> revisión</w:t>
            </w:r>
            <w:r w:rsidR="0086251C" w:rsidRPr="0B44BD26">
              <w:fldChar w:fldCharType="begin"/>
            </w:r>
            <w:r w:rsidR="0086251C" w:rsidRPr="0B44BD26">
              <w:instrText xml:space="preserve"> ADDIN ZOTERO_ITEM CSL_CITATION {"citationID":"mmV1QKnh","properties":{"formattedCitation":"\\super 56\\nosupersub{}","plainCitation":"56","noteIndex":0},"citationItems":[{"id":1035,"uris":["http://zotero.org/users/5937427/items/EM8RKG4J"],"itemData":{"id":1035,"type":"article-journal","abstract":"The human voice is dynamic, and people modulate their voices across different social interactions. This article presents a review of the literature examining natural vocal modulation in social contexts relevant to human mating and intrasexual competition. Altering acoustic parameters during speech, particularly pitch, in response to mating and competitive contexts can influence social perception and indicate certain qualities of the speaker. For instance, a lowered voice pitch is often used to exert dominance, display status, and compete with rivals. Changes in voice can also serve as a salient medium for signaling a person’s attraction to another, and there is evidence to support the notion that attraction and/or romantic interest can be distinguished through vocal tones alone. Individuals can purposely change their vocal behavior in attempt to sound more attractive and to facilitate courtship success. Several findings also point to the effectiveness of vocal change as a mechanism for communicating relationship status. As future studies continue to explore vocal modulation in the arena of human mating, we will gain a better understanding of how and why vocal modulation varies across social contexts and its impact on receiver psychology.","container-title":"Philosophical Transactions of the Royal Society B: Biological Sciences","DOI":"10.1098/rstb.2020.0388","issue":"1840","journalAbbreviation":"Phil.  Trans.  R.  Soc.  B","page":"20200388","title":"Vocal Modulation in Human Mating and Competition","volume":"376","author":[{"family":"Hughes","given":"Susan M."},{"family":"Puts","given":"David Andrew"}],"issued":{"date-parts":[["2021"]]},"citation-key":"hughesVocalModulationHuman2021"}}],"schema":"https://github.com/citation-style-language/schema/raw/master/csl-citation.json"}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56</w:t>
            </w:r>
            <w:r w:rsidR="0086251C" w:rsidRPr="0B44BD26">
              <w:fldChar w:fldCharType="end"/>
            </w:r>
            <w:r w:rsidRPr="0B44BD26">
              <w:rPr>
                <w:rFonts w:ascii="Avenir Next LT Pro" w:eastAsia="Avenir Next LT Pro" w:hAnsi="Avenir Next LT Pro" w:cs="Avenir Next LT Pro"/>
              </w:rPr>
              <w:t>). Sin embargo,</w:t>
            </w:r>
            <w:r w:rsidR="2CE4ADFA" w:rsidRPr="0B44BD26">
              <w:rPr>
                <w:rFonts w:ascii="Avenir Next LT Pro" w:eastAsia="Avenir Next LT Pro" w:hAnsi="Avenir Next LT Pro" w:cs="Avenir Next LT Pro"/>
              </w:rPr>
              <w:t xml:space="preserve"> y a pesar de que recientemente propusimos y lideramos la edición del primer compendio transdisciplinar </w:t>
            </w:r>
            <w:r w:rsidR="132E8749" w:rsidRPr="0B44BD26">
              <w:rPr>
                <w:rFonts w:ascii="Avenir Next LT Pro" w:eastAsia="Avenir Next LT Pro" w:hAnsi="Avenir Next LT Pro" w:cs="Avenir Next LT Pro"/>
              </w:rPr>
              <w:t>en modulación vocal</w:t>
            </w:r>
            <w:r w:rsidR="0086251C" w:rsidRPr="0B44BD26">
              <w:fldChar w:fldCharType="begin"/>
            </w:r>
            <w:r w:rsidR="0086251C" w:rsidRPr="0B44BD26">
              <w:instrText xml:space="preserve"> ADDIN ZOTERO_ITEM CSL_CITATION {"citationID":"1qCurlpg","properties":{"formattedCitation":"\\super 88,89\\nosupersub{}","plainCitation":"88,89","noteIndex":0},"citationItems":[{"id":3107,"uris":["http://zotero.org/users/5937427/items/X9JMPPUP"],"itemData":{"id":3107,"type":"article-journal","abstract":"Research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 &lt;i&gt;[Número especial]&lt;/i&gt;","language":"en","license":"All rights reserved","title":"Voice modulation: from origin and mechanism to social impact (Part 1)","title-short":"Voice modulation","URL":"https://royalsocietypublishing.org/toc/rstb/2021/376/1840","volume":"376","editor":[{"family":"Leongómez","given":"Juan David"},{"family":"Pisanski","given":"Katarzyna"},{"family":"Reby","given":"David"},{"family":"Sauter","given":"Disa"},{"family":"Lavan","given":"Nadine"},{"family":"Perlman","given":"Marcus"},{"family":"Varella Valentova","given":"Jaroslava"}],"accessed":{"date-parts":[["2021",11,22]]},"issued":{"date-parts":[["2021",12,20]]},"citation-key":"leongomezVoiceModulationOrigin2021a"}},{"id":3108,"uris":["http://zotero.org/users/5937427/items/XG7IF9BH"],"itemData":{"id":3108,"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 &lt;i&gt;[Número especial]&lt;/i&gt;","language":"en","license":"All rights reserved","title":"Voice modulation: from origin and mechanism to social impact (Part 2)","title-short":"Voice modulation","URL":"https://royalsocietypublishing.org/toc/rstb/2022/377/1841","volume":"377","editor":[{"family":"Leongómez","given":"Juan David"},{"family":"Pisanski","given":"Katarzyna"},{"family":"Reby","given":"David"},{"family":"Sauter","given":"Disa"},{"family":"Lavan","given":"Nadine"},{"family":"Perlman","given":"Marcus"},{"family":"Varella Valentova","given":"Jaroslava"}],"accessed":{"date-parts":[["2021",11,22]]},"issued":{"date-parts":[["2022",1,3]]},"citation-key":"leongomezVoiceModulationOrigin2022"}}],"schema":"https://github.com/citation-style-language/schema/raw/master/csl-citation.json"}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88,89</w:t>
            </w:r>
            <w:r w:rsidR="0086251C" w:rsidRPr="0B44BD26">
              <w:fldChar w:fldCharType="end"/>
            </w:r>
            <w:r w:rsidR="132E8749"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 xml:space="preserve"> muchos de estos fenómenos aún no se comprenden del todo, y los resultados en la literatura son a menudo contradictorios.</w:t>
            </w:r>
          </w:p>
          <w:p w14:paraId="6F1BD375" w14:textId="6B0193C0" w:rsidR="00A71FD4" w:rsidRPr="00A71FD4"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El habla dirigida a bebés (IDS)</w:t>
            </w:r>
          </w:p>
          <w:p w14:paraId="1CE8567A" w14:textId="542A8216"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habla dirigida a bebés (IDS, por sus siglas en inglés) o “maternés” es probablemente la forma de modulación vocal intencional más estudiada en la comunicación humana. El IDS es una forma de comunicación vocal universal</w:t>
            </w:r>
            <w:r w:rsidR="0086251C" w:rsidRPr="0B44BD26">
              <w:fldChar w:fldCharType="begin"/>
            </w:r>
            <w:r w:rsidR="0086251C" w:rsidRPr="0B44BD26">
              <w:instrText xml:space="preserve"> ADDIN ZOTERO_ITEM CSL_CITATION {"citationID":"2tOGrLV5","properties":{"formattedCitation":"\\super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w:t>
            </w:r>
            <w:r w:rsidR="0086251C" w:rsidRPr="0B44BD26">
              <w:fldChar w:fldCharType="end"/>
            </w:r>
            <w:r w:rsidRPr="0B44BD26">
              <w:rPr>
                <w:rFonts w:ascii="Avenir Next LT Pro" w:eastAsia="Avenir Next LT Pro" w:hAnsi="Avenir Next LT Pro" w:cs="Avenir Next LT Pro"/>
              </w:rPr>
              <w:t>, empleada con infantes desde etapas en las que aún no comprenden los contenidos lingüísticos del habla. En estas etapas, la comunicación vocal es primordialmente emocional, paralingüística y codificada mediante modulaciones acústicas</w:t>
            </w:r>
            <w:r w:rsidR="0086251C" w:rsidRPr="0B44BD26">
              <w:fldChar w:fldCharType="begin"/>
            </w:r>
            <w:r w:rsidR="0086251C" w:rsidRPr="0B44BD26">
              <w:instrText xml:space="preserve"> ADDIN ZOTERO_ITEM CSL_CITATION {"citationID":"heLqvJVZ","properties":{"formattedCitation":"\\super 18,75\\nosupersub{}","plainCitation":"18,75","noteIndex":0},"citationItems":[{"id":974,"uris":["http://zotero.org/users/5937427/items/SNWYLJDK"],"itemData":{"id":974,"type":"article-journal","abstract":"When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18,75</w:t>
            </w:r>
            <w:r w:rsidR="0086251C" w:rsidRPr="0B44BD26">
              <w:fldChar w:fldCharType="end"/>
            </w:r>
            <w:r w:rsidRPr="0B44BD26">
              <w:rPr>
                <w:rFonts w:ascii="Avenir Next LT Pro" w:eastAsia="Avenir Next LT Pro" w:hAnsi="Avenir Next LT Pro" w:cs="Avenir Next LT Pro"/>
              </w:rPr>
              <w:t>. Además, el IDS no es unidireccional, sino que se ajusta en función de la retroalimentación del bebé</w:t>
            </w:r>
            <w:r w:rsidR="0086251C" w:rsidRPr="0B44BD26">
              <w:fldChar w:fldCharType="begin"/>
            </w:r>
            <w:r w:rsidR="0086251C" w:rsidRPr="0B44BD26">
              <w:instrText xml:space="preserve"> ADDIN ZOTERO_ITEM CSL_CITATION {"citationID":"jgGTCHv0","properties":{"formattedCitation":"\\super 90\\nosupersub{}","plainCitation":"90","noteIndex":0},"citationItems":[{"id":3095,"uris":["http://zotero.org/users/5937427/items/EKQH33CC"],"itemData":{"id":3095,"type":"article-journal","abstract":"When mothers engage in infant-directed (ID) speech, their voices change in a number of characteristic ways, including adopting a higher overall pitch. Studies have examined these acoustical cues and have tested infants' preferences for ID speech. However, little is known about how these cues change with maternal sensitivity to infant feedback in the context of interaction. In this study, each mother watched her infant (located in an adjacent sound booth) on a video screen and talked to him or her through a microphone. The mother believed that her infant could hear her voice and she attempted to make her infant happy through her vocalizations. In reality, the infant could not hear her voice. The mother's ID speech was analyzed in real time for changes in mean pitch. For half of the infant–mother dyads an experimenter surreptitiously positively engaged the infant when the voice analysis revealed a rise in pitch, thereby producing positive reinforcement to the mother for natural higher pitched ID speech. The other half were reinforced for lower pitched ID speech. Mothers raised their pitch significantly more in the former than the latter condition, illustrating that the pitch of ID speech is dynamically affected by feedback from the infant.","container-title":"Infancy","DOI":"10.1080/15250000802188719","ISSN":"1525-0008","issue":"4","note":"publisher: Routledge\n_eprint: https://www.tandfonline.com/doi/pdf/10.1080/15250000802188719","page":"410-420","source":"Taylor and Francis+NEJM","title":"Infant-Directed Speech Is Modulated by Infant Feedback","URL":"https://www.tandfonline.com/doi/abs/10.1080/15250000802188719","volume":"13","author":[{"family":"Smith","given":"Nicholas A."},{"family":"Trainor","given":"Laurel J."}],"accessed":{"date-parts":[["2023",5,4]]},"issued":{"date-parts":[["2008",7,24]]},"citation-key":"smithInfantDirectedSpeechModulated2008"}}],"schema":"https://github.com/citation-style-language/schema/raw/master/csl-citation.json"}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90</w:t>
            </w:r>
            <w:r w:rsidR="0086251C" w:rsidRPr="0B44BD26">
              <w:fldChar w:fldCharType="end"/>
            </w:r>
            <w:r w:rsidRPr="0B44BD26">
              <w:rPr>
                <w:rFonts w:ascii="Avenir Next LT Pro" w:eastAsia="Avenir Next LT Pro" w:hAnsi="Avenir Next LT Pro" w:cs="Avenir Next LT Pro"/>
              </w:rPr>
              <w:t>.</w:t>
            </w:r>
          </w:p>
          <w:p w14:paraId="73391189" w14:textId="55C6EA92"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Si bien los contenidos lingüísticos (como el significado y la sintaxis) ganan importancia a medida que el lenguaje se desarrolla</w:t>
            </w:r>
            <w:r w:rsidR="0086251C" w:rsidRPr="0B44BD26">
              <w:fldChar w:fldCharType="begin"/>
            </w:r>
            <w:r w:rsidR="0086251C" w:rsidRPr="0B44BD26">
              <w:instrText xml:space="preserve"> ADDIN ZOTERO_ITEM CSL_CITATION {"citationID":"ssGkuVmy","properties":{"formattedCitation":"\\super 6,7,69\\nosupersub{}","plainCitation":"6,7,69","noteIndex":0},"citationItems":[{"id":3096,"uris":["http://zotero.org/users/5937427/items/N3YUS5LE"],"itemData":{"id":3096,"type":"article-journal","abstract":"There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979,"uris":["http://zotero.org/users/5937427/items/64PBC9N6"],"itemData":{"id":979,"type":"article-journal","abstract":"Over the first year of life, infant perception changes radically as the child learns the phonology of the ambient language from the speech she is exposed to. Since infant-directed speech attracts the child's attention more than other registers, it is necessary to describe that input in order to understand language development, and to address questions of learnability. In this review, evidence from corpora analyses, experimental studies, and observational paradigms is brought together to outline the first comprehensive empirical picture of infant-directed speech and its effects on language acquisition. The ensuing landscape suggests that infant-directed speech provides an emotionally and linguistically rich input to language acquisition.","container-title":"Language and Linguistics Compass","DOI":"10.1111/lnc3.12015","ISSN":"1749-818X","issue":"3","language":"en","note":"_eprint: https://onlinelibrary.wiley.com/doi/pdf/10.1111/lnc3.12015","page":"157-170","source":"Wiley Online Library","title":"Input to Language: The Phonetics and Perception of Infant-Directed Speech","title-short":"Input to Language","URL":"https://onlinelibrary.wiley.com/doi/abs/10.1111/lnc3.12015","volume":"7","author":[{"family":"Cristia","given":"Alejandrina"}],"accessed":{"date-parts":[["2023",5,4]]},"issued":{"date-parts":[["2013"]]},"citation-key":"cristiaInputLanguagePhonetics2013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6,7,69</w:t>
            </w:r>
            <w:r w:rsidR="0086251C" w:rsidRPr="0B44BD26">
              <w:fldChar w:fldCharType="end"/>
            </w:r>
            <w:r w:rsidRPr="0B44BD26">
              <w:rPr>
                <w:rFonts w:ascii="Avenir Next LT Pro" w:eastAsia="Avenir Next LT Pro" w:hAnsi="Avenir Next LT Pro" w:cs="Avenir Next LT Pro"/>
              </w:rPr>
              <w:t>, las características acústicas exageradas del IDS disminuyen con el tiempo</w:t>
            </w:r>
            <w:r w:rsidR="0086251C" w:rsidRPr="0B44BD26">
              <w:fldChar w:fldCharType="begin"/>
            </w:r>
            <w:r w:rsidR="0086251C" w:rsidRPr="0B44BD26">
              <w:instrText xml:space="preserve"> ADDIN ZOTERO_ITEM CSL_CITATION {"citationID":"9h9rzNgI","properties":{"formattedCitation":"\\super 91,92\\nosupersub{}","plainCitation":"91,92","noteIndex":0},"citationItems":[{"id":977,"uris":["http://zotero.org/users/5937427/items/Z2D7LK7G"],"itemData":{"id":977,"type":"article-journal","abstract":"The speech rate and pitch (F0) characteristics of naturalistic, longitudinally recorded infant- and adult-directed speech are reported for three, genetically diverse languages. Previous research has suggested that the prosodic characteristics of infant-directed speech are slowed speech rate, raised mean pitch, and expanded pitch range relative to adult-directed speech. Sixteen mothers (5 Sri Lankan Tamil, 5 Tagalog, 6 Korean) were recorded in their homes during natural interactions with their young infants, and adults, over the course of 12 months beginning when the infant was 4 months old. Regression models indicated that the difference between infant- and adult-directed speech rates decreased across the first year of infants' development. Models of pitch revealed predicted differences between infant- and adult-directed speech but did not provide evidence for cross-linguistic or longitudinal effects within the time period investigated for the three languages. The universality of slowed speech rate, raised pitch, and expanded pitch range is discussed in light of individuals' highly variable implementation of these prosodic features in infant-directed speech.","container-title":"The Journal of the Acoustical Society of America","DOI":"10.1121/1.4944634","ISSN":"0001-4966","issue":"3","journalAbbreviation":"The Journal of the Acoustical Society of America","page":"1272-1281","source":"Silverchair","title":"Speech rate and pitch characteristics of infant-directed speech: Longitudinal and cross-linguistic observations","title-short":"Speech rate and pitch characteristics of infant-directed speech","URL":"https://doi.org/10.1121/1.4944634","volume":"139","author":[{"family":"Narayan","given":"Chandan R."},{"family":"McDermott","given":"Lily C."}],"accessed":{"date-parts":[["2023",5,4]]},"issued":{"date-parts":[["2016",3,23]]},"citation-key":"narayanSpeechRatePitch2016"}},{"id":975,"uris":["http://zotero.org/users/5937427/items/4KVPHRK9"],"itemData":{"id":975,"type":"article-journal","abstract":"When speaking to infants, adults often produce speech that differs systematically from that directed to other adults. To quantify the acoustic properties of this speech style across a wide variety of languages and cultures, we extracted results from empirical studies on the acoustic features of infant-directed speech. We analysed data from 88 unique studies (734 effect sizes) on the following five acoustic parameters that have been systematically examined in the literature: fundamental frequency (f0), f0 variability, vowel space area, articulation rate and vowel duration. Moderator analyses were conducted in hierarchical Bayesian robust regression models to examine how these features change with infant age and differ across languages, experimental tasks and recording environments. The moderator analyses indicated that f0, articulation rate and vowel duration became more similar to adult-directed speech over time, whereas f0 variability and vowel space area exhibited stability throughout development. These results point the way for future research to disentangle different accounts of the functions and learnability of infant-directed speech by conducting theory-driven comparisons among different languages and using computational models to formulate testable predictions.","container-title":"Nature Human Behaviour","DOI":"10.1038/s41562-022-01452-1","ISSN":"2397-3374","issue":"1","journalAbbreviation":"Nat Hum Behav","language":"en","license":"2022 The Author(s), under exclusive licence to Springer Nature Limited","note":"number: 1\npublisher: Nature Publishing Group","page":"114-133","source":"www.nature.com","title":"A systematic review and Bayesian meta-analysis of the acoustic features of infant-directed speech","URL":"https://www.nature.com/articles/s41562-022-01452-1","volume":"7","author":[{"family":"Cox","given":"Christopher"},{"family":"Bergmann","given":"Christina"},{"family":"Fowler","given":"Emma"},{"family":"Keren-Portnoy","given":"Tamar"},{"family":"Roepstorff","given":"Andreas"},{"family":"Bryant","given":"Greg"},{"family":"Fusaroli","given":"Riccardo"}],"accessed":{"date-parts":[["2023",5,4]]},"issued":{"date-parts":[["2023",1]]},"citation-key":"coxSystematicReviewBayesian2023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91,92</w:t>
            </w:r>
            <w:r w:rsidR="0086251C" w:rsidRPr="0B44BD26">
              <w:fldChar w:fldCharType="end"/>
            </w:r>
            <w:r w:rsidRPr="0B44BD26">
              <w:rPr>
                <w:rFonts w:ascii="Avenir Next LT Pro" w:eastAsia="Avenir Next LT Pro" w:hAnsi="Avenir Next LT Pro" w:cs="Avenir Next LT Pro"/>
              </w:rPr>
              <w:t>. La investigación ha demostrado que estas modulaciones vocales son fundamentales tanto para la adquisición del lenguaje</w:t>
            </w:r>
            <w:r w:rsidR="0086251C" w:rsidRPr="0B44BD26">
              <w:fldChar w:fldCharType="begin"/>
            </w:r>
            <w:r w:rsidR="0086251C" w:rsidRPr="0B44BD26">
              <w:instrText xml:space="preserve"> ADDIN ZOTERO_ITEM CSL_CITATION {"citationID":"OSgA8HFb","properties":{"formattedCitation":"\\super 4\\uc0\\u8211{}9\\nosupersub{}","plainCitation":"4–9","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4–9</w:t>
            </w:r>
            <w:r w:rsidR="0086251C" w:rsidRPr="0B44BD26">
              <w:fldChar w:fldCharType="end"/>
            </w:r>
            <w:r w:rsidRPr="0B44BD26">
              <w:rPr>
                <w:rFonts w:ascii="Avenir Next LT Pro" w:eastAsia="Avenir Next LT Pro" w:hAnsi="Avenir Next LT Pro" w:cs="Avenir Next LT Pro"/>
              </w:rPr>
              <w:t xml:space="preserve"> como para la regulación afectiva del bebé</w:t>
            </w:r>
            <w:r w:rsidR="0086251C" w:rsidRPr="0B44BD26">
              <w:fldChar w:fldCharType="begin"/>
            </w:r>
            <w:r w:rsidR="0086251C" w:rsidRPr="0B44BD26">
              <w:instrText xml:space="preserve"> ADDIN ZOTERO_ITEM CSL_CITATION {"citationID":"K9wbZs74","properties":{"formattedCitation":"\\super 10,11\\nosupersub{}","plainCitation":"10,11","noteIndex":0},"citationItems":[{"id":768,"uris":["http://zotero.org/users/5937427/items/XRE7SQPR"],"itemData":{"id":768,"type":"article-journal","abstract":"In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10,11</w:t>
            </w:r>
            <w:r w:rsidR="0086251C" w:rsidRPr="0B44BD26">
              <w:fldChar w:fldCharType="end"/>
            </w:r>
            <w:r w:rsidRPr="0B44BD26">
              <w:rPr>
                <w:rFonts w:ascii="Avenir Next LT Pro" w:eastAsia="Avenir Next LT Pro" w:hAnsi="Avenir Next LT Pro" w:cs="Avenir Next LT Pro"/>
              </w:rPr>
              <w:t>, la coordinación comunicativa</w:t>
            </w:r>
            <w:r w:rsidR="0086251C" w:rsidRPr="0B44BD26">
              <w:fldChar w:fldCharType="begin"/>
            </w:r>
            <w:r w:rsidR="0086251C" w:rsidRPr="0B44BD26">
              <w:instrText xml:space="preserve"> ADDIN ZOTERO_ITEM CSL_CITATION {"citationID":"NVunBPu3","properties":{"formattedCitation":"\\super 12,14\\nosupersub{}","plainCitation":"12,14","noteIndex":0},"citationItems":[{"id":1151,"uris":["http://zotero.org/users/5937427/items/8JIRNTIB"],"itemData":{"id":1151,"type":"article-journal","abstract":"Music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worldwide.","container-title":"Behavioral and Brain Sciences","DOI":"10.1017/S0140525X20000345","ISSN":"0140-525X, 1469-1825","language":"en","note":"publisher: Cambridge University Press","page":"E60","source":"Cambridge University Press","title":"Origins of music in credible signaling","URL":"https://www.cambridge.org/core/journals/behavioral-and-brain-sciences/article/abs/origins-of-music-in-credible-signaling/82D36C04DA04D96AD9A77EEAF4BBFB34","volume":"44","author":[{"family":"Mehr","given":"Samuel A."},{"family":"Krasnow","given":"Max M."},{"family":"Bryant","given":"Gregory A."},{"family":"Hagen","given":"Edward H."}],"accessed":{"date-parts":[["2021",5,12]]},"issued":{"date-parts":[["2021"]]},"citation-key":"mehrOriginsMusicCredible2021"}},{"id":972,"uris":["http://zotero.org/users/5937427/items/8TFG6IJ3"],"itemData":{"id":972,"type":"article-journal","container-title":"Current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12,14</w:t>
            </w:r>
            <w:r w:rsidR="0086251C" w:rsidRPr="0B44BD26">
              <w:fldChar w:fldCharType="end"/>
            </w:r>
            <w:r w:rsidRPr="0B44BD26">
              <w:rPr>
                <w:rFonts w:ascii="Avenir Next LT Pro" w:eastAsia="Avenir Next LT Pro" w:hAnsi="Avenir Next LT Pro" w:cs="Avenir Next LT Pro"/>
              </w:rPr>
              <w:t>, y el establecimiento del apego.</w:t>
            </w:r>
          </w:p>
          <w:p w14:paraId="389D4804" w14:textId="75F5256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Entre las características acústicas universales del IDS se encuentran los contornos melódicos descendentes, el uso de tonos mucho más altos (mayor f₀ media), y una enorme variabilidad tonal (medida típicamente como f₀ SD o f₀ CV) </w:t>
            </w:r>
            <w:r w:rsidR="4687DF16" w:rsidRPr="0B44BD26">
              <w:rPr>
                <w:rFonts w:ascii="Avenir Next LT Pro" w:eastAsia="Avenir Next LT Pro" w:hAnsi="Avenir Next LT Pro" w:cs="Avenir Next LT Pro"/>
              </w:rPr>
              <w:t>en comparación con el habla dirigida a adultos (ADS)</w:t>
            </w:r>
            <w:r w:rsidR="0086251C" w:rsidRPr="0B44BD26">
              <w:fldChar w:fldCharType="begin"/>
            </w:r>
            <w:r w:rsidR="0086251C" w:rsidRPr="0B44BD26">
              <w:instrText xml:space="preserve"> ADDIN ZOTERO_ITEM CSL_CITATION {"citationID":"DKJYRPl6","properties":{"formattedCitation":"\\super 75,87,91,93,94\\nosupersub{}","plainCitation":"75,87,91,93,94","noteIndex":0},"citationItems":[{"id":794,"uris":["http://zotero.org/users/5937427/items/X4ZE6SDL"],"itemData":{"id":794,"type":"article-journal","abstract":"Many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N."}],"accessed":{"date-parts":[["2021",2,11]]},"issued":{"date-parts":[["2000",5,1]]},"citation-key":"trainorInfantDirectedSpeechProsody2000"}},{"id":970,"uris":["http://zotero.org/users/5937427/items/HHR7LCZE"],"itemData":{"id":970,"type":"article-journal","abstract":"The exaggerated intonation and special rhythmic properties of infant-directed speech (IDS) have been hypothesized to attract infants’ attention to the speech stream. However, there has been little work actually connecting the properties of IDS to models of attentional processing or perceptual learning. A number of such attention models suggest that surprising or novel perceptual inputs attract attention, where novelty can be operationalized as the statistical (un)predictability of the stimulus in the given context. Since prosodic patterns such as F0 contours are accessible to young infants who are also known to be adept statistical learners, the present paper investigates a hypothesis that F0 contours in IDS are less predictable than those in adult-directed speech (ADS), given previous exposure to both speaking styles, thereby potentially tapping into basic attentional mechanisms of the listeners in a similar manner that relative probabilities of other linguistic patterns are known to modulate attentional processing in infants and adults. Computational modeling analyses with naturalistic IDS and ADS speech from matched speakers and contexts show that IDS intonation has lower overall temporal predictability even when the F0 contours of both speaking styles are normalized to have equal means and variances. A closer analysis reveals that there is a tendency of IDS intonation to be less predictable at the end of short utterances, whereas ADS exhibits more stable average predictability patterns across the full extent of the utterances. The difference between IDS and ADS persists even when the proportion of IDS and ADS exposure is varied substantially, simulating different relative amounts of IDS heard in different family and cultural environments. Exposure to IDS is also found to be more efficient for predicting ADS intonation contours in new utterances than exposure to the equal amount of ADS speech. This indicates that the more variable prosodic contours of IDS also generalize to ADS, and may therefore enhance prosodic learning in infancy. Overall, the study suggests that one reason behind infant preference for IDS could be its higher information value at the prosodic level, as measured by the amount of surprisal in the F0 contours. This provides the first formal link between the properties of IDS and the models of attentional processing and statistical learning in the brain. However, this finding does not rule out the possibility that other differences between the IDS and ADS also play a role.","container-title":"Cognition","DOI":"10.1016/j.cognition.2018.05.015","ISSN":"0010-0277","journalAbbreviation":"Cognition","language":"en","page":"193-206","source":"ScienceDirect","title":"Is infant-directed speech interesting because it is surprising? – Linking properties of IDS to statistical learning and attention at the prosodic level","title-short":"Is infant-directed speech interesting because it is surprising?","URL":"https://www.sciencedirect.com/science/article/pii/S0010027718301355","volume":"178","author":[{"family":"Räsänen","given":"Okko"},{"family":"Kakouros","given":"Sofoklis"},{"family":"Soderstrom","given":"Melanie"}],"accessed":{"date-parts":[["2023",5,4]]},"issued":{"date-parts":[["2018",9,1]]},"citation-key":"rasanenInfantdirectedSpeechInteresting2018"}},{"id":977,"uris":["http://zotero.org/users/5937427/items/Z2D7LK7G"],"itemData":{"id":977,"type":"article-journal","abstract":"The speech rate and pitch (F0) characteristics of naturalistic, longitudinally recorded infant- and adult-directed speech are reported for three, genetically diverse languages. Previous research has suggested that the prosodic characteristics of infant-directed speech are slowed speech rate, raised mean pitch, and expanded pitch range relative to adult-directed speech. Sixteen mothers (5 Sri Lankan Tamil, 5 Tagalog, 6 Korean) were recorded in their homes during natural interactions with their young infants, and adults, over the course of 12 months beginning when the infant was 4 months old. Regression models indicated that the difference between infant- and adult-directed speech rates decreased across the first year of infants' development. Models of pitch revealed predicted differences between infant- and adult-directed speech but did not provide evidence for cross-linguistic or longitudinal effects within the time period investigated for the three languages. The universality of slowed speech rate, raised pitch, and expanded pitch range is discussed in light of individuals' highly variable implementation of these prosodic features in infant-directed speech.","container-title":"The Journal of the Acoustical Society of America","DOI":"10.1121/1.4944634","ISSN":"0001-4966","issue":"3","journalAbbreviation":"The Journal of the Acoustical Society of America","page":"1272-1281","source":"Silverchair","title":"Speech rate and pitch characteristics of infant-directed speech: Longitudinal and cross-linguistic observations","title-short":"Speech rate and pitch characteristics of infant-directed speech","URL":"https://doi.org/10.1121/1.4944634","volume":"139","author":[{"family":"Narayan","given":"Chandan R."},{"family":"McDermott","given":"Lily C."}],"accessed":{"date-parts":[["2023",5,4]]},"issued":{"date-parts":[["2016",3,23]]},"citation-key":"narayanSpeechRatePitch2016"}},{"id":2983,"uris":["http://zotero.org/users/5937427/items/QLUSUXIQ"],"itemData":{"id":2983,"type":"article-journal","container-title":"Infant Behavior and Development","DOI":"10.1016/0163-6383(87)90017-8","ISSN":"01636383","issue":"3","note":"Times cited: 1\ntex.ids= RefWorks:730","page":"279-293","title":"Acoustic determinants of infant preference for motherese speech","volume":"10","author":[{"family":"Fernald","given":"Anne"},{"family":"Kuhl","given":"Patricia K"}],"issued":{"date-parts":[["1987",7]]},"citation-key":"fernaldAcousticDeterminantsInfant1987"}},{"id":973,"uris":["http://zotero.org/users/5937427/items/K9RQ6T3U"],"itemData":{"id":973,"type":"article-journal","abstract":"A number of studies have examined the acoustic differences between infant-directed speech (IDS) and adult-directed speech, suggesting that the exaggerated acoustic properties of IDS might facilitate infants’ language development. However, there has been little empirical investigation of the acoustic properties that infants use for word learning. The goal of this study was thus to examine how 19-month-olds’ word recognition is affected by three acoustic properties of IDS: slow speaking rate, vowel hyper-articulation, and wide pitch range. Using the intermodal preferential looking procedure, infants were exposed to half of the test stimuli (e.g., Where’s the book?) in typical IDS style. The other half of the stimuli were digitally altered to remove one of the three properties under investigation. After the target word (e.g., book) was spoken, infants’ gaze toward target and distractor referents was measured frame by frame to examine the time course of word recognition. The results showed that slow speaking rate and vowel hyper-articulation significantly improved infants’ ability to recognize words, whereas wide pitch range did not. These findings suggest that 19-month-olds’ word recognition may be affected only by the linguistically relevant acoustic properties in IDS.","container-title":"The Journal of the Acoustical Society of America","DOI":"10.1121/1.3419786","ISSN":"0001-4966","issue":"1","journalAbbreviation":"The Journal of the Acoustical Society of America","note":"tex.ids= songEffectsAcousticProperties2010\nPMID: 20649233","page":"389-400","source":"Silverchair","title":"Effects of the acoustic properties of infant-directed speech on infant word recognitiona)","URL":"https://doi.org/10.1121/1.3419786","volume":"128","author":[{"family":"Song","given":"Jae Yung"},{"family":"Demuth","given":"Katherine"},{"family":"Morgan","given":"James"}],"accessed":{"date-parts":[["2023",5,4]]},"issued":{"date-parts":[["2010",7,16]]},"citation-key":"songEffectsAcousticProperties2010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75,87,91,93,94</w:t>
            </w:r>
            <w:r w:rsidR="0086251C" w:rsidRPr="0B44BD26">
              <w:fldChar w:fldCharType="end"/>
            </w:r>
            <w:r w:rsidR="3094212A" w:rsidRPr="0B44BD26">
              <w:rPr>
                <w:rFonts w:ascii="Avenir Next LT Pro" w:eastAsia="Avenir Next LT Pro" w:hAnsi="Avenir Next LT Pro" w:cs="Avenir Next LT Pro"/>
              </w:rPr>
              <w:t>.</w:t>
            </w:r>
            <w:r w:rsidR="4687DF16" w:rsidRPr="0B44BD26">
              <w:rPr>
                <w:rFonts w:ascii="Avenir Next LT Pro" w:eastAsia="Avenir Next LT Pro" w:hAnsi="Avenir Next LT Pro" w:cs="Avenir Next LT Pro"/>
              </w:rPr>
              <w:t xml:space="preserve"> Estos hallazgos han sido consolidados en una revisión</w:t>
            </w:r>
            <w:r w:rsidR="21FA905E" w:rsidRPr="0B44BD26">
              <w:rPr>
                <w:rFonts w:ascii="Avenir Next LT Pro" w:eastAsia="Avenir Next LT Pro" w:hAnsi="Avenir Next LT Pro" w:cs="Avenir Next LT Pro"/>
              </w:rPr>
              <w:t xml:space="preserve"> y metaanálisis </w:t>
            </w:r>
            <w:r w:rsidR="4687DF16" w:rsidRPr="0B44BD26">
              <w:rPr>
                <w:rFonts w:ascii="Avenir Next LT Pro" w:eastAsia="Avenir Next LT Pro" w:hAnsi="Avenir Next LT Pro" w:cs="Avenir Next LT Pro"/>
              </w:rPr>
              <w:t xml:space="preserve"> reciente</w:t>
            </w:r>
            <w:r w:rsidR="0086251C" w:rsidRPr="0B44BD26">
              <w:fldChar w:fldCharType="begin"/>
            </w:r>
            <w:r w:rsidR="0086251C" w:rsidRPr="0B44BD26">
              <w:instrText xml:space="preserve"> ADDIN ZOTERO_ITEM CSL_CITATION {"citationID":"HLaRxyyD","properties":{"formattedCitation":"\\super 92\\nosupersub{}","plainCitation":"92","noteIndex":0},"citationItems":[{"id":975,"uris":["http://zotero.org/users/5937427/items/4KVPHRK9"],"itemData":{"id":975,"type":"article-journal","abstract":"When speaking to infants, adults often produce speech that differs systematically from that directed to other adults. To quantify the acoustic properties of this speech style across a wide variety of languages and cultures, we extracted results from empirical studies on the acoustic features of infant-directed speech. We analysed data from 88 unique studies (734 effect sizes) on the following five acoustic parameters that have been systematically examined in the literature: fundamental frequency (f0), f0 variability, vowel space area, articulation rate and vowel duration. Moderator analyses were conducted in hierarchical Bayesian robust regression models to examine how these features change with infant age and differ across languages, experimental tasks and recording environments. The moderator analyses indicated that f0, articulation rate and vowel duration became more similar to adult-directed speech over time, whereas f0 variability and vowel space area exhibited stability throughout development. These results point the way for future research to disentangle different accounts of the functions and learnability of infant-directed speech by conducting theory-driven comparisons among different languages and using computational models to formulate testable predictions.","container-title":"Nature Human Behaviour","DOI":"10.1038/s41562-022-01452-1","ISSN":"2397-3374","issue":"1","journalAbbreviation":"Nat Hum Behav","language":"en","license":"2022 The Author(s), under exclusive licence to Springer Nature Limited","note":"number: 1\npublisher: Nature Publishing Group","page":"114-133","source":"www.nature.com","title":"A systematic review and Bayesian meta-analysis of the acoustic features of infant-directed speech","URL":"https://www.nature.com/articles/s41562-022-01452-1","volume":"7","author":[{"family":"Cox","given":"Christopher"},{"family":"Bergmann","given":"Christina"},{"family":"Fowler","given":"Emma"},{"family":"Keren-Portnoy","given":"Tamar"},{"family":"Roepstorff","given":"Andreas"},{"family":"Bryant","given":"Greg"},{"family":"Fusaroli","given":"Riccardo"}],"accessed":{"date-parts":[["2023",5,4]]},"issued":{"date-parts":[["2023",1]]},"citation-key":"coxSystematicReviewBayesian2023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92</w:t>
            </w:r>
            <w:r w:rsidR="0086251C" w:rsidRPr="0B44BD26">
              <w:fldChar w:fldCharType="end"/>
            </w:r>
            <w:r w:rsidR="4687DF16" w:rsidRPr="0B44BD26">
              <w:rPr>
                <w:rFonts w:ascii="Avenir Next LT Pro" w:eastAsia="Avenir Next LT Pro" w:hAnsi="Avenir Next LT Pro" w:cs="Avenir Next LT Pro"/>
              </w:rPr>
              <w:t>.</w:t>
            </w:r>
          </w:p>
          <w:p w14:paraId="35D53363" w14:textId="196DA8CD"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Hoy en día, existe evidencia sólida y transcultural de qu</w:t>
            </w:r>
            <w:r w:rsidR="001054B3">
              <w:rPr>
                <w:rFonts w:ascii="Avenir Next LT Pro" w:eastAsia="Avenir Next LT Pro" w:hAnsi="Avenir Next LT Pro" w:cs="Avenir Next LT Pro"/>
              </w:rPr>
              <w:t>é</w:t>
            </w:r>
            <w:r w:rsidRPr="0B44BD26">
              <w:rPr>
                <w:rFonts w:ascii="Avenir Next LT Pro" w:eastAsia="Avenir Next LT Pro" w:hAnsi="Avenir Next LT Pro" w:cs="Avenir Next LT Pro"/>
              </w:rPr>
              <w:t xml:space="preserve"> tanto el IDS como las canciones dirigidas a bebés tienen patrones acústicos que permiten su identificación incluso por personas de otras culturas, e incluso pueden ser clasificados exitosamente mediante aprendizaje automático</w:t>
            </w:r>
            <w:r w:rsidR="0086251C" w:rsidRPr="0B44BD26">
              <w:fldChar w:fldCharType="begin"/>
            </w:r>
            <w:r w:rsidR="0086251C" w:rsidRPr="0B44BD26">
              <w:instrText xml:space="preserve"> ADDIN ZOTERO_ITEM CSL_CITATION {"citationID":"NTSuZOPN","properties":{"formattedCitation":"\\super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w:t>
            </w:r>
            <w:r w:rsidR="0086251C" w:rsidRPr="0B44BD26">
              <w:fldChar w:fldCharType="end"/>
            </w:r>
            <w:r w:rsidRPr="0B44BD26">
              <w:rPr>
                <w:rFonts w:ascii="Avenir Next LT Pro" w:eastAsia="Avenir Next LT Pro" w:hAnsi="Avenir Next LT Pro" w:cs="Avenir Next LT Pro"/>
              </w:rPr>
              <w:t>. Estas propiedades no solo captan la atención de</w:t>
            </w:r>
            <w:r w:rsidR="404FE158" w:rsidRPr="0B44BD26">
              <w:rPr>
                <w:rFonts w:ascii="Avenir Next LT Pro" w:eastAsia="Avenir Next LT Pro" w:hAnsi="Avenir Next LT Pro" w:cs="Avenir Next LT Pro"/>
              </w:rPr>
              <w:t xml:space="preserve"> las y los</w:t>
            </w:r>
            <w:r w:rsidRPr="0B44BD26">
              <w:rPr>
                <w:rFonts w:ascii="Avenir Next LT Pro" w:eastAsia="Avenir Next LT Pro" w:hAnsi="Avenir Next LT Pro" w:cs="Avenir Next LT Pro"/>
              </w:rPr>
              <w:t xml:space="preserve"> bebé</w:t>
            </w:r>
            <w:r w:rsidR="404FE158" w:rsidRPr="0B44BD26">
              <w:rPr>
                <w:rFonts w:ascii="Avenir Next LT Pro" w:eastAsia="Avenir Next LT Pro" w:hAnsi="Avenir Next LT Pro" w:cs="Avenir Next LT Pro"/>
              </w:rPr>
              <w:t>s</w:t>
            </w:r>
            <w:r w:rsidRPr="0B44BD26">
              <w:rPr>
                <w:rFonts w:ascii="Avenir Next LT Pro" w:eastAsia="Avenir Next LT Pro" w:hAnsi="Avenir Next LT Pro" w:cs="Avenir Next LT Pro"/>
              </w:rPr>
              <w:t xml:space="preserve"> en momentos de inquietud</w:t>
            </w:r>
            <w:r w:rsidR="0086251C" w:rsidRPr="0B44BD26">
              <w:fldChar w:fldCharType="begin"/>
            </w:r>
            <w:r w:rsidR="0086251C" w:rsidRPr="0B44BD26">
              <w:instrText xml:space="preserve"> ADDIN ZOTERO_ITEM CSL_CITATION {"citationID":"AagXJ6p4","properties":{"formattedCitation":"\\super 19\\nosupersub{}","plainCitation":"19","noteIndex":0},"citationItems":[{"id":490,"uris":["http://zotero.org/users/5937427/items/6Z6RT39D"],"itemData":{"id":490,"type":"article-journal","abstract":"The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19</w:t>
            </w:r>
            <w:r w:rsidR="0086251C" w:rsidRPr="0B44BD26">
              <w:fldChar w:fldCharType="end"/>
            </w:r>
            <w:r w:rsidRPr="0B44BD26">
              <w:rPr>
                <w:rFonts w:ascii="Avenir Next LT Pro" w:eastAsia="Avenir Next LT Pro" w:hAnsi="Avenir Next LT Pro" w:cs="Avenir Next LT Pro"/>
              </w:rPr>
              <w:t xml:space="preserve">, sino que las canciones, al tener características acústicas más suaves, ayudan a calmar </w:t>
            </w:r>
            <w:r w:rsidR="404FE158" w:rsidRPr="0B44BD26">
              <w:rPr>
                <w:rFonts w:ascii="Avenir Next LT Pro" w:eastAsia="Avenir Next LT Pro" w:hAnsi="Avenir Next LT Pro" w:cs="Avenir Next LT Pro"/>
              </w:rPr>
              <w:t>a las o los bebés</w:t>
            </w:r>
            <w:r w:rsidRPr="0B44BD26">
              <w:rPr>
                <w:rFonts w:ascii="Avenir Next LT Pro" w:eastAsia="Avenir Next LT Pro" w:hAnsi="Avenir Next LT Pro" w:cs="Avenir Next LT Pro"/>
              </w:rPr>
              <w:t xml:space="preserve"> y reducir su excitación</w:t>
            </w:r>
            <w:r w:rsidR="0086251C" w:rsidRPr="0B44BD26">
              <w:fldChar w:fldCharType="begin"/>
            </w:r>
            <w:r w:rsidR="0086251C" w:rsidRPr="0B44BD26">
              <w:instrText xml:space="preserve"> ADDIN ZOTERO_ITEM CSL_CITATION {"citationID":"3M7kDJYx","properties":{"formattedCitation":"\\super 11,95,96\\nosupersub{}","plainCitation":"11,95,96","noteIndex":0},"citationItems":[{"id":919,"uris":["http://zotero.org/users/5937427/items/ED7Z4W88"],"itemData":{"id":919,"type":"article-journal","abstract":"We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id":775,"uris":["http://zotero.org/users/5937427/items/Y9A9QWPB"],"itemData":{"id":775,"type":"article-journal","container-title":"Annals of the New York Academy of Sciences","DOI":"10.1111/j.1749-6632.2001.tb05721.x","ISSN":"00778923","issue":"1","note":"Times cited: 2\nFrom Duplicate 2 ( \n\n\n\n\n\n\n\n\n\n\n\n\n\n\n\n\n\n\n\n\n\n\n\n\n\n\n\n\n\n\n\n\n\n\n\n\n\n\n\n\n\n\n\n\n\n\n\n\n\n\n\n\n\n\n\n\n\n\n\n\n\n\n\n\n\n\n\n\n\n\n\n\n\n\n\n\n\n\n\n\n\n\n\n\n\n\n\n\n\n\n\n\nMusical Predispositions in Infancy\n\n\n\n\n\n\n\n\n\n\n\n\n\n\n\n\n\n\n\n\n\n\n\n\n\n\n\n\n\n\n\n\n\n\n\n\n\n\n\n\n\n\n\n\n\n\n\n\n\n\n\n\n\n\n\n\n\n\n\n\n\n\n\n\n\n\n\n\n\n\n\n\n\n\n\n\n\n\n\n\n\n\n\n\n\n\n\n\n\n\n\n\n- Trehub, Sandra E. )\ntex.ids= trehubMusicalPredispositionsInfancy2001","page":"1-16","title":"Musical predispositions in infancy","volume":"930","author":[{"family":"Trehub","given":"Sandra E"}],"issued":{"date-parts":[["2001",1,25]]},"citation-key":"trehubMusicalPredispositionsInfancy2001"}},{"id":642,"uris":["http://zotero.org/users/5937427/items/BVRJASIZ"],"itemData":{"id":642,"type":"article-journal","container-title":"Nature Human Behaviour","DOI":"10.1038/s41562-020-00963-z","ISSN":"2397-3374","journalAbbreviation":"Nat Hum Behav","language":"en","note":"Times cited: 2\ntex.ids= bainbridgeInfantsRelaxResponse2020","source":"DOI.org (Crossref)","title":"Infants relax in response to unfamiliar foreign lullabies","URL":"10.1038/s41562-020-00963-z","author":[{"family":"Bainbridge","given":"Constance M."},{"family":"Bertolo","given":"Mila"},{"family":"Youngers","given":"Julie"},{"family":"Atwood","given":"S."},{"family":"Yurdum","given":"Lidya"},{"family":"Simson","given":"Jan"},{"family":"Lopez","given":"Kelsie"},{"family":"Xing","given":"Feng"},{"family":"Martin","given":"Alia"},{"family":"Mehr","given":"Samuel A."}],"accessed":{"date-parts":[["2020",10,24]]},"issued":{"date-parts":[["2020",10,19]]},"citation-key":"bainbridgeInfantsRelaxResponse2020"}}],"schema":"https://github.com/citation-style-language/schema/raw/master/csl-citation.json"}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11,95,96</w:t>
            </w:r>
            <w:r w:rsidR="0086251C" w:rsidRPr="0B44BD26">
              <w:fldChar w:fldCharType="end"/>
            </w:r>
            <w:r w:rsidRPr="0B44BD26">
              <w:rPr>
                <w:rFonts w:ascii="Avenir Next LT Pro" w:eastAsia="Avenir Next LT Pro" w:hAnsi="Avenir Next LT Pro" w:cs="Avenir Next LT Pro"/>
              </w:rPr>
              <w:t>.</w:t>
            </w:r>
          </w:p>
          <w:p w14:paraId="4F212FE9" w14:textId="1ADAE5EB"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IDS, lenguaje y música</w:t>
            </w:r>
          </w:p>
          <w:p w14:paraId="44C29CAD" w14:textId="358E7D4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Además de su importancia práctica, el IDS ofrece pistas sobre los orígenes del lenguaje humano</w:t>
            </w:r>
            <w:r w:rsidR="0086251C" w:rsidRPr="0B44BD26">
              <w:fldChar w:fldCharType="begin"/>
            </w:r>
            <w:r w:rsidR="0086251C" w:rsidRPr="0B44BD26">
              <w:instrText xml:space="preserve"> ADDIN ZOTERO_ITEM CSL_CITATION {"citationID":"WeOGnODX","properties":{"formattedCitation":"\\super 10,15\\nosupersub{}","plainCitation":"10,15","noteIndex":0},"citationItems":[{"id":768,"uris":["http://zotero.org/users/5937427/items/XRE7SQPR"],"itemData":{"id":768,"type":"article-journal","abstract":"In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453,"uris":["http://zotero.org/users/5937427/items/7QVEXPZX"],"itemData":{"id":453,"type":"article-journal","container-title":"Trends in Cognitive Sciences","DOI":"10.1016/j.tics.2016.01.002","issue":"4","note":"Citation Key: Pisanski2016Voice\ntex.ids: pisanskiVoiceModulationWindow2016","page":"304-318","title":"Voice modulation: A window into the origins of human vocal control?","volume":"20","author":[{"family":"Pisanski","given":"Katarzyna"},{"family":"Cartei","given":"Valentina"},{"family":"McGettigan","given":"Carolyn"},{"family":"Raine","given":"Jordan"},{"family":"Reby","given":"David"}],"issued":{"date-parts":[["2016"]]},"citation-key":"Pisanski2016Voice"}}],"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10,15</w:t>
            </w:r>
            <w:r w:rsidR="0086251C" w:rsidRPr="0B44BD26">
              <w:fldChar w:fldCharType="end"/>
            </w:r>
            <w:r w:rsidRPr="0B44BD26">
              <w:rPr>
                <w:rFonts w:ascii="Avenir Next LT Pro" w:eastAsia="Avenir Next LT Pro" w:hAnsi="Avenir Next LT Pro" w:cs="Avenir Next LT Pro"/>
              </w:rPr>
              <w:t xml:space="preserve"> y de la música</w:t>
            </w:r>
            <w:r w:rsidR="0086251C" w:rsidRPr="0B44BD26">
              <w:fldChar w:fldCharType="begin"/>
            </w:r>
            <w:r w:rsidR="0086251C" w:rsidRPr="0B44BD26">
              <w:instrText xml:space="preserve"> ADDIN ZOTERO_ITEM CSL_CITATION {"citationID":"MyqVLNWu","properties":{"formattedCitation":"\\super 16,17\\nosupersub{}","plainCitation":"16,17","noteIndex":0},"citationItems":[{"id":1254,"uris":["http://zotero.org/users/5937427/items/XEWL6GA4"],"itemData":{"id":1254,"type":"article-journal","abstract":"Studies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16,17</w:t>
            </w:r>
            <w:r w:rsidR="0086251C" w:rsidRPr="0B44BD26">
              <w:fldChar w:fldCharType="end"/>
            </w:r>
            <w:r w:rsidRPr="0B44BD26">
              <w:rPr>
                <w:rFonts w:ascii="Avenir Next LT Pro" w:eastAsia="Avenir Next LT Pro" w:hAnsi="Avenir Next LT Pro" w:cs="Avenir Next LT Pro"/>
              </w:rPr>
              <w:t>. Se ha sugerido que música y lenguaje podrían haber tenido un ancestro común: un protolenguaje musical</w:t>
            </w:r>
            <w:r w:rsidR="0086251C" w:rsidRPr="0B44BD26">
              <w:fldChar w:fldCharType="begin"/>
            </w:r>
            <w:r w:rsidR="0086251C" w:rsidRPr="0B44BD26">
              <w:instrText xml:space="preserve"> ADDIN ZOTERO_ITEM CSL_CITATION {"citationID":"Qtk3tFkG","properties":{"formattedCitation":"\\super 48,97,98\\nosupersub{}","plainCitation":"48,97,98","noteIndex":0},"citationItems":[{"id":752,"uris":["http://zotero.org/users/5937427/items/ECRYYEDC"],"itemData":{"id":752,"type":"article-journal","abstract":"Studies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Tecumseh"}],"issued":{"date-parts":[["2006",5]]},"citation-key":"fitchBiologyEvolutionMusic2006"}},{"id":817,"uris":["http://zotero.org/users/5937427/items/27M4PUFN"],"itemData":{"id":817,"type":"chapter","container-title":"Language and Music as Cognitive Systems","event-place":"Oxford","ISBN":"978-0-19-955342-6","note":"tex.ids= kirbyDarwinMusicalProtolanguage2011a\nDOI: 10.1093/acprof:oso/9780199553426.001.0010\nissue: June 2014","page":"96-102","publisher":"Oxford University Press","publisher-place":"Oxford","title":"Darwin's musical protolanguage: an increasingly compelling picture","URL":"http://www.oxfordscholarship.com/view/10.1093/acprof:oso/9780199553426.001.0001/acprof-9780199553426","author":[{"family":"Kirby","given":"Simon"}],"editor":[{"family":"Rebuschat","given":"Patrick"},{"family":"Rohmeier","given":"Martin"},{"family":"Hawkins","given":"John A"},{"family":"Cross","given":"Ian"}],"accessed":{"date-parts":[["2014",6,5]]},"issued":{"date-parts":[["2011",10,1]]},"citation-key":"kirbyDarwinMusicalProtolanguage2011"}},{"id":751,"uris":["http://zotero.org/users/5937427/items/XTPDP36B"],"itemData":{"id":751,"type":"chapter","abstract":"Periodicity is a ubiquitous feature of all living things, and coupled biological oscillators entrain to each other readily. Despite this, humans are rare if not unique in their ability to entrain their musical motor output to that of others during singing, dancing, and playing in ensembles. This presents something of a paradox concerning human rhythmic entrainment and all that goes with it: why should a phenomenon seemingly so basic be (apparently) so rare in nature? The paradox, put simply, is this: if periodicity and entrainment are ubiquitous features of all living organisms, why can't dogs dance? This chapter examines this paradox from multiple comparative viewpoints, exploring similarities and differences between humans and other animals, between different aspects of music (harmony and rhythm), and between music and spoken language. It suggests that the ‘paradox of rhythm’ can be resolved by recognizing that human rhythmic behaviour comprises several different components, each with their own biological basis and evolutionary history. It identifies at least three separable components underlying the human capacity for rhythmic behaviour. These include periodic motor pattern generation itself (an ancient and ubiquitous phenomenon); pulse (or ‘beat’) extraction from complex patterns (a form of perceptual cognition that is shared with speech, at least); and entrainment of one's own motor output to this inferred ‘beat’ (which may be the most biologically unusual feature of human rhythmic behaviour).","container-title":"Language and music as cognitive systems","event-place":"Oxford","ISBN":"978-0-19-955342-6","note":"Times cited: 1\ntex.ids= fitchBiologyEvolutionRhythm2011\nDOI: 10.1093/acprof:oso/9780199553426.001.0009\nissue: June 2014","page":"73-95","publisher":"Oxford University Press","publisher-place":"Oxford","title":"The biology and evolution of rhythm: unravelling a paradox","author":[{"family":"Fitch","given":"W Tecumseh"}],"editor":[{"family":"Rebuschat","given":"Patrick"},{"family":"Rohmeier","given":"Martin"},{"family":"Hawkins","given":"John A"},{"family":"Cross","given":"Ian"}],"issued":{"date-parts":[["2011",10,1]]},"citation-key":"fitchBiologyEvolutionRhythm2011"}}],"schema":"https://github.com/citation-style-language/schema/raw/master/csl-citation.json"}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48,97,98</w:t>
            </w:r>
            <w:r w:rsidR="0086251C" w:rsidRPr="0B44BD26">
              <w:fldChar w:fldCharType="end"/>
            </w:r>
            <w:r w:rsidRPr="0B44BD26">
              <w:rPr>
                <w:rFonts w:ascii="Avenir Next LT Pro" w:eastAsia="Avenir Next LT Pro" w:hAnsi="Avenir Next LT Pro" w:cs="Avenir Next LT Pro"/>
              </w:rPr>
              <w:t>, conceptualizado en modelos evolutivos como el de "musilenguaje" propuesto por Brown</w:t>
            </w:r>
            <w:r w:rsidR="0086251C" w:rsidRPr="0B44BD26">
              <w:fldChar w:fldCharType="begin"/>
            </w:r>
            <w:r w:rsidR="0086251C" w:rsidRPr="0B44BD26">
              <w:instrText xml:space="preserve"> ADDIN ZOTERO_ITEM CSL_CITATION {"citationID":"CSeltc2R","properties":{"formattedCitation":"\\super 99\\uc0\\u8211{}101\\nosupersub{}","plainCitation":"99–101","noteIndex":0},"citationItems":[{"id":1684,"uris":["http://zotero.org/users/5937427/items/KB86FF9U"],"itemData":{"id":1684,"type":"book","event-place":"London","ISBN":"0-7538-2051-X","note":"Citation Key: RefWorks:540","publisher":"Phoenix","publisher-place":"London","title":"The singing Neanderthals : the origin of music, language, mind and body","author":[{"family":"Mithen","given":"Steven J"}],"issued":{"date-parts":[["2006"]]},"citation-key":"RefWorks:540"}},{"id":2985,"uris":["http://zotero.org/users/5937427/items/JW8GXYNG"],"itemData":{"id":2985,"type":"chapter","collection-title":"The origins of music","container-title":"The Origins of Music","event-place":"Cambridge, MA","note":"Times cited: 1\nx\ntex.ids= RefWorks:424\ncollection-title: The origins of music","page":"271–300","publisher":"MIT Press","publisher-place":"Cambridge, MA","title":"The “musilanguage” model of music evolution","author":[{"family":"Brown","given":"Steven"}],"editor":[{"family":"Wallin","given":"Nils L"},{"family":"Merker","given":"Björn"},{"family":"Brown","given":"Steven"}],"issued":{"date-parts":[["2000"]]},"citation-key":"brownMusilanguageModelMusic2000"}},{"id":778,"uris":["http://zotero.org/users/5937427/items/UYS6KA6S"],"itemData":{"id":778,"type":"article-journal","abstract":"The aims of this article are to select, to summarise, and to critically discuss the principal topics presented in the papers of this special issue. Two main themes have been developed: the first makes reference to the origins of music, with a comparison of anthropological conceptions (the origins of mankind) with psychological conceptions (the musical development of infants). Particular attention is given to the “musilanguage” theory proposed by Steven Brown in 2000. The second main theme is related to the impact of theories of “origins” on what musicology today thinks of as the nature and sense of music. In order to provide concrete arguments pertaining to these topics, a section of the article is devoted to the main relationships between primordial proto-musical behaviours and adult musical activity. The presence of pre-verbal, “multimodal”, affective, interactive and ritual aspects of proto-musical behaviour, thought of as the more important characteristics of musical phenomena, has been considered as common both to anthropological and psychological theories and to their impact on today's conceptions of music. Three specific topics are discussed: proto-narrativity, musicality, and the relationships between musical structures and temporal dynamics.","container-title":"Musicae Scientiae","DOI":"10.1177/1029864908012001091","ISSN":"1029-8649","issue":"1 Suppl","note":"Times cited: 1\ntex.ids= baroniMusicMusicalityMusilanguage2008","page":"197-218","title":"Music, musicality, \"musilanguage\"","volume":"12","author":[{"family":"Baroni","given":"Mario"}],"issued":{"date-parts":[["2008",3,1]]},"citation-key":"baroniMusicMusicalityMusilanguage2008"}}],"schema":"https://github.com/citation-style-language/schema/raw/master/csl-citation.json"}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99–101</w:t>
            </w:r>
            <w:r w:rsidR="0086251C" w:rsidRPr="0B44BD26">
              <w:fldChar w:fldCharType="end"/>
            </w:r>
            <w:r w:rsidRPr="0B44BD26">
              <w:rPr>
                <w:rFonts w:ascii="Avenir Next LT Pro" w:eastAsia="Avenir Next LT Pro" w:hAnsi="Avenir Next LT Pro" w:cs="Avenir Next LT Pro"/>
              </w:rPr>
              <w:t>. Este modelo describe un continuo expresivo en el que el significado referencial y el emocional ocupan extremos opuestos, y el IDS se ubicaría en un punto intermedio, con características acústicas musicales empleadas para transmitir estados afectivos y estructurar la comunicación.</w:t>
            </w:r>
          </w:p>
          <w:p w14:paraId="467188EE" w14:textId="5794420B"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Según esta perspectiva, la función principal de la música y las canciones </w:t>
            </w:r>
            <w:r w:rsidR="59470E5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especialmente </w:t>
            </w:r>
            <w:r w:rsidR="59470E5E" w:rsidRPr="0B44BD26">
              <w:rPr>
                <w:rFonts w:ascii="Avenir Next LT Pro" w:eastAsia="Avenir Next LT Pro" w:hAnsi="Avenir Next LT Pro" w:cs="Avenir Next LT Pro"/>
              </w:rPr>
              <w:t>cancione</w:t>
            </w:r>
            <w:r w:rsidRPr="0B44BD26">
              <w:rPr>
                <w:rFonts w:ascii="Avenir Next LT Pro" w:eastAsia="Avenir Next LT Pro" w:hAnsi="Avenir Next LT Pro" w:cs="Avenir Next LT Pro"/>
              </w:rPr>
              <w:t>s de cuna</w:t>
            </w:r>
            <w:r w:rsidR="59470E5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sería facilitar la comunicación entre padres e hijos</w:t>
            </w:r>
            <w:r w:rsidR="0086251C" w:rsidRPr="0B44BD26">
              <w:fldChar w:fldCharType="begin"/>
            </w:r>
            <w:r w:rsidR="0086251C" w:rsidRPr="0B44BD26">
              <w:instrText xml:space="preserve"> ADDIN ZOTERO_ITEM CSL_CITATION {"citationID":"H04NbBNs","properties":{"formattedCitation":"\\super 16,17,102\\nosupersub{}","plainCitation":"16,17,102","noteIndex":0},"citationItems":[{"id":1254,"uris":["http://zotero.org/users/5937427/items/XEWL6GA4"],"itemData":{"id":1254,"type":"article-journal","abstract":"Studies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E"}],"issued":{"date-parts":[["2003",7]]},"citation-key":"trehubDevelopmentalOriginsMusicality2003"}},{"id":2984,"uris":["http://zotero.org/users/5937427/items/MGUR9E3M"],"itemData":{"id":2984,"type":"chapter","container-title":"The Origins of Music","event-place":"Cambridge, MA.","ISBN":"0-262-23206-5","note":"Times cited: 1\ntex.ids= dissanayakeAntecedentsTemporalArts2000","page":"389-410","publisher":"MIT Press","publisher-place":"Cambridge, MA.","title":"Antecedents of the temporal arts in early mother–infant interaction","author":[{"family":"Dissanayake","given":"Ellen"}],"editor":[{"family":"Wallin","given":"Nils"},{"family":"Merker","given":"Bjorn"},{"family":"Brown","given":"Steven"}],"issued":{"date-parts":[["2000"]]},"citation-key":"dissanayakeAntecedentsTemporalArts2000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16,17,102</w:t>
            </w:r>
            <w:r w:rsidR="0086251C" w:rsidRPr="0B44BD26">
              <w:fldChar w:fldCharType="end"/>
            </w:r>
            <w:r w:rsidRPr="0B44BD26">
              <w:rPr>
                <w:rFonts w:ascii="Avenir Next LT Pro" w:eastAsia="Avenir Next LT Pro" w:hAnsi="Avenir Next LT Pro" w:cs="Avenir Next LT Pro"/>
              </w:rPr>
              <w:t>. Esto se ve respaldado por la aparente universalidad de las canciones de cuna</w:t>
            </w:r>
            <w:r w:rsidR="0086251C" w:rsidRPr="0B44BD26">
              <w:fldChar w:fldCharType="begin"/>
            </w:r>
            <w:r w:rsidR="0086251C" w:rsidRPr="0B44BD26">
              <w:instrText xml:space="preserve"> ADDIN ZOTERO_ITEM CSL_CITATION {"citationID":"4cR2vqqZ","properties":{"formattedCitation":"\\super 18,96,103,104\\nosupersub{}","plainCitation":"18,96,103,104","noteIndex":0},"citationItems":[{"id":974,"uris":["http://zotero.org/users/5937427/items/SNWYLJDK"],"itemData":{"id":974,"type":"article-journal","abstract":"When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642,"uris":["http://zotero.org/users/5937427/items/BVRJASIZ"],"itemData":{"id":642,"type":"article-journal","container-title":"Nature Human Behaviour","DOI":"10.1038/s41562-020-00963-z","ISSN":"2397-3374","journalAbbreviation":"Nat Hum Behav","language":"en","note":"Times cited: 2\ntex.ids= bainbridgeInfantsRelaxResponse2020","source":"DOI.org (Crossref)","title":"Infants relax in response to unfamiliar foreign lullabies","URL":"10.1038/s41562-020-00963-z","author":[{"family":"Bainbridge","given":"Constance M."},{"family":"Bertolo","given":"Mila"},{"family":"Youngers","given":"Julie"},{"family":"Atwood","given":"S."},{"family":"Yurdum","given":"Lidya"},{"family":"Simson","given":"Jan"},{"family":"Lopez","given":"Kelsie"},{"family":"Xing","given":"Feng"},{"family":"Martin","given":"Alia"},{"family":"Mehr","given":"Samuel A."}],"accessed":{"date-parts":[["2020",10,24]]},"issued":{"date-parts":[["2020",10,19]]},"citation-key":"bainbridgeInfantsRelaxResponse2020"}},{"id":800,"uris":["http://zotero.org/users/5937427/items/Z5FI4VAZ"],"itemData":{"id":800,"type":"chapter","abstract":"(From the chapter Considers the possibility of human predispositions for processing music, and speculates about the broader question of musical universalities. A number of similarities in musical pattern perception between adults with extensive exposure suggest a biological basis for several aspects of music processing. For example, infants and adults focus largely on the pitch contour and rhythm of novel melodies, reflecting a disposition to attend to relational pitch and timing cues rather than to specific pitches and durations. Moreover, infants and adults retain more information from sequences whose component tones are related by small-integer ratios than by large ones. Infants remember the component tones of scales more readily when the scale steps are of unequal size. Furthermore, they encode more details of a melody when its rhythmic arrangement is conventional rather than unconventional. Caregivers throughout the world sing to infants, using distinctive musical materials and expressive variations that are finely tuned to infants' ability and mood. These informal musical performances have important attentional and affective consequences for the infant audience. Universals of musical pattern processing have provocative parallels in universals of musical structure. (PsycINFO Database Record (c) 2004 APA, all rights reserved)","container-title":"The Origins of Music","event-place":"Cambridge, MA.","ISBN":"0-262-23206-5","note":"Times cited: 3\ntex.ids= trehubHumanProcessingPredispositions2000","page":"427–448","publisher":"MIT Press","publisher-place":"Cambridge, MA.","title":"Human processing predispositions and musical universals","volume":"The origin","author":[{"family":"Trehub","given":"Sandra E"}],"editor":[{"family":"Wallin","given":"Niels L."},{"family":"Merker","given":"Bjorn"},{"family":"Brown","given":"Steven"}],"issued":{"date-parts":[["2000"]]},"citation-key":"trehubHumanProcessingPredispositions2000"}},{"id":641,"uris":["http://zotero.org/users/5937427/items/FTE2F3MQ"],"itemData":{"id":641,"type":"article-journal","abstract":"Humans use music for a variety of social functions: we sing to accompany dance, to soothe babies, to heal illness, to communicate love, and so on. Across animal taxa, vocalization forms are shaped by their functions, including in humans. Here, we show that vocal music exhibits recurrent, distinct, and cross-culturally robust form-function relations that are detectable by listeners across the globe. In Experiment 1, internet users (n = 750) in 60 countries listened to brief excerpts of songs, rating each song’s function on six dimensions (e.g., “used to soothe a baby”). Excerpts were drawn from a geographically stratified pseudorandom sample of dance songs, lullabies, healing songs, and love songs recorded in 86 mostly small-scale societies, including hunter-gatherers, pastoralists, and subsistence farmers. Experiment 1 and its analysis plan were pre-registered. Despite participants’ unfamiliarity with the societies represented, the random sampling of each excerpt, their very short duration (14 s), and the enormous diversity of this music, the ratings demonstrated accurate and cross-culturally reliable inferences about song functions on the basis of song forms alone. In Experiment 2, internet users (n = 1,000) in the United States and India rated three contextual features (e.g., gender of singer) and seven musical features (e.g., melodic complexity) of each excerpt. The songs’ contextual features were predictive of Experiment 1 function ratings, but musical features and the songs’ actual functions explained unique variance in function ratings. These findings are consistent with the existence of universal links between form and function in vocal music.","container-title":"Current Biology","DOI":"10.1016/j.cub.2017.12.042","ISSN":"0960-9822","issue":"3","journalAbbreviation":"Current Biology","language":"en","note":"ZSCC: 0000030\ntex.ids= mehrFormFunctionHuman2018a","page":"356-368.e5","source":"ScienceDirect","title":"Form and Function in Human Song","URL":"http://www.sciencedirect.com/science/article/pii/S0960982217316755","volume":"28","author":[{"family":"Mehr","given":"Samuel A."},{"family":"Singh","given":"Manvir"},{"family":"York","given":"Hunter"},{"family":"Glowacki","given":"Luke"},{"family":"Krasnow","given":"Max M."}],"accessed":{"date-parts":[["2019",11,7]]},"issued":{"date-parts":[["2018",2,5]]},"citation-key":"mehrFormFunctionHuman2018"}}],"schema":"https://github.com/citation-style-language/schema/raw/master/csl-citation.json"}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18,96,103,104</w:t>
            </w:r>
            <w:r w:rsidR="0086251C" w:rsidRPr="0B44BD26">
              <w:fldChar w:fldCharType="end"/>
            </w:r>
            <w:r w:rsidRPr="0B44BD26">
              <w:rPr>
                <w:rFonts w:ascii="Avenir Next LT Pro" w:eastAsia="Avenir Next LT Pro" w:hAnsi="Avenir Next LT Pro" w:cs="Avenir Next LT Pro"/>
              </w:rPr>
              <w:t>, que desempeñan una función calmante en los bebés y apoyan su regulación emocional. Así, el IDS no solo sería un facilitador del lenguaje, sino también una expresión vocal intermedia entre música y habla, con raíces evolutivas profundas.</w:t>
            </w:r>
          </w:p>
          <w:p w14:paraId="0C9EEE67" w14:textId="2CB7ECEE"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Un modelo propio: musicalidad, modulación vocal y cuidado parental</w:t>
            </w:r>
          </w:p>
          <w:p w14:paraId="71378344" w14:textId="4AFE6A92"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partir de esta literatura, propusimos recientemente un modelo para la evolución de la musicalidad humana</w:t>
            </w:r>
            <w:r w:rsidR="0086251C" w:rsidRPr="0B44BD26">
              <w:fldChar w:fldCharType="begin"/>
            </w:r>
            <w:r w:rsidR="0086251C" w:rsidRPr="0B44BD26">
              <w:instrText xml:space="preserve"> ADDIN ZOTERO_ITEM CSL_CITATION {"citationID":"5AOJsJQb","properties":{"formattedCitation":"\\super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w:t>
            </w:r>
            <w:r w:rsidR="0086251C" w:rsidRPr="0B44BD26">
              <w:fldChar w:fldCharType="end"/>
            </w:r>
            <w:r w:rsidRPr="0B44BD26">
              <w:rPr>
                <w:rFonts w:ascii="Avenir Next LT Pro" w:eastAsia="Avenir Next LT Pro" w:hAnsi="Avenir Next LT Pro" w:cs="Avenir Next LT Pro"/>
              </w:rPr>
              <w:t xml:space="preserve">, que se basa en la modulación vocal y su papel en la consolidación de vínculos sociales, en particular entre madres e hijos. Esto es relevante si se considera que los bebés humanos nacen en un estado de inmadurez extrema y requieren cuidados </w:t>
            </w:r>
            <w:r w:rsidRPr="0B44BD26">
              <w:rPr>
                <w:rFonts w:ascii="Avenir Next LT Pro" w:eastAsia="Avenir Next LT Pro" w:hAnsi="Avenir Next LT Pro" w:cs="Avenir Next LT Pro"/>
              </w:rPr>
              <w:lastRenderedPageBreak/>
              <w:t xml:space="preserve">prolongados para sobrevivir. Por tanto, la capacidad de comunicarse eficazmente con ellos </w:t>
            </w:r>
            <w:r w:rsidR="715F9BD1"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como ocurre mediante el IDS</w:t>
            </w:r>
            <w:r w:rsidR="715F9BD1"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podría haber sido objeto de selección evolutiva.</w:t>
            </w:r>
          </w:p>
          <w:p w14:paraId="00DDC2E6" w14:textId="3A8BA149"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está vinculado con la liberación de oxitocina y otros neuropéptidos relacionados con el apego</w:t>
            </w:r>
            <w:r w:rsidR="0086251C" w:rsidRPr="0B44BD26">
              <w:fldChar w:fldCharType="begin"/>
            </w:r>
            <w:r w:rsidR="0086251C" w:rsidRPr="0B44BD26">
              <w:instrText xml:space="preserve"> ADDIN ZOTERO_ITEM CSL_CITATION {"citationID":"62xuC240","properties":{"formattedCitation":"\\super 1\\uc0\\u8211{}3\\nosupersub{}","plainCitation":"1–3","noteIndex":0},"citationItems":[{"id":809,"uris":["http://zotero.org/users/5937427/items/MHN4CZDT"],"itemData":{"id":809,"type":"article-journal","abstract":"Although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1–3</w:t>
            </w:r>
            <w:r w:rsidR="0086251C" w:rsidRPr="0B44BD26">
              <w:fldChar w:fldCharType="end"/>
            </w:r>
            <w:r w:rsidRPr="0B44BD26">
              <w:rPr>
                <w:rFonts w:ascii="Avenir Next LT Pro" w:eastAsia="Avenir Next LT Pro" w:hAnsi="Avenir Next LT Pro" w:cs="Avenir Next LT Pro"/>
              </w:rPr>
              <w:t>, lo cual refuerza esta idea. Además, una mejor comunicación vocal entre madre e hijo podría facilitar el aprendizaje social y la adquisición de habilidades necesarias para la supervivencia</w:t>
            </w:r>
            <w:r w:rsidR="0086251C" w:rsidRPr="0B44BD26">
              <w:fldChar w:fldCharType="begin"/>
            </w:r>
            <w:r w:rsidR="0086251C" w:rsidRPr="0B44BD26">
              <w:instrText xml:space="preserve"> ADDIN ZOTERO_ITEM CSL_CITATION {"citationID":"C7qW8TsZ","properties":{"formattedCitation":"\\super 105\\nosupersub{}","plainCitation":"105","noteIndex":0},"citationItems":[{"id":1707,"uris":["http://zotero.org/users/5937427/items/MKUVR9Q2"],"itemData":{"id":1707,"type":"article-journal","abstract":"A wide variety of maternal, social and sexual bonding strategies have been described across mammalian species, including humans. Many of the neural and hormonal mechanisms that underpin the formation and maintenance of these bonds demonstrate a considerable degree of evolutionary conservation across a representative range of these species. However, there is also a considerable degree of diversity in both the way these mechanisms are activated and in the behavioural responses that result. In the majority of small-brained mammals (including rodents), the formation of a maternal or partner preference bond requires individual recognition by olfactory cues, activation of neural mechanisms concerned with social reward by these cues and gender-specific hormonal priming for behavioural output. With the evolutionary increase of neocortex seen in monkeys and apes, there has been a corresponding increase in the complexity of social relationships and bonding strategies together with a significant redundancy in hormonal priming for motivated behaviour. Olfactory recognition and olfactory inputs to areas of the brain concerned with social reward are downregulated and recognition is based on integration of multimodal sensory cues requiring an expanded neocortex, particularly the association cortex. This emancipation from olfactory and hormonal determinants of bonding has been succeeded by the increased importance of social learning that is necessitated by living in a complex social world and, especially in humans, a world that is dominated by cultural inheritance.","container-title":"Philosophical Transactions of the Royal Society B: Biological Sciences","DOI":"10.1098/rstb.2006.1940","ISSN":"0962-8436","issue":"1476","note":"PMID: 17118933","page":"2199-2214","title":"Mother-infant bonding and the evolution of mammalian social relationships.","URL":"http://www.pubmedcentral.nih.gov/articlerender.fcgi?artid=1764844&amp;tool=pmcentrez&amp;rendertype=abstract","volume":"361","author":[{"family":"Broad","given":"K D"},{"family":"Curley","given":"J P"},{"family":"Keverne","given":"E B"}],"accessed":{"date-parts":[["2014",5,27]]},"issued":{"date-parts":[["2006",12,29]]},"citation-key":"broadMotherinfantBondingEvolution2006"}}],"schema":"https://github.com/citation-style-language/schema/raw/master/csl-citation.json"}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105</w:t>
            </w:r>
            <w:r w:rsidR="0086251C" w:rsidRPr="0B44BD26">
              <w:fldChar w:fldCharType="end"/>
            </w:r>
            <w:r w:rsidRPr="0B44BD26">
              <w:rPr>
                <w:rFonts w:ascii="Avenir Next LT Pro" w:eastAsia="Avenir Next LT Pro" w:hAnsi="Avenir Next LT Pro" w:cs="Avenir Next LT Pro"/>
              </w:rPr>
              <w:t>.</w:t>
            </w:r>
          </w:p>
          <w:p w14:paraId="1D9F8FF7" w14:textId="02BAF342"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modelo evolutivo también podría explicar otras formas de modulación vocal socialmente relevantes, como las que ocurren durante el cortejo</w:t>
            </w:r>
            <w:r w:rsidR="0086251C" w:rsidRPr="0B44BD26">
              <w:fldChar w:fldCharType="begin"/>
            </w:r>
            <w:r w:rsidR="0086251C" w:rsidRPr="0B44BD26">
              <w:instrText xml:space="preserve"> ADDIN ZOTERO_ITEM CSL_CITATION {"citationID":"WliNqyAR","properties":{"formattedCitation":"\\super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w:t>
            </w:r>
            <w:r w:rsidR="0086251C" w:rsidRPr="0B44BD26">
              <w:fldChar w:fldCharType="end"/>
            </w:r>
            <w:r w:rsidRPr="0B44BD26">
              <w:rPr>
                <w:rFonts w:ascii="Avenir Next LT Pro" w:eastAsia="Avenir Next LT Pro" w:hAnsi="Avenir Next LT Pro" w:cs="Avenir Next LT Pro"/>
              </w:rPr>
              <w:t>, en particular las variaciones en la entonación y la prosodia</w:t>
            </w:r>
            <w:r w:rsidR="0086251C" w:rsidRPr="0B44BD26">
              <w:fldChar w:fldCharType="begin"/>
            </w:r>
            <w:r w:rsidR="0086251C" w:rsidRPr="0B44BD26">
              <w:instrText xml:space="preserve"> ADDIN ZOTERO_ITEM CSL_CITATION {"citationID":"NB5v4qE3","properties":{"formattedCitation":"\\super 53\\uc0\\u8211{}55\\nosupersub{}","plainCitation":"53–55","noteIndex":0},"citationItems":[{"id":1014,"uris":["http://zotero.org/users/5937427/items/H48PCB6P"],"itemData":{"id":1014,"type":"article-journal","abstract":"Speakers modulate their voice when talking to infants, but we know little about subtle variation in acoustic parameters during speech in adult social interactions. Because tests of perception of such variation are hampered by listeners' understanding of semantic content, studies often conﬁne speech to enunciation of standard sentences, restricting ecological validity. Furthermore, apparent paralinguistic modulation in one language may be underpinned by speciﬁc parameters of that language. Here we circumvent these problems by recording speech directed to attractive or unattractive potential partners or competitors, and testing responses to these recordings by naive listeners, across both a Germanic (English) and a Slavic (Czech) language. Analysis of acoustic parameters indicates that men's voices varied F0 most in speech towards potential attractive versus unattractive mates, while modulation of women's F0 variability was more sensitive to competitors, with higher variability when those competitors were relatively attractive. There was striking similarity in patterns of social context-dependent F0 variation across the two model languages, with both men's and women's voices varying most when responding to attractive individuals. Men's minimum pitch was lower when responding to attractive than unattractive women. For vocal modulation to be effective, however, it must be sufﬁciently detectable to promote proceptivity towards the speaker. We showed that speech directed towards attractive individuals was preferred by naive listeners of either language over speech by the same speaker to unattractive individuals, even when voices were stripped of several acoustic properties by low-pass ﬁltering, which renders speech unintelligible. Our results suggest that modulating F0 may be a critical parameter in human courtship, independently of semantic content.","container-title":"Evolution and Human Behavior","DOI":"10.1016/j.evolhumbehav.2014.06.008","ISSN":"10905138","issue":"6","journalAbbreviation":"Evolution and Human Behavior","language":"en","license":"All rights reserved","note":"tex.ids= leongomezVocalModulationCourtship2014a","page":"489-496","source":"DOI.org (Crossref)","title":"Vocal modulation during courtship increases proceptivity even in naive listeners","URL":"10.1016/j.evolhumbehav.2014.06.008","volume":"35","author":[{"family":"Leongómez","given":"Juan David"},{"family":"Binter","given":"Jakub"},{"family":"Kubicová","given":"Lydie"},{"family":"Stola</w:instrText>
            </w:r>
            <w:r w:rsidR="0086251C" w:rsidRPr="0B44BD26">
              <w:rPr>
                <w:rFonts w:ascii="Calibri" w:hAnsi="Calibri" w:cs="Calibri"/>
              </w:rPr>
              <w:instrText>ř</w:instrText>
            </w:r>
            <w:r w:rsidR="0086251C" w:rsidRPr="0B44BD26">
              <w:instrText>ov</w:instrText>
            </w:r>
            <w:r w:rsidR="0086251C" w:rsidRPr="0B44BD26">
              <w:rPr>
                <w:rFonts w:cs="Avenir Book"/>
              </w:rPr>
              <w:instrText>á</w:instrText>
            </w:r>
            <w:r w:rsidR="0086251C" w:rsidRPr="0B44BD26">
              <w:instrText>","given":"Petra"},{"family":"Klapilov</w:instrText>
            </w:r>
            <w:r w:rsidR="0086251C" w:rsidRPr="0B44BD26">
              <w:rPr>
                <w:rFonts w:cs="Avenir Book"/>
              </w:rPr>
              <w:instrText>á</w:instrText>
            </w:r>
            <w:r w:rsidR="0086251C" w:rsidRPr="0B44BD26">
              <w:instrText>","given":"Kate</w:instrText>
            </w:r>
            <w:r w:rsidR="0086251C" w:rsidRPr="0B44BD26">
              <w:rPr>
                <w:rFonts w:ascii="Calibri" w:hAnsi="Calibri" w:cs="Calibri"/>
              </w:rPr>
              <w:instrText>ř</w:instrText>
            </w:r>
            <w:r w:rsidR="0086251C" w:rsidRPr="0B44BD26">
              <w:instrText>ina"},{"family":"Havl</w:instrText>
            </w:r>
            <w:r w:rsidR="0086251C" w:rsidRPr="0B44BD26">
              <w:rPr>
                <w:rFonts w:cs="Avenir Book"/>
              </w:rPr>
              <w:instrText>í</w:instrText>
            </w:r>
            <w:r w:rsidR="0086251C" w:rsidRPr="0B44BD26">
              <w:rPr>
                <w:rFonts w:ascii="Calibri" w:hAnsi="Calibri" w:cs="Calibri"/>
              </w:rPr>
              <w:instrText>č</w:instrText>
            </w:r>
            <w:r w:rsidR="0086251C" w:rsidRPr="0B44BD26">
              <w:instrText xml:space="preserve">ek","given":"Jan"},{"family":"Roberts","given":"S. Craig"}],"accessed":{"date-parts":[["2020",6,7]]},"issued":{"date-parts":[["2014",11]]},"citation-key":"leongomezVocalModulationCourtship2014"}},{"id":1146,"uris":["http://zotero.org/users/5937427/items/CRLG3DET"],"itemData":{"id":1146,"type":"article-journal","container-title":"Behavioural Processes","DOI":"10.1016/j.beproc.2021.104531","ISSN":"03766357","journalAbbreviation":"Behavioural Processes","language":"en","license":"All rights reserved","note":"tex.ids= Leongomez2020a, leongomezContextualisingCourtshipExploring2021","page":"104531","source":"DOI.org (Crossref)","title":"Contextualising courtship: Exploring male body odour effects on vocal modulation","title-short":"Contextualising courtship","URL":"https://linkinghub.elsevier.com/retrieve/pii/S0376635721002151","volume":"193","author":[{"family":"Leongómez","given":"Juan David"},{"family":"Sánchez","given":"Oscar R."},{"family":"Vásquez-Amézquita","given":"Milena"},{"family":"Roberts","given":"S. Craig"}],"accessed":{"date-parts":[["2021",11,22]]},"issued":{"date-parts":[["2021",12]]},"citation-key":"leongomezContextualisingCourtshipExploring2021"}},{"id":1077,"uris":["http://zotero.org/users/5937427/items/CJ9W8FBN"],"itemData":{"id":1077,"type":"article-journal","abstract":"Inter-individual differences in human fundamental frequency (F0, perceived as voice pitch) predict mate quality and reproductive success, and affect listeners' social attributions. Although humans can readily and volitionally manipulate their vocal apparatus and resultant voice pitch, for instance, in the production of speech sounds and singing, little is known about whether humans exploit this capacity to adjust the non-verbal dimensions of their voices during social (including sexual) interactions. Here, we recorded full-length conversations of 30 adult men and women taking part in real speed-dating events and tested whether their voice pitch (mean, range and variability) changed with their personal mate choice preferences and the overall desirability of each dating partner. Within-individual analyses indicated that men lowered the minimum pitch of their voices when interacting with women who were overall highly desired by other men. Men also lowered their mean voice pitch on dates with women they selected as potential mates, particularly those who indicated a mutual preference (matches). Interestingly, although women spoke with a higher and more variable voice pitch towards men they selected as potential mates, women lowered both voice pitch parameters towards men who were most desired by other women and whom they also personally preferred. Between-individual analyses indicated that men in turn preferred women with lower-pitched voices, wherein women's minimum voice pitch explained up to 55% of the variance in men's mate preferences. These results, derived in an ecologically valid setting, show that individual- and group-level mate preferences can interact to affect vocal behaviour, and support the hypothesis that human voice modulation functions in non-verbal communication to elicit favourable judgements and behaviours from others, including potential mates.","container-title":"Proceedings of the Royal Society B: Biological Sciences","DOI":"10.1098/rspb.2018.1634","ISSN":"0962-8452","issue":"1893","note":"Times cited: 2\ntex.ids= Pisanski2019Voice, pisanskiVoicePitchModulation2018\nISBN: 0000000322171","page":"20181634","title":"Voice pitch modulation in human mate choice","volume":"285","author":[{"family":"Pisanski","given":"Katarzyna"},{"family":"Oleszkiewicz","given":"Anna"},{"family":"Plachetka","given":"Justyna"},{"family":"Gmiterek","given":"Marzena"},{"family":"Reby","given":"David"}],"issued":{"date-parts":[["2018",12,19]]},"citation-key":"pisanskiVoicePitchModulation2018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53–55</w:t>
            </w:r>
            <w:r w:rsidR="0086251C" w:rsidRPr="0B44BD26">
              <w:fldChar w:fldCharType="end"/>
            </w:r>
            <w:r w:rsidRPr="0B44BD26">
              <w:rPr>
                <w:rFonts w:ascii="Avenir Next LT Pro" w:eastAsia="Avenir Next LT Pro" w:hAnsi="Avenir Next LT Pro" w:cs="Avenir Next LT Pro"/>
              </w:rPr>
              <w:t>, que podrían señalar aptitudes parentales. En este contexto, la musicalidad podría haber evolucionado no solo por selección natural, sino también por selección sexual, al constituir una señal de sensibilidad social y capacidad de cuidado.</w:t>
            </w:r>
          </w:p>
          <w:p w14:paraId="0D62B1ED" w14:textId="24EC190B"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Una oportunidad experimental</w:t>
            </w:r>
          </w:p>
          <w:p w14:paraId="14D4EC3A" w14:textId="0B8FD38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Una de las predicciones clave de nuestro modelo es que los bebés deberían preferir muestras de IDS con mayor variabilidad tonal, dado que esta es una de sus características definitorias</w:t>
            </w:r>
            <w:r w:rsidR="0086251C" w:rsidRPr="0B44BD26">
              <w:fldChar w:fldCharType="begin"/>
            </w:r>
            <w:r w:rsidR="0086251C" w:rsidRPr="0B44BD26">
              <w:instrText xml:space="preserve"> ADDIN ZOTERO_ITEM CSL_CITATION {"citationID":"ephg48Fq","properties":{"formattedCitation":"\\super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w:t>
            </w:r>
            <w:r w:rsidR="0086251C" w:rsidRPr="0B44BD26">
              <w:fldChar w:fldCharType="end"/>
            </w:r>
            <w:r w:rsidRPr="0B44BD26">
              <w:rPr>
                <w:rFonts w:ascii="Avenir Next LT Pro" w:eastAsia="Avenir Next LT Pro" w:hAnsi="Avenir Next LT Pro" w:cs="Avenir Next LT Pro"/>
              </w:rPr>
              <w:t>. Sin embargo, esta predicción no ha sido probada sistemáticamente. Aunque algunos estudios han identificado las propiedades acústicas más importantes del IDS, aún no se conoce con detalle cómo cada una de estas variables influye en la atención, las reacciones emocionales y las preferencias de los bebés prelingüísticos.</w:t>
            </w:r>
          </w:p>
          <w:p w14:paraId="11D9A204" w14:textId="380D6477" w:rsidR="006317B2" w:rsidRPr="00847B5F"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Gracias a los avances tecnológicos actuales</w:t>
            </w:r>
            <w:r w:rsidR="113CB6B5"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como la manipulación acústica precisa, el análisis de atención mediante rastreo ocular, y el análisis automático de expresiones faciales y señales fisiológicas</w:t>
            </w:r>
            <w:r w:rsidR="113CB6B5"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es posible abordar estas preguntas con un nivel de resolución sin precedentes. Esto permite no solo poner a prueba hipótesis derivadas de modelos evolutivos, sino también llenar vacíos empíricos fundamentales en el estudio del desarrollo social, lingüístico y musical en la infancia temprana.</w:t>
            </w:r>
          </w:p>
        </w:tc>
      </w:tr>
    </w:tbl>
    <w:p w14:paraId="76E6E8B5" w14:textId="411672EC"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6. OBJETIVO GENERAL</w:t>
      </w:r>
    </w:p>
    <w:tbl>
      <w:tblPr>
        <w:tblStyle w:val="affffffffb"/>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D6607A"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37A608B"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 OBJETIVO GENERAL</w:t>
            </w:r>
          </w:p>
        </w:tc>
      </w:tr>
      <w:tr w:rsidR="00844492" w:rsidRPr="00847B5F" w14:paraId="28003F16" w14:textId="77777777" w:rsidTr="365890A1">
        <w:trPr>
          <w:trHeight w:val="191"/>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37730" w14:textId="654D7B27" w:rsidR="00844492" w:rsidRPr="00847B5F" w:rsidRDefault="077EEEC8" w:rsidP="365890A1">
            <w:pPr>
              <w:ind w:left="0"/>
              <w:rPr>
                <w:rFonts w:ascii="Avenir Next LT Pro" w:eastAsia="Avenir Next LT Pro" w:hAnsi="Avenir Next LT Pro" w:cs="Avenir Next LT Pro"/>
                <w:color w:val="000000"/>
              </w:rPr>
            </w:pPr>
            <w:r w:rsidRPr="365890A1">
              <w:rPr>
                <w:rFonts w:ascii="Avenir Next LT Pro" w:eastAsia="Avenir Next LT Pro" w:hAnsi="Avenir Next LT Pro" w:cs="Avenir Next LT Pro"/>
              </w:rPr>
              <w:t xml:space="preserve">Analizar cómo las características acústicas del habla dirigida a bebés (IDS) materno influyen en la atención temprana de bebés en etapa prelingüística, y si dichas características predicen el desarrollo lingüístico y musical durante la </w:t>
            </w:r>
            <w:r w:rsidR="6F7DDB56" w:rsidRPr="365890A1">
              <w:rPr>
                <w:rFonts w:ascii="Avenir Next LT Pro" w:eastAsia="Avenir Next LT Pro" w:hAnsi="Avenir Next LT Pro" w:cs="Avenir Next LT Pro"/>
              </w:rPr>
              <w:t xml:space="preserve">primera </w:t>
            </w:r>
            <w:r w:rsidRPr="365890A1">
              <w:rPr>
                <w:rFonts w:ascii="Avenir Next LT Pro" w:eastAsia="Avenir Next LT Pro" w:hAnsi="Avenir Next LT Pro" w:cs="Avenir Next LT Pro"/>
              </w:rPr>
              <w:t>infancia.</w:t>
            </w:r>
          </w:p>
        </w:tc>
      </w:tr>
    </w:tbl>
    <w:p w14:paraId="2C80EFE2" w14:textId="57AAED19" w:rsidR="00844492" w:rsidRPr="00015C11" w:rsidRDefault="36E56080" w:rsidP="0B44BD26">
      <w:pPr>
        <w:pStyle w:val="Heading2"/>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6.1 OBJETIVOS ESPECÍFICOS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FCFF85"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697F701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6.1 OBJETIVOS ESPECÍFICOS</w:t>
            </w:r>
          </w:p>
        </w:tc>
      </w:tr>
      <w:tr w:rsidR="00844492" w:rsidRPr="00847B5F" w14:paraId="1445019D" w14:textId="77777777" w:rsidTr="0B44BD26">
        <w:trPr>
          <w:trHeight w:val="136"/>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764FB" w14:textId="4FFA7BBF"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Caracterizar las propiedades acústicas del habla dirigida a bebés (IDS) producido por madres hacia sus hijos e hijas </w:t>
            </w:r>
            <w:r w:rsidR="782C4F4B" w:rsidRPr="0B44BD26">
              <w:rPr>
                <w:rFonts w:ascii="Avenir Next LT Pro" w:eastAsia="Avenir Next LT Pro" w:hAnsi="Avenir Next LT Pro" w:cs="Avenir Next LT Pro"/>
              </w:rPr>
              <w:t>de 3 a 9 meses de edad</w:t>
            </w:r>
            <w:r w:rsidRPr="0B44BD26">
              <w:rPr>
                <w:rFonts w:ascii="Avenir Next LT Pro" w:eastAsia="Avenir Next LT Pro" w:hAnsi="Avenir Next LT Pro" w:cs="Avenir Next LT Pro"/>
              </w:rPr>
              <w:t>.</w:t>
            </w:r>
          </w:p>
          <w:p w14:paraId="63E0AA94" w14:textId="1CC04A7F"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Determinar experimentalmente el efecto de diferentes características del IDS sobre la atención social de bebés en etapas prelingüísticas, mediante la presentación de estímulos auditivos controlados y el uso de rastreo ocular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w:t>
            </w:r>
          </w:p>
          <w:p w14:paraId="4E4F919C" w14:textId="3108B9DB"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Analizar la respuesta emocional y fisiológica de bebés prelingüísticos ante </w:t>
            </w:r>
            <w:r w:rsidR="3C16A9BB" w:rsidRPr="0B44BD26">
              <w:rPr>
                <w:rFonts w:ascii="Avenir Next LT Pro" w:eastAsia="Avenir Next LT Pro" w:hAnsi="Avenir Next LT Pro" w:cs="Avenir Next LT Pro"/>
              </w:rPr>
              <w:t xml:space="preserve">las </w:t>
            </w:r>
            <w:r w:rsidRPr="0B44BD26">
              <w:rPr>
                <w:rFonts w:ascii="Avenir Next LT Pro" w:eastAsia="Avenir Next LT Pro" w:hAnsi="Avenir Next LT Pro" w:cs="Avenir Next LT Pro"/>
              </w:rPr>
              <w:t>manipulaciones acústicas del IDS</w:t>
            </w:r>
            <w:r w:rsidR="3C16A9BB" w:rsidRPr="0B44BD26">
              <w:rPr>
                <w:rFonts w:ascii="Avenir Next LT Pro" w:eastAsia="Avenir Next LT Pro" w:hAnsi="Avenir Next LT Pro" w:cs="Avenir Next LT Pro"/>
              </w:rPr>
              <w:t xml:space="preserve"> (objetivo específico 2)</w:t>
            </w:r>
            <w:r w:rsidRPr="0B44BD26">
              <w:rPr>
                <w:rFonts w:ascii="Avenir Next LT Pro" w:eastAsia="Avenir Next LT Pro" w:hAnsi="Avenir Next LT Pro" w:cs="Avenir Next LT Pro"/>
              </w:rPr>
              <w:t>, utilizando inteligencia artificial para extraer puntos de referencia faciales, expresiones emocionales y señales fisiológicas (ritmo cardíaco estimado a partir de cambios en el color de la piel en video sincronizado).</w:t>
            </w:r>
          </w:p>
          <w:p w14:paraId="4370C6FC" w14:textId="4F77A165"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Examinar si las propiedades del IDS materno durante el primer año de vida predicen el desarrollo lingüístico y musical de los niños y niñas entre los </w:t>
            </w:r>
            <w:r w:rsidR="67640118" w:rsidRPr="0B44BD26">
              <w:rPr>
                <w:rFonts w:ascii="Avenir Next LT Pro" w:eastAsia="Avenir Next LT Pro" w:hAnsi="Avenir Next LT Pro" w:cs="Avenir Next LT Pro"/>
              </w:rPr>
              <w:t xml:space="preserve">16 a </w:t>
            </w:r>
            <w:r w:rsidR="383DB7E8" w:rsidRPr="0B44BD26">
              <w:rPr>
                <w:rFonts w:ascii="Avenir Next LT Pro" w:eastAsia="Avenir Next LT Pro" w:hAnsi="Avenir Next LT Pro" w:cs="Avenir Next LT Pro"/>
              </w:rPr>
              <w:t>23</w:t>
            </w:r>
            <w:r w:rsidR="67640118" w:rsidRPr="0B44BD26">
              <w:rPr>
                <w:rFonts w:ascii="Avenir Next LT Pro" w:eastAsia="Avenir Next LT Pro" w:hAnsi="Avenir Next LT Pro" w:cs="Avenir Next LT Pro"/>
              </w:rPr>
              <w:t xml:space="preserve"> meses </w:t>
            </w:r>
            <w:r w:rsidRPr="0B44BD26">
              <w:rPr>
                <w:rFonts w:ascii="Avenir Next LT Pro" w:eastAsia="Avenir Next LT Pro" w:hAnsi="Avenir Next LT Pro" w:cs="Avenir Next LT Pro"/>
              </w:rPr>
              <w:t>de edad.</w:t>
            </w:r>
          </w:p>
          <w:p w14:paraId="1C35B8DF" w14:textId="77777777" w:rsidR="003215A6" w:rsidRDefault="0254D628"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Explorar la relación entre habilidades lingüísticas y musicales durante la infancia y su posible asociación con la exposición temprana a diferentes tipos de IDS.</w:t>
            </w:r>
          </w:p>
          <w:p w14:paraId="12A623A1" w14:textId="4E2E413C" w:rsidR="4BD693D9" w:rsidRPr="00EC5CD1" w:rsidRDefault="7D8B6FF9" w:rsidP="0B44BD26">
            <w:pPr>
              <w:pStyle w:val="ListParagraph"/>
              <w:numPr>
                <w:ilvl w:val="0"/>
                <w:numId w:val="6"/>
              </w:numPr>
              <w:ind w:firstLineChars="0"/>
              <w:rPr>
                <w:rFonts w:ascii="Avenir Next LT Pro" w:eastAsia="Avenir Next LT Pro" w:hAnsi="Avenir Next LT Pro" w:cs="Avenir Next LT Pro"/>
              </w:rPr>
            </w:pPr>
            <w:r w:rsidRPr="0B44BD26">
              <w:rPr>
                <w:rFonts w:ascii="Avenir Next LT Pro" w:eastAsia="Avenir Next LT Pro" w:hAnsi="Avenir Next LT Pro" w:cs="Avenir Next LT Pro"/>
              </w:rPr>
              <w:t xml:space="preserve">Continuar el desarrollo y validar un prototipo funcional de </w:t>
            </w:r>
            <w:r w:rsidRPr="0B44BD26">
              <w:rPr>
                <w:rFonts w:ascii="Avenir Next LT Pro" w:eastAsia="Avenir Next LT Pro" w:hAnsi="Avenir Next LT Pro" w:cs="Avenir Next LT Pro"/>
                <w:i/>
                <w:iCs/>
              </w:rPr>
              <w:t>eye tracker</w:t>
            </w:r>
            <w:r w:rsidRPr="0B44BD26">
              <w:rPr>
                <w:rFonts w:ascii="Avenir Next LT Pro" w:eastAsia="Avenir Next LT Pro" w:hAnsi="Avenir Next LT Pro" w:cs="Avenir Next LT Pro"/>
              </w:rPr>
              <w:t xml:space="preserve"> basado en cámara web para medir la atención visual de bebés en estudios remotos, utilizando tecnologías de código abierto y bajo costo</w:t>
            </w:r>
            <w:r w:rsidR="1CC597EE" w:rsidRPr="0B44BD26">
              <w:rPr>
                <w:rFonts w:ascii="Avenir Next LT Pro" w:eastAsia="Avenir Next LT Pro" w:hAnsi="Avenir Next LT Pro" w:cs="Avenir Next LT Pro"/>
              </w:rPr>
              <w:t>.</w:t>
            </w:r>
          </w:p>
          <w:p w14:paraId="1B89CA7E" w14:textId="77777777" w:rsidR="00560D28" w:rsidRPr="00AE266F" w:rsidRDefault="00560D28" w:rsidP="00560D28">
            <w:pPr>
              <w:pStyle w:val="ListParagraph"/>
              <w:numPr>
                <w:ilvl w:val="0"/>
                <w:numId w:val="6"/>
              </w:numPr>
              <w:ind w:firstLineChars="0"/>
              <w:rPr>
                <w:rFonts w:ascii="Avenir Next LT Pro" w:eastAsia="Avenir Next LT Pro" w:hAnsi="Avenir Next LT Pro" w:cs="Avenir Next LT Pro"/>
                <w:color w:val="000000"/>
              </w:rPr>
            </w:pPr>
            <w:r w:rsidRPr="00AE266F">
              <w:rPr>
                <w:rFonts w:ascii="Avenir Next LT Pro" w:eastAsia="Avenir Next LT Pro" w:hAnsi="Avenir Next LT Pro" w:cs="Avenir Next LT Pro"/>
                <w:color w:val="000000"/>
              </w:rPr>
              <w:t>Diseñar e implementar una estrategia de divulgación accesible sobre el habla dirigida a bebés (IDS), a través de medios digitales y materiales de comunicación dirigidos a cuidadores, educadores y profesionales de la salud, con el fin de promover la comprensión y valoración de su importancia en el desarrollo infantil.</w:t>
            </w:r>
          </w:p>
          <w:p w14:paraId="3C0E865A" w14:textId="102A0111" w:rsidR="00F82CA5" w:rsidRPr="00F82CA5" w:rsidRDefault="00560D28" w:rsidP="00560D28">
            <w:pPr>
              <w:pStyle w:val="ListParagraph"/>
              <w:numPr>
                <w:ilvl w:val="0"/>
                <w:numId w:val="6"/>
              </w:numPr>
              <w:ind w:firstLineChars="0"/>
              <w:rPr>
                <w:rFonts w:ascii="Avenir Next LT Pro" w:eastAsia="Avenir Next LT Pro" w:hAnsi="Avenir Next LT Pro" w:cs="Avenir Next LT Pro"/>
                <w:color w:val="000000"/>
              </w:rPr>
            </w:pPr>
            <w:r w:rsidRPr="00AE266F">
              <w:rPr>
                <w:rFonts w:ascii="Avenir Next LT Pro" w:eastAsia="Avenir Next LT Pro" w:hAnsi="Avenir Next LT Pro" w:cs="Avenir Next LT Pro"/>
                <w:color w:val="000000"/>
              </w:rPr>
              <w:lastRenderedPageBreak/>
              <w:t>Generar insumos derivados de los resultados del proyecto que puedan ser transferidos y adaptados para su uso en contextos de salud materno-infantil y educación inicial, orientados a la estimulación temprana y la detección de riesgos en el desarrollo comunicativo.</w:t>
            </w:r>
          </w:p>
        </w:tc>
      </w:tr>
    </w:tbl>
    <w:p w14:paraId="365BB27C" w14:textId="6BEBD534"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7. DESCRIPCIÓN DE LA METODOLOGÍA</w:t>
      </w:r>
    </w:p>
    <w:tbl>
      <w:tblPr>
        <w:tblW w:w="10112"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blBorders>
        <w:tblLayout w:type="fixed"/>
        <w:tblLook w:val="0000" w:firstRow="0" w:lastRow="0" w:firstColumn="0" w:lastColumn="0" w:noHBand="0" w:noVBand="0"/>
      </w:tblPr>
      <w:tblGrid>
        <w:gridCol w:w="10112"/>
      </w:tblGrid>
      <w:tr w:rsidR="00844492" w:rsidRPr="00847B5F" w14:paraId="4F5C225E"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76DB1FB4"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7. DESCRIPCIÓN DE LA METODOLOGÍA</w:t>
            </w:r>
          </w:p>
        </w:tc>
      </w:tr>
      <w:tr w:rsidR="00844492" w:rsidRPr="00847B5F" w14:paraId="7A0FFFEF" w14:textId="77777777" w:rsidTr="3FF8FB8C">
        <w:trPr>
          <w:trHeight w:val="2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ECF52" w14:textId="77777777" w:rsidR="00485542" w:rsidRPr="00485542" w:rsidRDefault="13ECB3CB" w:rsidP="0B44BD26">
            <w:pPr>
              <w:pStyle w:val="ListParagraph"/>
              <w:numPr>
                <w:ilvl w:val="0"/>
                <w:numId w:val="17"/>
              </w:numPr>
              <w:ind w:left="303" w:firstLineChars="0" w:hanging="284"/>
              <w:rPr>
                <w:rFonts w:ascii="Avenir Next LT Pro" w:eastAsia="Avenir Next LT Pro" w:hAnsi="Avenir Next LT Pro" w:cs="Avenir Next LT Pro"/>
                <w:highlight w:val="white"/>
              </w:rPr>
            </w:pPr>
            <w:r w:rsidRPr="0B44BD26">
              <w:rPr>
                <w:rFonts w:ascii="Avenir Next LT Pro" w:eastAsia="Avenir Next LT Pro" w:hAnsi="Avenir Next LT Pro" w:cs="Avenir Next LT Pro"/>
                <w:b/>
                <w:bCs/>
                <w:highlight w:val="white"/>
              </w:rPr>
              <w:t>Estudio 1: Efectos de la manipulación acústica del IDS en la atención de bebés en etapa prelingüística</w:t>
            </w:r>
            <w:r w:rsidRPr="0B44BD26">
              <w:rPr>
                <w:rFonts w:ascii="Avenir Next LT Pro" w:eastAsia="Avenir Next LT Pro" w:hAnsi="Avenir Next LT Pro" w:cs="Avenir Next LT Pro"/>
                <w:highlight w:val="white"/>
              </w:rPr>
              <w:t> </w:t>
            </w:r>
          </w:p>
          <w:p w14:paraId="181625B4" w14:textId="17BA2996"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El Estudio 1 evaluará el impacto del habla dirigida a bebés (IDS, por sus siglas en inglés) en la atención y preferencias de bebés prelingüísticos entre los 3 y 9 meses de edad. Para ello, se emplearán técnicas no invasivas que incluyen el seguimiento ocular (eye-tracking), el análisis automatizado de expresiones faciales y emociones mediante inteligencia artificial, y la estimación de respuestas fisiológicas como el ritmo cardíaco, a partir de cambios en la coloración de la piel registrados en grabaciones de video sincronizadas con los estímulos.</w:t>
            </w:r>
          </w:p>
          <w:p w14:paraId="3C7A00CD" w14:textId="23E7000E"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El seguimiento ocular es fundamental, ya que se ha demostrado que los bebés son sensibles desde muy temprana edad a señales visuales provenientes de cuidadores y otras personas</w:t>
            </w:r>
            <w:r w:rsidR="00485542" w:rsidRPr="0B44BD26">
              <w:rPr>
                <w:highlight w:val="white"/>
              </w:rPr>
              <w:fldChar w:fldCharType="begin"/>
            </w:r>
            <w:r w:rsidR="00485542" w:rsidRPr="0B44BD26">
              <w:rPr>
                <w:highlight w:val="white"/>
              </w:rPr>
              <w:instrText xml:space="preserve"> ADDIN ZOTERO_ITEM CSL_CITATION {"citationID":"3aldtK9w","properties":{"formattedCitation":"\\super 14\\nosupersub{}","plainCitation":"14","noteIndex":0},"citationItems":[{"id":972,"uris":["http://zotero.org/users/5937427/items/8TFG6IJ3"],"itemData":{"id":972,"type":"article-journal","container-title":"Current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14</w:t>
            </w:r>
            <w:r w:rsidR="00485542" w:rsidRPr="0B44BD26">
              <w:rPr>
                <w:highlight w:val="white"/>
              </w:rPr>
              <w:fldChar w:fldCharType="end"/>
            </w:r>
            <w:r w:rsidRPr="0B44BD26">
              <w:rPr>
                <w:rFonts w:ascii="Avenir Next LT Pro" w:eastAsia="Avenir Next LT Pro" w:hAnsi="Avenir Next LT Pro" w:cs="Avenir Next LT Pro"/>
                <w:highlight w:val="white"/>
              </w:rPr>
              <w:t>, y la dirección de la mirada cumple un papel central en el vínculo afectivo y la comunicación visual y verbal temprana con el cuidador principal</w:t>
            </w:r>
            <w:r w:rsidR="00485542" w:rsidRPr="0B44BD26">
              <w:rPr>
                <w:highlight w:val="white"/>
              </w:rPr>
              <w:fldChar w:fldCharType="begin"/>
            </w:r>
            <w:r w:rsidR="00485542" w:rsidRPr="0B44BD26">
              <w:rPr>
                <w:highlight w:val="white"/>
              </w:rPr>
              <w:instrText xml:space="preserve"> ADDIN ZOTERO_ITEM CSL_CITATION {"citationID":"jPHu07sl","properties":{"formattedCitation":"\\super 13\\nosupersub{}","plainCitation":"13","noteIndex":0},"citationItems":[{"id":971,"uris":["http://zotero.org/users/5937427/items/CET3GL2H"],"itemData":{"id":971,"type":"article-journal","abstract":"Gaze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13</w:t>
            </w:r>
            <w:r w:rsidR="00485542" w:rsidRPr="0B44BD26">
              <w:rPr>
                <w:highlight w:val="white"/>
              </w:rPr>
              <w:fldChar w:fldCharType="end"/>
            </w:r>
            <w:r w:rsidRPr="0B44BD26">
              <w:rPr>
                <w:rFonts w:ascii="Avenir Next LT Pro" w:eastAsia="Avenir Next LT Pro" w:hAnsi="Avenir Next LT Pro" w:cs="Avenir Next LT Pro"/>
                <w:highlight w:val="white"/>
              </w:rPr>
              <w:t>. Además, al tratarse de una medida no invasiva e indirecta de la atención</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highlight w:val="white"/>
              </w:rPr>
              <w:t>que no depende del lenguaje verbal</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highlight w:val="white"/>
              </w:rPr>
              <w:t xml:space="preserve"> el seguimiento ocular ha sido ampliamente utilizado para identificar intenciones comunicativas universales en la infancia temprana</w:t>
            </w:r>
            <w:r w:rsidR="00485542" w:rsidRPr="0B44BD26">
              <w:rPr>
                <w:highlight w:val="white"/>
              </w:rPr>
              <w:fldChar w:fldCharType="begin"/>
            </w:r>
            <w:r w:rsidR="00485542" w:rsidRPr="0B44BD26">
              <w:rPr>
                <w:highlight w:val="white"/>
              </w:rPr>
              <w:instrText xml:space="preserve"> ADDIN ZOTERO_ITEM CSL_CITATION {"citationID":"3NxotKJL","properties":{"formattedCitation":"\\super 13,14,106\\nosupersub{}","plainCitation":"13,14,106","noteIndex":0},"citationItems":[{"id":971,"uris":["http://zotero.org/users/5937427/items/CET3GL2H"],"itemData":{"id":971,"type":"article-journal","abstract":"Gaze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id":947,"uris":["http://zotero.org/users/5937427/items/D4C2K3WJ"],"itemData":{"id":947,"type":"article-journal","container-title":"Developmental Science","DOI":"10.1111/desc.12687","ISSN":"1363755X","issue":"6","journalAbbreviation":"Dev Sci","language":"en","page":"e12687","source":"DOI.org (Crossref)","title":"Infants' attention bias to faces as an early marker of social development","URL":"https://onlinelibrary.wiley.com/doi/10.1111/desc.12687","volume":"21","author":[{"family":"Peltola","given":"Mikko J."},{"family":"Yrttiaho","given":"Santeri"},{"family":"Leppänen","given":"Jukka M."}],"accessed":{"date-parts":[["2023",5,22]]},"issued":{"date-parts":[["2018",11]]},"citation-key":"peltolaInfantsAttentionBias2018"}}],"schema":"https://github.com/citation-style-language/schema/raw/master/csl-citation.json"}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13,14,106</w:t>
            </w:r>
            <w:r w:rsidR="00485542" w:rsidRPr="0B44BD26">
              <w:rPr>
                <w:highlight w:val="white"/>
              </w:rPr>
              <w:fldChar w:fldCharType="end"/>
            </w:r>
            <w:r w:rsidR="3AE357CC" w:rsidRPr="0B44BD26">
              <w:rPr>
                <w:rFonts w:ascii="Avenir Next LT Pro" w:eastAsia="Avenir Next LT Pro" w:hAnsi="Avenir Next LT Pro" w:cs="Avenir Next LT Pro"/>
                <w:highlight w:val="white"/>
              </w:rPr>
              <w:t xml:space="preserve">. </w:t>
            </w:r>
            <w:r w:rsidRPr="0B44BD26">
              <w:rPr>
                <w:rFonts w:ascii="Avenir Next LT Pro" w:eastAsia="Avenir Next LT Pro" w:hAnsi="Avenir Next LT Pro" w:cs="Avenir Next LT Pro"/>
                <w:highlight w:val="white"/>
              </w:rPr>
              <w:t>Su aplicación en este estudio permitirá vincular las modulaciones acústicas del IDS con patrones atencionales reflejados en la dirección de la mirada.</w:t>
            </w:r>
          </w:p>
          <w:p w14:paraId="7D4C30C9" w14:textId="6BABC099"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Para estudiar cómo los bebés distribuyen su atención ante diferentes modulaciones del habla, se requiere registrar con alta precisión parámetros como fijaciones y latencias de fijación mediante el análisis de movimientos sacádicos</w:t>
            </w:r>
            <w:r w:rsidR="00485542" w:rsidRPr="0B44BD26">
              <w:rPr>
                <w:highlight w:val="white"/>
              </w:rPr>
              <w:fldChar w:fldCharType="begin"/>
            </w:r>
            <w:r w:rsidR="00485542" w:rsidRPr="0B44BD26">
              <w:rPr>
                <w:highlight w:val="white"/>
              </w:rPr>
              <w:instrText xml:space="preserve"> ADDIN ZOTERO_ITEM CSL_CITATION {"citationID":"bd8RHjFM","properties":{"formattedCitation":"\\super 107\\nosupersub{}","plainCitation":"107","noteIndex":0},"citationItems":[{"id":3090,"uris":["http://zotero.org/users/5937427/items/ZN5ZMY5W"],"itemData":{"id":3090,"type":"article-journal","container-title":"Journal of Educational Psychology","DOI":"10.1037/a0035937","ISSN":"1939-2176, 0022-0663","issue":"3","journalAbbreviation":"Journal of Educational Psychology","language":"en","page":"815-830","source":"DOI.org (Crossref)","title":"Can babies learn to read? A randomized trial of baby media.","title-short":"Can babies learn to read?","URL":"http://doi.apa.org/getdoi.cfm?doi=10.1037/a0035937","volume":"106","author":[{"family":"Neuman","given":"Susan B."},{"family":"Kaefer","given":"Tanya"},{"family":"Pinkham","given":"Ashley"},{"family":"Strouse","given":"Gabrielle"}],"accessed":{"date-parts":[["2023",5,22]]},"issued":{"date-parts":[["2014",8]]},"citation-key":"neumanCanBabiesLearn2014"}}],"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107</w:t>
            </w:r>
            <w:r w:rsidR="00485542" w:rsidRPr="0B44BD26">
              <w:rPr>
                <w:highlight w:val="white"/>
              </w:rPr>
              <w:fldChar w:fldCharType="end"/>
            </w:r>
            <w:r w:rsidRPr="0B44BD26">
              <w:rPr>
                <w:rFonts w:ascii="Avenir Next LT Pro" w:eastAsia="Avenir Next LT Pro" w:hAnsi="Avenir Next LT Pro" w:cs="Avenir Next LT Pro"/>
                <w:highlight w:val="white"/>
              </w:rPr>
              <w:t>. Esto es especialmente importante considerando que el comportamiento ocular en la infancia temprana tiende a ser desorganizado y a cambiar rápidamente entre estímulos, debido a la inmadurez atencional típica de esta etapa del desarrollo</w:t>
            </w:r>
            <w:r w:rsidR="00485542" w:rsidRPr="0B44BD26">
              <w:rPr>
                <w:highlight w:val="white"/>
              </w:rPr>
              <w:fldChar w:fldCharType="begin"/>
            </w:r>
            <w:r w:rsidR="00485542" w:rsidRPr="0B44BD26">
              <w:rPr>
                <w:highlight w:val="white"/>
              </w:rPr>
              <w:instrText xml:space="preserve"> ADDIN ZOTERO_ITEM CSL_CITATION {"citationID":"wy4jZMtm","properties":{"formattedCitation":"\\super 108\\nosupersub{}","plainCitation":"108","noteIndex":0},"citationItems":[{"id":3088,"uris":["http://zotero.org/users/5937427/items/N3PXQ5MH"],"itemData":{"id":3088,"type":"article-journal","container-title":"Developmental Review","DOI":"10.1016/j.dr.2021.100978","ISSN":"02732297","journalAbbreviation":"Developmental Review","language":"en","page":"100978","source":"DOI.org (Crossref)","title":"The origins of effortful control: How early development within arousal/regulatory systems influences attentional and affective control","title-short":"The origins of effortful control","URL":"https://linkinghub.elsevier.com/retrieve/pii/S0273229721000332","volume":"61","author":[{"family":"Wass","given":"Samuel V."}],"accessed":{"date-parts":[["2023",5,22]]},"issued":{"date-parts":[["2021",9]]},"citation-key":"wassOriginsEffortfulControl2021"}}],"schema":"https://github.com/citation-style-language/schema/raw/master/csl-citation.json"}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108</w:t>
            </w:r>
            <w:r w:rsidR="00485542" w:rsidRPr="0B44BD26">
              <w:rPr>
                <w:highlight w:val="white"/>
              </w:rPr>
              <w:fldChar w:fldCharType="end"/>
            </w:r>
            <w:r w:rsidRPr="0B44BD26">
              <w:rPr>
                <w:rFonts w:ascii="Avenir Next LT Pro" w:eastAsia="Avenir Next LT Pro" w:hAnsi="Avenir Next LT Pro" w:cs="Avenir Next LT Pro"/>
                <w:highlight w:val="white"/>
              </w:rPr>
              <w:t>.</w:t>
            </w:r>
          </w:p>
          <w:p w14:paraId="42BBD7D1" w14:textId="6FE10FEF" w:rsidR="00C46D2E" w:rsidRPr="00CE4425"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Por tanto, es necesario contar con un sistema de seguimiento ocular remoto, de alto rendimiento, que no interfiera con el comportamiento natural de los bebés. El equipo debe tener una tasa de muestreo superior a 100 Hz y una precisión angular menor a 0.5°, características que actualmente solo se alcanzan mediante sistemas basados en cámaras infrarrojas que utilizan la reflexión corneal [171, 172]. Estos permiten estimar con alta precisión la posición tridimensional de ambos ojos y el punto de fijación, y ofrecen seguimiento binocular que tolera movimientos de la cabeza del bebé, reduciendo errores temporales</w:t>
            </w:r>
            <w:r w:rsidR="00485542" w:rsidRPr="0B44BD26">
              <w:rPr>
                <w:highlight w:val="white"/>
              </w:rPr>
              <w:fldChar w:fldCharType="begin"/>
            </w:r>
            <w:r w:rsidR="00485542" w:rsidRPr="0B44BD26">
              <w:rPr>
                <w:highlight w:val="white"/>
              </w:rPr>
              <w:instrText xml:space="preserve"> ADDIN ZOTERO_ITEM CSL_CITATION {"citationID":"j86BW3Z5","properties":{"formattedCitation":"\\super 109\\nosupersub{}","plainCitation":"109","noteIndex":0},"citationItems":[{"id":3089,"uris":["http://zotero.org/users/5937427/items/MSQDQ84R"],"itemData":{"id":3089,"type":"article-journal","container-title":"Cognitive Processing","DOI":"10.1007/s10339-012-0499-z","ISSN":"1612-4782, 1612-4790","issue":"S1","journalAbbreviation":"Cogn Process","language":"en","page":"261-265","source":"DOI.org (Crossref)","title":"Gaze and eye-tracking solutions for psychological research","URL":"http://link.springer.com/10.1007/s10339-012-0499-z","volume":"13","author":[{"family":"Mele","given":"Maria Laura"},{"family":"Federici","given":"Stefano"}],"accessed":{"date-parts":[["2023",5,22]]},"issued":{"date-parts":[["2012",8]]},"citation-key":"meleGazeEyetrackingSolutions2012"}}],"schema":"https://github.com/citation-style-language/schema/raw/master/csl-citation.json"}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109</w:t>
            </w:r>
            <w:r w:rsidR="00485542" w:rsidRPr="0B44BD26">
              <w:rPr>
                <w:highlight w:val="white"/>
              </w:rPr>
              <w:fldChar w:fldCharType="end"/>
            </w:r>
            <w:r w:rsidRPr="0B44BD26">
              <w:rPr>
                <w:rFonts w:ascii="Avenir Next LT Pro" w:eastAsia="Avenir Next LT Pro" w:hAnsi="Avenir Next LT Pro" w:cs="Avenir Next LT Pro"/>
                <w:highlight w:val="white"/>
              </w:rPr>
              <w:t>. Además, es imprescindible que el sistema funcione de forma independiente a una pantalla, ya que se empleará durante interacciones sociales en vivo.</w:t>
            </w:r>
          </w:p>
          <w:p w14:paraId="226BD63C" w14:textId="4F77D1E3" w:rsidR="00485542" w:rsidRPr="00485542" w:rsidRDefault="75FDB4B5" w:rsidP="0B44BD26">
            <w:pPr>
              <w:ind w:firstLine="309"/>
              <w:rPr>
                <w:rFonts w:ascii="Avenir Next LT Pro" w:eastAsia="Avenir Next LT Pro" w:hAnsi="Avenir Next LT Pro" w:cs="Avenir Next LT Pro"/>
                <w:highlight w:val="white"/>
              </w:rPr>
            </w:pPr>
            <w:r w:rsidRPr="3FF8FB8C">
              <w:rPr>
                <w:rFonts w:ascii="Avenir Next LT Pro" w:eastAsia="Avenir Next LT Pro" w:hAnsi="Avenir Next LT Pro" w:cs="Avenir Next LT Pro"/>
                <w:b/>
                <w:bCs/>
                <w:highlight w:val="white"/>
              </w:rPr>
              <w:t>Piloto con cámara web:</w:t>
            </w:r>
            <w:r w:rsidRPr="3FF8FB8C">
              <w:rPr>
                <w:rFonts w:ascii="Avenir Next LT Pro" w:eastAsia="Avenir Next LT Pro" w:hAnsi="Avenir Next LT Pro" w:cs="Avenir Next LT Pro"/>
                <w:highlight w:val="white"/>
              </w:rPr>
              <w:t xml:space="preserve"> A pesar de las ventajas en precisión y control de los sistemas basados en infrarrojos, su uso limita la implementación de estudios transculturales debido a la necesidad de contar con el mismo equipo y software en múltiples ubicaciones, lo que incrementa significativamente los costos y la dependencia de laboratorios especializados.</w:t>
            </w:r>
          </w:p>
          <w:p w14:paraId="77ED61D7" w14:textId="49062E19"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Por ello, este estudio incluirá un piloto paralelo en el que se recolectarán datos simultáneamente con el rastreador ocular infrarrojo y una cámara web convencional. Aunque estas tecnologías basadas en cámaras web han comenzado a explorarse en investigación, aún no existen estudios validados con bebés, y la precisión que ofrecen no alcanza los estándares de alta calidad científica. Su uso, aunque prometedor, sigue siendo limitado, como lo evidencian estudios en otras áreas y técnicas relacionadas como la pupilometría</w:t>
            </w:r>
            <w:r w:rsidR="00485542" w:rsidRPr="0B44BD26">
              <w:rPr>
                <w:highlight w:val="white"/>
              </w:rPr>
              <w:fldChar w:fldCharType="begin"/>
            </w:r>
            <w:r w:rsidR="00485542" w:rsidRPr="0B44BD26">
              <w:rPr>
                <w:highlight w:val="white"/>
              </w:rPr>
              <w:instrText xml:space="preserve"> ADDIN ZOTERO_ITEM CSL_CITATION {"citationID":"y63wwLWI","properties":{"formattedCitation":"\\super 110\\uc0\\u8211{}112\\nosupersub{}","plainCitation":"110–112","noteIndex":0},"citationItems":[{"id":946,"uris":["http://zotero.org/users/5937427/items/47AXD5E4"],"itemData":{"id":946,"type":"article-journal","abstract":"Online retailers are challenged to present their products in an appropriate way to attract customers’ attention. To test the impact of product presentation features on customers’ visual attention, webcam eye tracking might be an alternative to infrared eye tracking, especially in situations where face-to-face contact is difficult. The aim of this study was to examine whether webcam eye tracking is suitable for investigating the influence of certain exogenous factors on customers’ visual attention when visiting online clothing shops. For this purpose, screenshots of two websites of two well-known online clothing retailers were used as stimuli. Linear regression analyses were conducted to determine the influence of the spatial position and the presence of a human model on the percentage of participants visiting a product depiction. The results show that products presented by human models and located in the upper middle area of a website were visited by more participants. From this, we were able to derive recommendations for optimising product presentation in online clothing shops. Our results fit well with those of other studies on visual attention conducted with infrared eye tracking, suggesting that webcam eye tracking could be an alternative to infrared eye tracking, at least for similar research questions.","container-title":"Applied Sciences","DOI":"10.3390/app11199281","ISSN":"2076-3417","issue":"19","journalAbbreviation":"Applied Sciences","language":"en","page":"9281","source":"DOI.org (Crossref)","title":"Webcam Eye Tracking for Monitoring Visual Attention in Hypothetical Online Shopping Tasks","URL":"https://www.mdpi.com/2076-3417/11/19/9281","volume":"11","author":[{"family":"Schröter","given":"Iris"},{"family":"Grillo","given":"Nico Rolf"},{"family":"Limpak","given":"Margarethe Kristine"},{"family":"Mestiri","given":"Bilel"},{"family":"Osthold","given":"Benedikt"},{"family":"Sebti","given":"Fourat"},{"family":"Mergenthaler","given":"Marcus"}],"accessed":{"date-parts":[["2023",5,22]]},"issued":{"date-parts":[["2021",10,6]]},"citation-key":"schroterWebcamEyeTracking2021"}},{"id":945,"uris":["http://zotero.org/users/5937427/items/8HCRXHWA"],"itemData":{"id":945,"type":"article-journal","abstract":"Abstract\n            Experiments are increasingly moving online. This poses a major challenge for researchers who rely on in-lab techniques such as eye-tracking. Researchers in computer science have developed web-based eye-tracking applications (WebGazer; Papoutsaki et al., 2016) but they have yet to see them used in behavioral research. This is likely due to the extensive calibration and validation procedure, inconsistent temporal resolution (Semmelmann &amp; Weigelt, 2018), and the challenge of integrating it into experimental software. Here, we incorporate WebGazer into a JavaScript library widely used by behavioral researchers (jsPsych) and adjust the procedure and code to reduce calibration/validation and improve the temporal resolution (from 100–1000 ms to 20–30 ms). We test this procedure with a decision-making study on Amazon MTurk, replicating previous in-lab findings on the relationship between gaze and choice, with little degradation in spatial or temporal resolution. This provides evidence that online web-based eye-tracking is feasible in behavioral research.","container-title":"Judgment and Decision Making","DOI":"10.1017/S1930297500008512","ISSN":"1930-2975","issue":"6","journalAbbreviation":"Judgm. decis. mak.","language":"en","page":"1485-1505","source":"DOI.org (Crossref)","title":"Webcam-based online eye-tracking for behavioral research","URL":"https://www.cambridge.org/core/product/identifier/S1930297500008512/type/journal_article","volume":"16","author":[{"family":"Yang","given":"Xiaozhi"},{"family":"Krajbich","given":"Ian"}],"accessed":{"date-parts":[["2023",5,22]]},"issued":{"date-parts":[["2021",11]]},"citation-key":"yangWebcambasedOnlineEyetracking2021"}},{"id":944,"uris":["http://zotero.org/users/5937427/items/624GRJYE"],"itemData":{"id":944,"type":"article-journal","abstract":"Abstract\n            Emotional speech perception is a multisensory process. When speaking with an individual we concurrently integrate the information from their voice and face to decode e.g., their feelings, moods, and emotions. However, the physiological reactions—such as the reflexive dilation of the pupil—associated to these processes remain mostly unknown. That is the aim of the current article, to investigate whether pupillary reactions can index the processes underlying the audiovisual integration of emotional signals. To investigate this question, we used an algorithm able to increase or decrease the smiles seen in a person’s face or heard in their voice, while preserving the temporal synchrony between visual and auditory channels. Using this algorithm, we created congruent and incongruent audiovisual smiles, and investigated participants’ gaze and pupillary reactions to manipulated stimuli. We found that pupil reactions can reflect emotional information mismatch in audiovisual speech. In our data, when participants were explicitly asked to extract emotional information from stimuli, the first fixation within emotionally mismatching areas (i.e., the mouth) triggered pupil dilation. These results reveal that pupil dilation can reflect the dynamic integration of audiovisual emotional speech and provide insights on how these reactions are triggered during stimulus perception.","container-title":"Scientific Reports","DOI":"10.1038/s41598-023-32133-2","ISSN":"2045-2322","issue":"1","journalAbbreviation":"Sci Rep","language":"en","page":"5507","source":"DOI.org (Crossref)","title":"Pupil dilation reflects the dynamic integration of audiovisual emotional speech","URL":"https://www.nature.com/articles/s41598-023-32133-2","volume":"13","author":[{"family":"Arias Sarah","given":"Pablo"},{"family":"Hall","given":"Lars"},{"family":"Saitovitch","given":"Ana"},{"family":"Aucouturier","given":"Jean-Julien"},{"family":"Zilbovicius","given":"Monica"},{"family":"Johansson","given":"Petter"}],"accessed":{"date-parts":[["2023",5,22]]},"issued":{"date-parts":[["2023",4,4]]},"citation-key":"ariassarahPupilDilationReflects2023"}}],"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110–112</w:t>
            </w:r>
            <w:r w:rsidR="00485542" w:rsidRPr="0B44BD26">
              <w:rPr>
                <w:highlight w:val="white"/>
              </w:rPr>
              <w:fldChar w:fldCharType="end"/>
            </w:r>
            <w:r w:rsidRPr="0B44BD26">
              <w:rPr>
                <w:rFonts w:ascii="Avenir Next LT Pro" w:eastAsia="Avenir Next LT Pro" w:hAnsi="Avenir Next LT Pro" w:cs="Avenir Next LT Pro"/>
                <w:highlight w:val="white"/>
              </w:rPr>
              <w:t>.</w:t>
            </w:r>
          </w:p>
          <w:p w14:paraId="52458122" w14:textId="4C73254E" w:rsidR="00C46D2E" w:rsidRPr="00485542" w:rsidRDefault="75FDB4B5" w:rsidP="0B44BD26">
            <w:pPr>
              <w:rPr>
                <w:rFonts w:ascii="Avenir Next LT Pro" w:eastAsia="Avenir Next LT Pro" w:hAnsi="Avenir Next LT Pro" w:cs="Avenir Next LT Pro"/>
                <w:highlight w:val="white"/>
              </w:rPr>
            </w:pPr>
            <w:r w:rsidRPr="3FF8FB8C">
              <w:rPr>
                <w:rFonts w:ascii="Avenir Next LT Pro" w:eastAsia="Avenir Next LT Pro" w:hAnsi="Avenir Next LT Pro" w:cs="Avenir Next LT Pro"/>
                <w:highlight w:val="white"/>
              </w:rPr>
              <w:t>Si este piloto demuestra que es posible obtener datos de calidad aceptable mediante cámaras web, se podrá avanzar hacia paradigmas experimentales distribuidos en línea, en los que las familias participen desde sus hogares utilizando únicamente un computador con cámara web. Esta posibilidad, ya sugerida por otros autores</w:t>
            </w:r>
            <w:r w:rsidR="13ECB3CB" w:rsidRPr="3FF8FB8C">
              <w:rPr>
                <w:highlight w:val="white"/>
              </w:rPr>
              <w:fldChar w:fldCharType="begin"/>
            </w:r>
            <w:r w:rsidR="13ECB3CB" w:rsidRPr="3FF8FB8C">
              <w:rPr>
                <w:highlight w:val="white"/>
              </w:rPr>
              <w:instrText xml:space="preserve"> ADDIN ZOTERO_ITEM CSL_CITATION {"citationID":"XfkwSL0V","properties":{"formattedCitation":"\\super 113\\nosupersub{}","plainCitation":"113","noteIndex":0},"citationItems":[{"id":950,"uris":["http://zotero.org/users/5937427/items/V64SPQYD"],"itemData":{"id":950,"type":"article-journal","abstract":"Online testing holds great promise for infant scientists. It could increase participant diversity, improve reproducibility and collaborative possibilities, and reduce costs for researchers and participants. However, despite the rise of platforms and participant databases, little work has been done to overcome the challenges of making this approach available to researchers across the world. In this paper, we elaborate on the benefits of online infant testing from a global perspective and identify challenges for the international community that have been outside of the scope of previous literature. Furthermore, we introduce ManyBabies-AtHome, an international, multi-lab collaboration that is actively working to facilitate practical and technical aspects of online testing and address ethical concerns regarding data storage and protection, and cross-cultural variation. The ultimate goal of this collaboration is to improve the method of testing infants online and make it globally available.","container-title":"Frontiers in Psychology","DOI":"10.3389/fpsyg.2021.703234","ISSN":"1664-1078","source":"Frontiers","title":"A Global Perspective on Testing Infants Online: Introducing ManyBabies-AtHome","title-short":"A Global Perspective on Testing Infants Online","URL":"https://www.frontiersin.org/articles/10.3389/fpsyg.2021.703234","volume":"12","author":[{"family":"Zaadnoordijk","given":"Lorijn"},{"family":"Buckler","given":"Helen"},{"family":"Cusack","given":"Rhodri"},{"family":"Tsuji","given":"Sho"},{"family":"Bergmann","given":"Christina"}],"accessed":{"date-parts":[["2023",5,21]]},"issued":{"date-parts":[["2021"]]},"citation-key":"zaadnoordijkGlobalPerspectiveTesting2021"}}],"schema":"https://github.com/citation-style-language/schema/raw/master/csl-citation.json"} </w:instrText>
            </w:r>
            <w:r w:rsidR="13ECB3CB" w:rsidRPr="3FF8FB8C">
              <w:rPr>
                <w:highlight w:val="white"/>
              </w:rPr>
              <w:fldChar w:fldCharType="separate"/>
            </w:r>
            <w:r w:rsidR="00892B9B" w:rsidRPr="3FF8FB8C">
              <w:rPr>
                <w:rFonts w:ascii="Avenir Next LT Pro" w:hAnsi="Avenir Next LT Pro" w:cs="Times New Roman"/>
                <w:vertAlign w:val="superscript"/>
              </w:rPr>
              <w:t>113</w:t>
            </w:r>
            <w:r w:rsidR="13ECB3CB" w:rsidRPr="3FF8FB8C">
              <w:rPr>
                <w:highlight w:val="white"/>
              </w:rPr>
              <w:fldChar w:fldCharType="end"/>
            </w:r>
            <w:r w:rsidRPr="3FF8FB8C">
              <w:rPr>
                <w:rFonts w:ascii="Avenir Next LT Pro" w:eastAsia="Avenir Next LT Pro" w:hAnsi="Avenir Next LT Pro" w:cs="Avenir Next LT Pro"/>
                <w:highlight w:val="white"/>
              </w:rPr>
              <w:t>, permitiría democratizar el acceso a estudios con tecnología de rastreo ocular</w:t>
            </w:r>
            <w:r w:rsidR="6265575C" w:rsidRPr="3FF8FB8C">
              <w:rPr>
                <w:rFonts w:ascii="Avenir Next LT Pro" w:eastAsia="Avenir Next LT Pro" w:hAnsi="Avenir Next LT Pro" w:cs="Avenir Next LT Pro"/>
                <w:highlight w:val="white"/>
              </w:rPr>
              <w:t xml:space="preserve">, </w:t>
            </w:r>
            <w:r w:rsidRPr="3FF8FB8C">
              <w:rPr>
                <w:rFonts w:ascii="Avenir Next LT Pro" w:eastAsia="Avenir Next LT Pro" w:hAnsi="Avenir Next LT Pro" w:cs="Avenir Next LT Pro"/>
                <w:highlight w:val="white"/>
              </w:rPr>
              <w:t>históricamente restringida a ciertos contextos institucionales</w:t>
            </w:r>
            <w:r w:rsidR="6265575C" w:rsidRPr="3FF8FB8C">
              <w:rPr>
                <w:rFonts w:ascii="Avenir Next LT Pro" w:eastAsia="Avenir Next LT Pro" w:hAnsi="Avenir Next LT Pro" w:cs="Avenir Next LT Pro"/>
                <w:highlight w:val="white"/>
              </w:rPr>
              <w:t>,</w:t>
            </w:r>
            <w:r w:rsidRPr="3FF8FB8C">
              <w:rPr>
                <w:rFonts w:ascii="Avenir Next LT Pro" w:eastAsia="Avenir Next LT Pro" w:hAnsi="Avenir Next LT Pro" w:cs="Avenir Next LT Pro"/>
                <w:highlight w:val="white"/>
              </w:rPr>
              <w:t xml:space="preserve"> y ampliar enormemente el alcance y la inclusión geográfica y cultural de este tipo de investigaciones.  </w:t>
            </w:r>
          </w:p>
          <w:p w14:paraId="65B65655" w14:textId="68CA1A9B" w:rsidR="00485542" w:rsidRPr="00CE4425" w:rsidRDefault="13ECB3CB" w:rsidP="0B44BD26">
            <w:pPr>
              <w:ind w:firstLine="309"/>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b/>
                <w:bCs/>
                <w:highlight w:val="white"/>
                <w:lang w:val="es-ES"/>
              </w:rPr>
              <w:t>Herramientas de inteligencia artificial para analizar puntos de referencia faciales y emociones, y extraer</w:t>
            </w:r>
            <w:r w:rsidR="30412697" w:rsidRPr="0B44BD26">
              <w:rPr>
                <w:rFonts w:ascii="Avenir Next LT Pro" w:eastAsia="Avenir Next LT Pro" w:hAnsi="Avenir Next LT Pro" w:cs="Avenir Next LT Pro"/>
                <w:b/>
                <w:bCs/>
                <w:highlight w:val="white"/>
                <w:lang w:val="es-ES"/>
              </w:rPr>
              <w:t xml:space="preserve"> </w:t>
            </w:r>
            <w:r w:rsidRPr="0B44BD26">
              <w:rPr>
                <w:rFonts w:ascii="Avenir Next LT Pro" w:eastAsia="Avenir Next LT Pro" w:hAnsi="Avenir Next LT Pro" w:cs="Avenir Next LT Pro"/>
                <w:b/>
                <w:bCs/>
                <w:highlight w:val="white"/>
                <w:lang w:val="es-ES"/>
              </w:rPr>
              <w:t>respuestas fisiológicas (ritmo cardíaco):</w:t>
            </w:r>
            <w:r w:rsidRPr="0B44BD26">
              <w:rPr>
                <w:rFonts w:ascii="Avenir Next LT Pro" w:eastAsia="Avenir Next LT Pro" w:hAnsi="Avenir Next LT Pro" w:cs="Avenir Next LT Pro"/>
                <w:highlight w:val="white"/>
                <w:lang w:val="es-ES"/>
              </w:rPr>
              <w:t xml:space="preserve"> Además de ayudar a definir y afinar una herramienta de código abierto para el rastreo ocular, estudio integrará herramientas de inteligencia artificial de código abierto para el análisis automático de expresiones faciales, estimación de emociones y extracción de ritmo cardíaco a partir de video. </w:t>
            </w:r>
          </w:p>
          <w:p w14:paraId="67087E5A" w14:textId="2CE6DD4C"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Para la detección de emociones, se utilizarán modelos que estiman estados afectivos (valencia y activación) a partir de grabaciones de video. Existen algoritmos y herramientas de código abierto, principalmente implementadas en Python que emplean redes neuronales convolucionales entrenadas en bases de datos multimodales, y ya han sido validadas en condiciones de laboratorio controladas para inferencia afectiva</w:t>
            </w:r>
            <w:r w:rsidR="00485542" w:rsidRPr="0B44BD26">
              <w:rPr>
                <w:highlight w:val="white"/>
                <w:lang w:val="es-ES"/>
              </w:rPr>
              <w:fldChar w:fldCharType="begin"/>
            </w:r>
            <w:r w:rsidR="00485542" w:rsidRPr="0B44BD26">
              <w:rPr>
                <w:highlight w:val="white"/>
                <w:lang w:val="es-ES"/>
              </w:rPr>
              <w:instrText xml:space="preserve"> ADDIN ZOTERO_ITEM CSL_CITATION {"citationID":"n3oNidRv","properties":{"formattedCitation":"\\super 114\\uc0\\u8211{}116\\nosupersub{}","plainCitation":"114–116","noteIndex":0},"citationItems":[{"id":5785,"uris":["http://zotero.org/users/5937427/items/JHMNGJHD"],"itemData":{"id":5785,"type":"article-journal","abstract":"Facial emotional recognition is one of the essential tools used by recognition psychology to diagnose patients. Face and facial emotional recognition are areas where machine learning is excelling. Facial Emotion Recognition in an unconstrained environment is an open challenge for digital image processing due to different environments, such as lighting conditions, pose variation, yaw motion, and occlusions. Deep learning approaches have shown significant improvements in image recognition. However, accuracy and time still need improvements. This research aims to improve facial emotion recognition accuracy during the training session and reduce processing time using a modified Convolution Neural Network Enhanced with Extreme Learning Machine (CNNEELM). The proposed system consists of an optical flow estimation technique that detects the motion of change in facial expression and extracts peak images from video frames for image pre-processing. The system entails (CNNEELM) improving the accuracy in image registration during the training session. Furthermore, the system recognizes six facial emotions – happy, sad, disgust, fear, surprise, and neutral with the proposed CNNEELM model. The study shows that the overall facial emotion recognition accuracy is improved by 2% than the state of art solutions with a modified Stochastic Gradient Descent (SGD) technique. With the Extreme Learning Machine (ELM) classifier, the processing time is brought down to 65 ms from 113 ms, which can smoothly classify each frame from a video clip at 20fps. With the pre-trained InceptionV3 model, the proposed CNNEELM model is trained with JAFFE, CK+, and FER2013 expression datasets. The simulation results show significant improvements in accuracy and processing time, making the model suitable for the video analysis process. Besides, the study solves the issue of the large processing time required to process the facial images.","container-title":"Multimedia Tools and Applications","DOI":"10.1007/s11042-022-13567-8","ISSN":"1573-7721","issue":"5","journalAbbreviation":"Multimed Tools Appl","language":"en","page":"6479-6503","source":"Springer Link","title":"A novel enhanced convolution neural network with extreme learning machine: facial emotional recognition in psychology practices","title-short":"A novel enhanced convolution neural network with extreme learning machine","URL":"https://doi.org/10.1007/s11042-022-13567-8","volume":"82","author":[{"family":"Banskota","given":"Nitesh"},{"family":"Alsadoon","given":"Abeer"},{"family":"Prasad","given":"P. W. C."},{"family":"Dawoud","given":"Ahmed"},{"family":"Rashid","given":"Tarik A."},{"family":"Alsadoon","given":"Omar Hisham"}],"accessed":{"date-parts":[["2025",7,9]]},"issued":{"date-parts":[["2023",2,1]]},"citation-key":"banskotaNovelEnhancedConvolution2023"}},{"id":5784,"uris":["http://zotero.org/users/5937427/items/4UFS4TA8"],"itemData":{"id":5784,"type":"article-journal","abstract":"Facial emotion recognition (FER) from videos is now considered a significant role in HCI (Human-Computer Interaction). The dynamic variations shown by various facial movements need to be realized quickly without degrading the recognition performance. Therefore, the procedure of classifying the facial emotions from videos is now demanded as a challenging and interesting issue. This work proposes a practical methodology for identifying emotions through facial expressions from videos. At first, the Lucas–Kanade (LK) based optical flow scheme is used for motion detection from the input videos. After finding the set of LK frames, the pre-processing scheme is applied. In this process, the Viola-Jones algorithm is utilized for face detection, and then the gray scale conversion is involved. Moreover, the FAST corner detection approach is used to detect the facial landmark points over the gray scale frame. The Neighborhood Difference Features (NDF) are extracted in feature extraction (FE). The optimal set of features is selected from the mined features using the Modified Plant Genetics-Inspired Evolutionary Optimization (MPGEO) algorithm in the feature selection (FS). Finally, the chosen features are fed into the Deep Attention-based Bidirectional LSTM with Equilibrium Optimizer (DABLEO) classifier for the emotion classification. The proposed scheme is performed in the Python software using four standard datasets like FAMED, CK+, AFEW, and MMI, and it delivers the classification accuracy of 96.5%, 99.2%, 90%, and 92% individually. As related to other schemes, the proposed scheme is better for all performances of emotion recognition.","container-title":"Multimedia Tools and Applications","DOI":"10.1007/s11042-023-14491-1","ISSN":"1573-7721","issue":"19","journalAbbreviation":"Multimed Tools Appl","language":"en","page":"28681-28711","source":"Springer Link","title":"Facial emotion recognition on video using deep attention based bidirectional LSTM with equilibrium optimizer","URL":"https://doi.org/10.1007/s11042-023-14491-1","volume":"82","author":[{"family":"Vedantham","given":"Ramachandran"},{"family":"Reddy","given":"Edara Sreenivasa"}],"accessed":{"date-parts":[["2025",7,9]]},"issued":{"date-parts":[["2023",8,1]]},"citation-key":"vedanthamFacialEmotionRecognition2023"}},{"id":5780,"uris":["http://zotero.org/users/5937427/items/MCTYXGSR"],"itemData":{"id":5780,"type":"article-journal","abstract":"Facial expressions are one of the most essential channels to communicate a person’s emotional state. In social interaction, the capability to accurately read subtle changes in facial expressions, which reveal emotional fluctuations, is critical for 1) comprehending others’ emotions in context and background situations, 2) identifying responsiveness to others’ emotions, and 3) developing social skills in human–computer interaction. In this paper, we first introduce automatic emotion change detection via facial expression that discovers timings or temporal locations in a video where facial expression significantly changes. We propose a weakly-supervised deep emotion change detection framework that does not require facial expression videos with expensive temporal annotations and instead learns static images for training. Incorporating these ideas, we performed extensive experiments to demonstrate fundamental insights into emotion change detection and the efficacy of our framework using three video datasets, i.e., CASME II, MMI, and our YoutubeECD. Furthermore, we modified our framework for temporal spotting, which is the most similar task to emotion change detection, and showed comparable results with state-of-the-art methods on CAS(ME)2, proving justification for the problem. Even though we only employed the AffectNet to train our framework rather than the CASME II, MMI, YoutubeECD, and CAS(ME)2, experimental results demonstrate its exceptional generalization capability in cross-dataset environments.","container-title":"Neurocomputing","DOI":"10.1016/j.neucom.2023.126439","ISSN":"0925-2312","journalAbbreviation":"Neurocomputing","page":"126439","source":"ScienceDirect","title":"Deep emotion change detection via facial expression analysis","URL":"https://www.sciencedirect.com/science/article/pii/S0925231223005623","volume":"549","author":[{"family":"Han","given":"ByungOk"},{"family":"Yoo","given":"Cheol-Hwan"},{"family":"Kim","given":"Ho-Won"},{"family":"Yoo","given":"Jang-Hee"},{"family":"Jang","given":"Jinhyeok"}],"accessed":{"date-parts":[["2025",7,9]]},"issued":{"date-parts":[["2023",9,7]]},"citation-key":"hanDeepEmotionChange2023"}}],"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114–116</w:t>
            </w:r>
            <w:r w:rsidR="00485542" w:rsidRPr="0B44BD26">
              <w:rPr>
                <w:highlight w:val="white"/>
                <w:lang w:val="es-ES"/>
              </w:rPr>
              <w:fldChar w:fldCharType="end"/>
            </w:r>
            <w:r w:rsidRPr="0B44BD26">
              <w:rPr>
                <w:rFonts w:ascii="Avenir Next LT Pro" w:eastAsia="Avenir Next LT Pro" w:hAnsi="Avenir Next LT Pro" w:cs="Avenir Next LT Pro"/>
                <w:highlight w:val="white"/>
                <w:lang w:val="es-ES"/>
              </w:rPr>
              <w:t>.</w:t>
            </w:r>
          </w:p>
          <w:p w14:paraId="0EB9454D" w14:textId="212F8646"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la estimación del ritmo cardíaco, se emplearán técnicas de </w:t>
            </w:r>
            <w:proofErr w:type="spellStart"/>
            <w:r w:rsidRPr="0B44BD26">
              <w:rPr>
                <w:rFonts w:ascii="Avenir Next LT Pro" w:eastAsia="Avenir Next LT Pro" w:hAnsi="Avenir Next LT Pro" w:cs="Avenir Next LT Pro"/>
                <w:highlight w:val="white"/>
                <w:lang w:val="es-ES"/>
              </w:rPr>
              <w:t>fotopletismografía</w:t>
            </w:r>
            <w:proofErr w:type="spellEnd"/>
            <w:r w:rsidRPr="0B44BD26">
              <w:rPr>
                <w:rFonts w:ascii="Avenir Next LT Pro" w:eastAsia="Avenir Next LT Pro" w:hAnsi="Avenir Next LT Pro" w:cs="Avenir Next LT Pro"/>
                <w:highlight w:val="white"/>
                <w:lang w:val="es-ES"/>
              </w:rPr>
              <w:t xml:space="preserve"> remota (</w:t>
            </w:r>
            <w:proofErr w:type="spellStart"/>
            <w:r w:rsidRPr="0B44BD26">
              <w:rPr>
                <w:rFonts w:ascii="Avenir Next LT Pro" w:eastAsia="Avenir Next LT Pro" w:hAnsi="Avenir Next LT Pro" w:cs="Avenir Next LT Pro"/>
                <w:highlight w:val="white"/>
                <w:lang w:val="es-ES"/>
              </w:rPr>
              <w:t>rPPG</w:t>
            </w:r>
            <w:proofErr w:type="spellEnd"/>
            <w:r w:rsidRPr="0B44BD26">
              <w:rPr>
                <w:rFonts w:ascii="Avenir Next LT Pro" w:eastAsia="Avenir Next LT Pro" w:hAnsi="Avenir Next LT Pro" w:cs="Avenir Next LT Pro"/>
                <w:highlight w:val="white"/>
                <w:lang w:val="es-ES"/>
              </w:rPr>
              <w:t>), que permiten inferir la frecuencia cardíaca a partir de sutiles cambios en la coloración facial causados por el flujo sanguíneo. Las herramientas más prometedoras en este campo también han sido desarrolladas bajo licencias abiertas y validadas en condiciones con distintas iluminaciones y movimientos de cabeza</w:t>
            </w:r>
            <w:r w:rsidR="00485542" w:rsidRPr="0B44BD26">
              <w:rPr>
                <w:highlight w:val="white"/>
                <w:lang w:val="es-ES"/>
              </w:rPr>
              <w:fldChar w:fldCharType="begin"/>
            </w:r>
            <w:r w:rsidR="00485542" w:rsidRPr="0B44BD26">
              <w:rPr>
                <w:highlight w:val="white"/>
                <w:lang w:val="es-ES"/>
              </w:rPr>
              <w:instrText xml:space="preserve"> ADDIN ZOTERO_ITEM CSL_CITATION {"citationID":"3UpLRpv8","properties":{"formattedCitation":"\\super 117\\uc0\\u8211{}120\\nosupersub{}","plainCitation":"117–120","noteIndex":0},"citationItems":[{"id":5790,"uris":["http://zotero.org/users/5937427/items/ZEKDIR2D"],"itemData":{"id":5790,"type":"article-journal","abstract":"Remotely measuring physiological activity can provide substantial benefits for both the medical and affective computing applications. Recent research has proposed different methodologies for the unobtrusive detection of heart rate using human face recordings. These methods are based on subtle color changes or motions of the face due to cardiovascular activities, which are invisible to human eyes but can be captured by digital cameras. Several approaches have been proposed such as signal processing and machine learning. However these methods are compared on different datasets and there is consequently no consensus on method performance. In this paper, we describe and evaluate several methods defined in literature, from 2008 until present day, for the remote detection of heart rate using human face recordings. The general heart rate processing pipeline is divided into three stages: face video processing, face blood volume pulse signal extraction and heart rate computation. Approaches presented in the paper are classified and grouped according to each stage. At each stage, algorithms are analyzed and compared based on their performance using the public database MAHNOB - HCI. Results found in this paper are limited on MAHNOB -HCI dataset and show that extracted face skin area contains more blood volume pulse information. Blind source separation and peak detection methods are more robust with head motions for estimating heart rate.","container-title":"Frontiers in Bioengineering and Biotechnology","DOI":"10.3389/fbioe.2018.00033","ISSN":"2296-4185","journalAbbreviation":"Front. Bioeng. Biotechnol.","language":"English","note":"publisher: Frontiers","source":"Frontiers","title":"A Comparative Survey of Methods for Remote Heart Rate Detection From Frontal Face Videos","URL":"https://www.frontiersin.org/journals/bioengineering-and-biotechnology/articles/10.3389/fbioe.2018.00033/full","volume":"6","author":[{"family":"Wang","given":"Chen"},{"family":"Pun","given":"Thierry"},{"family":"Chanel","given":"Guillaume"}],"accessed":{"date-parts":[["2025",7,9]]},"issued":{"date-parts":[["2018",5,1]]},"citation-key":"wangComparativeSurveyMethods2018"}},{"id":5789,"uris":["http://zotero.org/users/5937427/items/AEV5WTRC"],"itemData":{"id":5789,"type":"article-journal","abstract":"Heart rate (HR) estimation and monitoring is of great importance to determine a person's physiological and mental status. Recently, it has been demonstrated that HR can be remotely retrieved from facial video-based photoplethysmographic signals captured using professional or consumer-level cameras. Many efforts have been made to improve the detection accuracy of this noncontact technique. This paper presents a timely, systematic survey on such video-based remote HR measurement approaches, with a focus on recent advancements that overcome dominating technical challenges arising from illumination variations and motion artifacts. Representative methods up to date are comparatively summarized with respect to their principles, pros, and cons under different conditions. Future prospects of this promising technique are discussed and potential research directions are described. We believe that such a remote HR measurement technique, taking advantages of unobtrusiveness while providing comfort and convenience, will be beneficial for many healthcare applications.","container-title":"IEEE Transactions on Instrumentation and Measurement","DOI":"10.1109/TIM.2018.2879706","ISSN":"1557-9662","issue":"10","page":"3600-3615","source":"IEEE Xplore","title":"Video-Based Heart Rate Measurement: Recent Advances and Future Prospects","title-short":"Video-Based Heart Rate Measurement","URL":"https://ieeexplore.ieee.org/document/8552414","volume":"68","author":[{"family":"Chen","given":"Xun"},{"family":"Cheng","given":"Juan"},{"family":"Song","given":"Rencheng"},{"family":"Liu","given":"Yu"},{"family":"Ward","given":"Rabab"},{"family":"Wang","given":"Z. Jane"}],"accessed":{"date-parts":[["2025",7,9]]},"issued":{"date-parts":[["2019",10]]},"citation-key":"chenVideoBasedHeartRate2019"}},{"id":5788,"uris":["http://zotero.org/users/5937427/items/LWCZLU2N"],"itemData":{"id":5788,"type":"article-journal","abstract":"Recent studies have demonstrated that heart rate (HR) could be estimated using video data [e.g., exploring human facial regions of interest (ROIs)] under wellcontrolled conditions. However, in practice, the pulse signals may be contaminated by motions and illumination variations. In this paper, tackling the illumination variation challenge, we propose an illumination-robust framework using joint blind source separation (JBSS) and ensemble empirical mode decomposition (EEMD) to effectively evaluate HR from webcam videos. The framework takes the hypotheses that both facial ROI and background ROI have similar illumination variations. The background ROI is then considered as a noise reference sensor to denoise the facial signals by using the JBSS technique to extract the underlying illumination variation sources. Further, the reconstructed illumination-resisted green channel of the facial ROI is detrended and decomposed into a number of intrinsic mode functions using EEMD to estimate the HR. Experimental results demonstrated that the proposed framework could estimate HR more accurately than the state-of-the-art methods. The Bland-Altman plots showed that it led to better agreement with HR ground truth with the mean bias 1.15 beats/min (bpm), with 95% limits from -15.43 to 17.73 bpm, and the correlation coefficient 0.53. This study provides a promising solution for realistic noncontact and robust HR measurement applications.","container-title":"IEEE Journal of Biomedical and Health Informatics","DOI":"10.1109/JBHI.2016.2615472","ISSN":"2168-2208","issue":"5","page":"1422-1433","source":"IEEE Xplore","title":"Illumination Variation-Resistant Video-Based Heart Rate Measurement Using Joint Blind Source Separation and Ensemble Empirical Mode Decomposition","URL":"https://ieeexplore.ieee.org/document/7585027","volume":"21","author":[{"family":"Cheng","given":"Juan"},{"family":"Chen","given":"Xun"},{"family":"Xu","given":"Lingxi"},{"family":"Wang","given":"Z. Jane"}],"accessed":{"date-parts":[["2025",7,9]]},"issued":{"date-parts":[["2017",9]]},"citation-key":"chengIlluminationVariationResistantVideoBased2017"}},{"id":5786,"uris":["http://zotero.org/users/5937427/items/BT9VYKY2"],"itemData":{"id":5786,"type":"article-journal","abstract":"Recent developments in computer science and digital image processing have enabled the extraction of an individual’s heart pulsations from pixel changes in recorded video images of human skin surfaces. This method is termed remote photoplethysmography (rPPG) and can be achieved with consumer-level cameras (e.g., a webcam or mobile camera). The goal of the present publication is two-fold. First, we aim to organize future rPPG software developments in a tractable and nontechnical manner, such that the public gains access to a basic open-source rPPG code, comes to understand its utility, and can follow its most recent progressions. The second goal is to investigate rPPG’s accuracy in detecting heart rates from the skin surfaces of several body parts after physical exercise and under ambient lighting conditions with a consumer-level camera. We report that rPPG is highly accurate when the camera is aimed at facial skin tissue, but that the heart rate recordings from wrist regions are less reliable, and recordings from the calves are unreliable. Facial rPPG remained accurate despite the high heart rates after exercise. The proposed research procedures and the experimental findings provide guidelines for future studies on rPPG.","container-title":"Behavior Research Methods","DOI":"10.3758/s13428-019-01256-8","ISSN":"1554-3528","issue":"5","journalAbbreviation":"Behav Res","language":"en","page":"2106-2119","source":"Springer Link","title":"An open-source remote heart rate imaging method with practical apparatus and algorithms","URL":"https://doi.org/10.3758/s13428-019-01256-8","volume":"51","author":[{"family":"Kooij","given":"Koen M.","non-dropping-particle":"van der"},{"family":"Naber","given":"Marnix"}],"accessed":{"date-parts":[["2025",7,9]]},"issued":{"date-parts":[["2019",10,1]]},"citation-key":"vanderkooijOpensourceRemoteHeart2019"}}],"schema":"https://github.com/citation-style-language/schema/raw/master/csl-citation.json"}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117–120</w:t>
            </w:r>
            <w:r w:rsidR="00485542" w:rsidRPr="0B44BD26">
              <w:rPr>
                <w:highlight w:val="white"/>
                <w:lang w:val="es-ES"/>
              </w:rPr>
              <w:fldChar w:fldCharType="end"/>
            </w:r>
            <w:r w:rsidR="31D9CD49" w:rsidRPr="0B44BD26">
              <w:rPr>
                <w:rFonts w:ascii="Avenir Next LT Pro" w:eastAsia="Avenir Next LT Pro" w:hAnsi="Avenir Next LT Pro" w:cs="Avenir Next LT Pro"/>
                <w:highlight w:val="white"/>
                <w:lang w:val="es-ES"/>
              </w:rPr>
              <w:t>.</w:t>
            </w:r>
          </w:p>
          <w:p w14:paraId="74A44335" w14:textId="77777777" w:rsidR="00485542" w:rsidRPr="00485542" w:rsidRDefault="13ECB3CB"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Estímulos:</w:t>
            </w:r>
          </w:p>
          <w:p w14:paraId="624C0091" w14:textId="4AF5CA19"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Como estímulos, se usarán audios de madres hablando en IDS, de duración aproximada de 5 segundos. De cada video se realizarán manipulaciones independientes de variables acústicas que tienen efectos importantes en la percepción de las voces. La voz humana tiene características acústicas </w:t>
            </w:r>
            <w:r w:rsidR="71858CB8" w:rsidRPr="0B44BD26">
              <w:rPr>
                <w:rFonts w:ascii="Avenir Next LT Pro" w:eastAsia="Avenir Next LT Pro" w:hAnsi="Avenir Next LT Pro" w:cs="Avenir Next LT Pro"/>
                <w:highlight w:val="white"/>
                <w:lang w:val="es-ES"/>
              </w:rPr>
              <w:t>paralingüísticas</w:t>
            </w:r>
            <w:r w:rsidRPr="0B44BD26">
              <w:rPr>
                <w:rFonts w:ascii="Avenir Next LT Pro" w:eastAsia="Avenir Next LT Pro" w:hAnsi="Avenir Next LT Pro" w:cs="Avenir Next LT Pro"/>
                <w:highlight w:val="white"/>
                <w:lang w:val="es-ES"/>
              </w:rPr>
              <w:t xml:space="preserve"> particulares ampliamente estudiadas y salientes, como el tono de voz (qué tan grave o aguda es la voz), que se determina a partir de la frecuencia fundamental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r w:rsidR="7B6A6C1D" w:rsidRPr="0B44BD26">
              <w:rPr>
                <w:rFonts w:ascii="Avenir Next LT Pro" w:eastAsia="Avenir Next LT Pro" w:hAnsi="Avenir Next LT Pro" w:cs="Avenir Next LT Pro"/>
                <w:highlight w:val="white"/>
                <w:lang w:val="es-ES"/>
              </w:rPr>
              <w:t>por ejemplo ver</w:t>
            </w:r>
            <w:r w:rsidR="00485542" w:rsidRPr="0B44BD26">
              <w:rPr>
                <w:highlight w:val="white"/>
                <w:lang w:val="es-ES"/>
              </w:rPr>
              <w:fldChar w:fldCharType="begin"/>
            </w:r>
            <w:r w:rsidR="00485542" w:rsidRPr="0B44BD26">
              <w:rPr>
                <w:highlight w:val="white"/>
                <w:lang w:val="es-ES"/>
              </w:rPr>
              <w:instrText xml:space="preserve"> ADDIN ZOTERO_ITEM CSL_CITATION {"citationID":"R1NUsyx4","properties":{"formattedCitation":"\\super 31\\nosupersub{}","plainCitation":"31","noteIndex":0},"citationItems":[{"id":1229,"uris":["http://zotero.org/users/5937427/items/XV4LKBXL"],"itemData":{"id":1229,"type":"article-journal","abstract":"Animals often use acoustical cues, such as formant frequencies, to assess the size of potential mates and rivals. Reliable vocal cues to size may be under sexual selection. In most mammals and many other vertebrates, formants scale with vocal tract length allometrically and predict variation in size more reliably than fundamental frequency or pitch (F0). In humans, however, it is unclear from previous work how well voice parameters predict body size independently of age and sex. We conducted a meta-analysis to establish the strength of various voice–size relationships in adult men and women. We computed mean weighted correlations from 295 coefficients derived from 39 independent samples across five continents, including several novel and large cross-cultural samples from previously unpublished data. Where possible, we controlled for sample size, sample sex, mean age, geographical location, study year, speech type and measurement method, and ruled out publication bias. Eleven of 12 formant-based vocal tract length (VTL) estimates predicted men's and women's heights and weights significantly better than did F0. Individual VTL estimates explained up to 10% of the variance in height and weight, whereas F0 explained less than 2% and correlated only weakly with size within sexes. Statistically reliable size estimates from F0 required large samples of at least 618 men and 2140 women, whereas formant-based size estimates required samples of at least 99 men and 164 women. The strength of voice–size relationships varied by sample size, and in some cases sex, but was largely unaffected by other demographic and methodological variables. We confirm here that, analogous to many other vertebrates, formants provide the most reliable vocal cue to size in humans. This finding has important implications for honest signalling theory and the capacity for human listeners to estimate size from the voice.","container-title":"Animal Behaviour","DOI":"10.1016/j.anbehav.2014.06.011","ISSN":"0003-3472","journalAbbreviation":"Animal Behaviour","language":"en","note":"tex.ids= pisanskiVocalIndicatorsBody2014\nISBN: 0003-3472","page":"89-99","source":"ScienceDirect","title":"Vocal indicators of body size in men and women: a meta-analysis","title-short":"Vocal indicators of body size in men and women","URL":"https://www.sciencedirect.com/science/article/pii/S0003347214002632","volume":"95","author":[{"family":"Pisanski","given":"Katarzyna"},{"family":"Fraccaro","given":"Paul J."},{"family":"Tigue","given":"Cara C."},{"family":"O'Connor","given":"Jillian J. M."},{"family":"Röder","given":"Susanne"},{"family":"Andrews","given":"Paul W."},{"family":"Fink","given":"Bernhard"},{"family":"DeBruine","given":"Lisa M."},{"family":"Jones","given":"Benedict C."},{"family":"Feinberg","given":"David R."}],"accessed":{"date-parts":[["2021",9,30]]},"issued":{"date-parts":[["2014",9,1]]},"citation-key":"pisanskiVocalIndicatorsBody2014"}}],"schema":"https://github.com/citation-style-language/schema/raw/master/csl-citation.json"}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31</w:t>
            </w:r>
            <w:r w:rsidR="00485542" w:rsidRPr="0B44BD26">
              <w:rPr>
                <w:highlight w:val="white"/>
                <w:lang w:val="es-ES"/>
              </w:rPr>
              <w:fldChar w:fldCharType="end"/>
            </w:r>
            <w:r w:rsidRPr="0B44BD26">
              <w:rPr>
                <w:rFonts w:ascii="Avenir Next LT Pro" w:eastAsia="Avenir Next LT Pro" w:hAnsi="Avenir Next LT Pro" w:cs="Avenir Next LT Pro"/>
                <w:highlight w:val="white"/>
                <w:lang w:val="es-ES"/>
              </w:rPr>
              <w:t>), así como las formantes, que son frecuencias de resonancia características del tracto vocal que aparecen como picos en el espectro sonoro, especialmente relevantes en la producción de vocales, pero que también se asocian con características sexualmente dimórficas como el largo del tracto vocal (Fig. 1).</w:t>
            </w:r>
          </w:p>
          <w:p w14:paraId="7B73D42C" w14:textId="77777777" w:rsidR="007949F1" w:rsidRDefault="13ECB3CB" w:rsidP="0B44BD26">
            <w:pPr>
              <w:keepNext/>
              <w:ind w:left="0"/>
              <w:jc w:val="center"/>
              <w:rPr>
                <w:rFonts w:ascii="Avenir Next LT Pro" w:eastAsia="Avenir Next LT Pro" w:hAnsi="Avenir Next LT Pro" w:cs="Avenir Next LT Pro"/>
              </w:rPr>
            </w:pPr>
            <w:r>
              <w:rPr>
                <w:noProof/>
              </w:rPr>
              <w:drawing>
                <wp:inline distT="0" distB="0" distL="0" distR="0" wp14:anchorId="00FCA253" wp14:editId="5B860699">
                  <wp:extent cx="5943600" cy="2028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6148" name=""/>
                          <pic:cNvPicPr>
                            <a:picLocks noChangeAspect="1"/>
                          </pic:cNvPicPr>
                        </pic:nvPicPr>
                        <pic:blipFill>
                          <a:blip r:embed="rId11"/>
                          <a:stretch/>
                        </pic:blipFill>
                        <pic:spPr bwMode="auto">
                          <a:xfrm>
                            <a:off x="0" y="0"/>
                            <a:ext cx="5943599" cy="2028253"/>
                          </a:xfrm>
                          <a:prstGeom prst="rect">
                            <a:avLst/>
                          </a:prstGeom>
                        </pic:spPr>
                      </pic:pic>
                    </a:graphicData>
                  </a:graphic>
                </wp:inline>
              </w:drawing>
            </w:r>
          </w:p>
          <w:p w14:paraId="1AAFE999" w14:textId="609982B4" w:rsidR="00D12C3B" w:rsidRPr="00CE4425" w:rsidRDefault="5E73D776" w:rsidP="00F175F8">
            <w:pPr>
              <w:pStyle w:val="CaptionJDL"/>
              <w:ind w:firstLineChars="0" w:firstLine="0"/>
              <w:rPr>
                <w:rFonts w:ascii="Avenir Next LT Pro" w:eastAsia="Avenir Next LT Pro" w:hAnsi="Avenir Next LT Pro" w:cs="Avenir Next LT Pro"/>
              </w:rPr>
            </w:pPr>
            <w:r w:rsidRPr="0B44BD26">
              <w:rPr>
                <w:rFonts w:ascii="Avenir Next LT Pro" w:eastAsia="Avenir Next LT Pro" w:hAnsi="Avenir Next LT Pro" w:cs="Avenir Next LT Pro"/>
                <w:i/>
                <w:iCs/>
              </w:rPr>
              <w:t xml:space="preserve">Figura </w:t>
            </w:r>
            <w:r w:rsidR="007949F1" w:rsidRPr="0B44BD26">
              <w:rPr>
                <w:i/>
                <w:iCs/>
              </w:rPr>
              <w:fldChar w:fldCharType="begin"/>
            </w:r>
            <w:r w:rsidR="007949F1" w:rsidRPr="0B44BD26">
              <w:rPr>
                <w:i/>
                <w:iCs/>
              </w:rPr>
              <w:instrText xml:space="preserve"> SEQ Figura \* ARABIC </w:instrText>
            </w:r>
            <w:r w:rsidR="007949F1" w:rsidRPr="0B44BD26">
              <w:rPr>
                <w:i/>
                <w:iCs/>
              </w:rPr>
              <w:fldChar w:fldCharType="separate"/>
            </w:r>
            <w:r w:rsidR="00FF4D41">
              <w:rPr>
                <w:i/>
                <w:iCs/>
                <w:noProof/>
              </w:rPr>
              <w:t>1</w:t>
            </w:r>
            <w:r w:rsidR="007949F1" w:rsidRPr="0B44BD26">
              <w:rPr>
                <w:i/>
                <w:iCs/>
              </w:rPr>
              <w:fldChar w:fldCharType="end"/>
            </w:r>
            <w:r w:rsidRPr="0B44BD26">
              <w:rPr>
                <w:rFonts w:ascii="Avenir Next LT Pro" w:eastAsia="Avenir Next LT Pro" w:hAnsi="Avenir Next LT Pro" w:cs="Avenir Next LT Pro"/>
              </w:rPr>
              <w:t xml:space="preserve">. </w:t>
            </w:r>
            <w:r w:rsidR="00BC286D" w:rsidRPr="0B44BD26">
              <w:rPr>
                <w:rFonts w:ascii="Avenir Next LT Pro" w:eastAsia="Avenir Next LT Pro" w:hAnsi="Avenir Next LT Pro" w:cs="Avenir Next LT Pro"/>
              </w:rPr>
              <w:t xml:space="preserve">Espectrograma de madre (investigadora del proyecto) hablando en IDS. Los espectrogramas muestran la densidad espectral de potencia (es decir, la energía acústica) distribuida en diferentes frecuencias (eje vertical) a lo largo del tiempo (eje horizontal). Cuanto más oscuro es un punto, mayor es la energía concentrada en esa frecuencia y momento. En este caso, ambos paneles representan la misma grabación, con una duración total de 6.85 segundos, y muestran la energía </w:t>
            </w:r>
            <w:r w:rsidR="00BC286D">
              <w:rPr>
                <w:rFonts w:ascii="Avenir Next LT Pro" w:eastAsia="Avenir Next LT Pro" w:hAnsi="Avenir Next LT Pro" w:cs="Avenir Next LT Pro"/>
              </w:rPr>
              <w:t xml:space="preserve">en frecuencias </w:t>
            </w:r>
            <w:r w:rsidR="00BC286D" w:rsidRPr="0B44BD26">
              <w:rPr>
                <w:rFonts w:ascii="Avenir Next LT Pro" w:eastAsia="Avenir Next LT Pro" w:hAnsi="Avenir Next LT Pro" w:cs="Avenir Next LT Pro"/>
              </w:rPr>
              <w:t xml:space="preserve">entre 0 y 5000 Hz. La única diferencia entre los paneles radica en la longitud de la ventana temporal utilizada para calcular la transformada de Fourier en cada paso del análisis espectral. En el panel A, los armónicos (componentes periódicos relacionados con la frecuencia fundamental, </w:t>
            </w:r>
            <w:r w:rsidR="00BC286D" w:rsidRPr="00076E5E">
              <w:rPr>
                <w:rFonts w:ascii="Avenir Next LT Pro" w:eastAsia="Avenir Next LT Pro" w:hAnsi="Avenir Next LT Pro" w:cs="Avenir Next LT Pro"/>
                <w:i/>
                <w:iCs/>
              </w:rPr>
              <w:t>f</w:t>
            </w:r>
            <w:r w:rsidR="00BC286D" w:rsidRPr="00076E5E">
              <w:rPr>
                <w:rFonts w:ascii="Avenir Next LT Pro" w:eastAsia="Avenir Next LT Pro" w:hAnsi="Avenir Next LT Pro" w:cs="Avenir Next LT Pro"/>
                <w:vertAlign w:val="subscript"/>
              </w:rPr>
              <w:t>0</w:t>
            </w:r>
            <w:r w:rsidR="00BC286D" w:rsidRPr="0B44BD26">
              <w:rPr>
                <w:rFonts w:ascii="Avenir Next LT Pro" w:eastAsia="Avenir Next LT Pro" w:hAnsi="Avenir Next LT Pro" w:cs="Avenir Next LT Pro"/>
              </w:rPr>
              <w:t>) se visualizan con mayor claridad, mientras que en el panel B se destacan mejor las formantes (</w:t>
            </w:r>
            <w:r w:rsidR="00BC286D" w:rsidRPr="00076E5E">
              <w:rPr>
                <w:rFonts w:ascii="Avenir Next LT Pro" w:eastAsia="Avenir Next LT Pro" w:hAnsi="Avenir Next LT Pro" w:cs="Avenir Next LT Pro"/>
                <w:i/>
                <w:iCs/>
              </w:rPr>
              <w:t>f</w:t>
            </w:r>
            <w:r w:rsidR="00BC286D" w:rsidRPr="0B44BD26">
              <w:rPr>
                <w:rFonts w:ascii="Cambria Math" w:eastAsia="Avenir Next LT Pro" w:hAnsi="Cambria Math" w:cs="Cambria Math"/>
              </w:rPr>
              <w:t>₁</w:t>
            </w:r>
            <w:r w:rsidR="00BC286D" w:rsidRPr="0B44BD26">
              <w:rPr>
                <w:rFonts w:ascii="Avenir Next LT Pro" w:eastAsia="Avenir Next LT Pro" w:hAnsi="Avenir Next LT Pro" w:cs="Avenir Next LT Pro"/>
              </w:rPr>
              <w:t xml:space="preserve">, </w:t>
            </w:r>
            <w:r w:rsidR="00BC286D" w:rsidRPr="00076E5E">
              <w:rPr>
                <w:rFonts w:ascii="Avenir Next LT Pro" w:eastAsia="Avenir Next LT Pro" w:hAnsi="Avenir Next LT Pro" w:cs="Avenir Next LT Pro"/>
                <w:i/>
                <w:iCs/>
              </w:rPr>
              <w:t>f</w:t>
            </w:r>
            <w:r w:rsidR="00BC286D" w:rsidRPr="0B44BD26">
              <w:rPr>
                <w:rFonts w:ascii="Cambria Math" w:eastAsia="Avenir Next LT Pro" w:hAnsi="Cambria Math" w:cs="Cambria Math"/>
              </w:rPr>
              <w:t>₂</w:t>
            </w:r>
            <w:r w:rsidR="00BC286D" w:rsidRPr="0B44BD26">
              <w:rPr>
                <w:rFonts w:ascii="Avenir Next LT Pro" w:eastAsia="Avenir Next LT Pro" w:hAnsi="Avenir Next LT Pro" w:cs="Avenir Next LT Pro"/>
              </w:rPr>
              <w:t xml:space="preserve">, </w:t>
            </w:r>
            <w:r w:rsidR="00BC286D" w:rsidRPr="00076E5E">
              <w:rPr>
                <w:rFonts w:ascii="Avenir Next LT Pro" w:eastAsia="Avenir Next LT Pro" w:hAnsi="Avenir Next LT Pro" w:cs="Avenir Next LT Pro"/>
                <w:i/>
                <w:iCs/>
              </w:rPr>
              <w:t>f</w:t>
            </w:r>
            <w:r w:rsidR="00BC286D" w:rsidRPr="0B44BD26">
              <w:rPr>
                <w:rFonts w:ascii="Cambria Math" w:eastAsia="Avenir Next LT Pro" w:hAnsi="Cambria Math" w:cs="Cambria Math"/>
              </w:rPr>
              <w:t>₃</w:t>
            </w:r>
            <w:r w:rsidR="00BC286D" w:rsidRPr="0B44BD26">
              <w:rPr>
                <w:rFonts w:ascii="Avenir Next LT Pro" w:eastAsia="Avenir Next LT Pro" w:hAnsi="Avenir Next LT Pro" w:cs="Avenir Next LT Pro"/>
              </w:rPr>
              <w:t xml:space="preserve">, </w:t>
            </w:r>
            <w:r w:rsidR="00BC286D" w:rsidRPr="00076E5E">
              <w:rPr>
                <w:rFonts w:ascii="Avenir Next LT Pro" w:eastAsia="Avenir Next LT Pro" w:hAnsi="Avenir Next LT Pro" w:cs="Avenir Next LT Pro"/>
                <w:i/>
                <w:iCs/>
              </w:rPr>
              <w:t>f</w:t>
            </w:r>
            <w:r w:rsidR="00BC286D" w:rsidRPr="0B44BD26">
              <w:rPr>
                <w:rFonts w:ascii="Cambria Math" w:eastAsia="Avenir Next LT Pro" w:hAnsi="Cambria Math" w:cs="Cambria Math"/>
              </w:rPr>
              <w:t>₄</w:t>
            </w:r>
            <w:r w:rsidR="00BC286D" w:rsidRPr="0B44BD26">
              <w:rPr>
                <w:rFonts w:ascii="Avenir Next LT Pro" w:eastAsia="Avenir Next LT Pro" w:hAnsi="Avenir Next LT Pro" w:cs="Avenir Next LT Pro"/>
              </w:rPr>
              <w:t xml:space="preserve">), que reflejan las resonancias determinadas por la forma y longitud del tracto vocal. Los análisis y espectrogramas fueron generados usando </w:t>
            </w:r>
            <w:r w:rsidRPr="0B44BD26">
              <w:rPr>
                <w:rFonts w:ascii="Avenir Next LT Pro" w:eastAsia="Avenir Next LT Pro" w:hAnsi="Avenir Next LT Pro" w:cs="Avenir Next LT Pro"/>
              </w:rPr>
              <w:t>Praat</w:t>
            </w:r>
            <w:r w:rsidR="007949F1">
              <w:fldChar w:fldCharType="begin"/>
            </w:r>
            <w:r w:rsidR="00202498">
              <w:instrText xml:space="preserve"> ADDIN ZOTERO_ITEM CSL_CITATION {"citationID":"vOAdH33K","properties":{"formattedCitation":"\\super 121\\nosupersub{}","plainCitation":"121","noteIndex":0},"citationItems":[{"id":2160,"uris":["http://zotero.org/users/5937427/items/9H39H8EE"],"itemData":{"id":2160,"type":"software","title":"Praat: doing phonetics by computer. Versión 6.4.38.","URL":"http://www.praat.org/","author":[{"family":"Boersma","given":"Paul"},{"family":"Weenink","given":"David"}],"issued":{"date-parts":[["2025"]]},"citation-key":"boersmaPraatDoingPhonetics2025"}}],"schema":"https://github.com/citation-style-language/schema/raw/master/csl-citation.json"} </w:instrText>
            </w:r>
            <w:r w:rsidR="007949F1">
              <w:fldChar w:fldCharType="separate"/>
            </w:r>
            <w:r w:rsidR="00892B9B" w:rsidRPr="00892B9B">
              <w:rPr>
                <w:rFonts w:ascii="Avenir Next LT Pro" w:hAnsi="Avenir Next LT Pro" w:cs="Times New Roman"/>
                <w:vertAlign w:val="superscript"/>
              </w:rPr>
              <w:t>121</w:t>
            </w:r>
            <w:r w:rsidR="007949F1">
              <w:fldChar w:fldCharType="end"/>
            </w:r>
            <w:r w:rsidRPr="0B44BD26">
              <w:rPr>
                <w:rFonts w:ascii="Avenir Next LT Pro" w:eastAsia="Avenir Next LT Pro" w:hAnsi="Avenir Next LT Pro" w:cs="Avenir Next LT Pro"/>
              </w:rPr>
              <w:t>.</w:t>
            </w:r>
          </w:p>
          <w:p w14:paraId="48F0C760" w14:textId="1604B890" w:rsidR="00485542" w:rsidRPr="00C46D2E"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lang w:val="es-ES"/>
              </w:rPr>
              <w:t xml:space="preserve">A partir de estas características, se manipularán tres variables: el tono promedio de la voz (i.e. qué tan aguda o grave es la voz, en promedio), la variabilidad tonal (que tan “cantada” es la voz), y el largo del tracto vocal (que se relaciona directamente con la percepción de feminidad o masculinidad relativa, y el tamaño corporal). Ya que depende de la dispersión de valores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la variabilidad tonal se determina como desviación estándar de la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mientras que el tono promedio se define como media de la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el tracto vocal como la distancia promedio entre las formantes (normalmente conocida como dispersión de las formantes, o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Cada una de estas variables será manipulada independientemente en 2 niveles (Alto y Bajo), determinadas a partir de estándares acústicos de IDS</w:t>
            </w:r>
            <w:r w:rsidR="00485542" w:rsidRPr="0B44BD26">
              <w:rPr>
                <w:highlight w:val="white"/>
                <w:lang w:val="es-ES"/>
              </w:rPr>
              <w:fldChar w:fldCharType="begin"/>
            </w:r>
            <w:r w:rsidR="001054B3">
              <w:rPr>
                <w:highlight w:val="white"/>
                <w:lang w:val="es-ES"/>
              </w:rPr>
              <w:instrText xml:space="preserve"> ADDIN ZOTERO_ITEM CSL_CITATION {"citationID":"IK5AvZoT","properties":{"formattedCitation":"\\super 19,75,93,122\\nosupersub{}","plainCitation":"19,75,93,122","noteIndex":0},"citationItems":[{"id":490,"uris":["http://zotero.org/users/5937427/items/6Z6RT39D"],"itemData":{"id":490,"type":"article-journal","abstract":"The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2983,"uris":["http://zotero.org/users/5937427/items/QLUSUXIQ"],"itemData":{"id":2983,"type":"article-journal","container-title":"Infant Behavior and Development","DOI":"10.1016/0163-6383(87)90017-8","ISSN":"01636383","issue":"3","note":"Times cited: 1\ntex.ids= RefWorks:730","page":"279-293","title":"Acoustic determinants of infant preference for motherese speech","volume":"10","author":[{"family":"Fernald","given":"Anne"},{"family":"Kuhl","given":"Patricia K"}],"issued":{"date-parts":[["1987",7]]},"citation-key":"fernaldAcousticDeterminantsInfant1987"}},{"id":5796,"uris":["http://zotero.org/users/5937427/items/6PZRAX2I"],"itemData":{"id":5796,"type":"article-journal","abstract":"When speaking to infants, mothers often alter their speech compared to how they speak to adults, but findings for fathers are mixed. This study examined interactions (N = 30) between fathers and infants (Mage ± SD = 7.8 ± 4.3 months) in a small-scale society in Vanuatu and two urban societies in North America. Fundamental frequency (F0) and speech rate were measured in infant-directed and adult-directed speech. When speaking to infants, fathers in both groups increased their F0 range, yet only Vanuatu fathers increased their average F0. Conversely, North American fathers slowed down their speech rate to infants, whereas Vanuatu fathers did not. Behavioral traits can vary across distant cultures while still potentially solving similar communicative problems.","container-title":"Child Development","DOI":"10.1111/cdev.12768","ISSN":"1467-8624","issue":"2","language":"en","license":"© 2017 The Authors. Child Development © 2017 Society for Research in Child Development, Inc.","note":"_eprint: https://srcd.onlinelibrary.wiley.com/doi/pdf/10.1111/cdev.12768","page":"e29-e41","source":"Wiley Online Library","title":"Fathers' Infant-Directed Speech in a Small-Scale Society","URL":"https://onlinelibrary.wiley.com/doi/abs/10.1111/cdev.12768","volume":"89","author":[{"family":"Broesch","given":"Tanya"},{"family":"Bryant","given":"Gregory A."}],"accessed":{"date-parts":[["2025",7,9]]},"issued":{"date-parts":[["2018"]]},"citation-key":"broeschFathersInfantDirectedSpeech2018"}}],"schema":"https://github.com/citation-style-language/schema/raw/master/csl-citation.json"} </w:instrText>
            </w:r>
            <w:r w:rsidR="00485542" w:rsidRPr="0B44BD26">
              <w:rPr>
                <w:highlight w:val="white"/>
                <w:lang w:val="es-ES"/>
              </w:rPr>
              <w:fldChar w:fldCharType="separate"/>
            </w:r>
            <w:r w:rsidR="001054B3" w:rsidRPr="001054B3">
              <w:rPr>
                <w:rFonts w:ascii="Avenir Next LT Pro" w:hAnsi="Avenir Next LT Pro" w:cs="Times New Roman"/>
                <w:vertAlign w:val="superscript"/>
              </w:rPr>
              <w:t>19,75,93,122</w:t>
            </w:r>
            <w:r w:rsidR="00485542" w:rsidRPr="0B44BD26">
              <w:rPr>
                <w:highlight w:val="white"/>
                <w:lang w:val="es-ES"/>
              </w:rPr>
              <w:fldChar w:fldCharType="end"/>
            </w:r>
            <w:r w:rsidRPr="0B44BD26">
              <w:rPr>
                <w:rFonts w:ascii="Avenir Next LT Pro" w:eastAsia="Avenir Next LT Pro" w:hAnsi="Avenir Next LT Pro" w:cs="Avenir Next LT Pro"/>
                <w:highlight w:val="white"/>
                <w:lang w:val="es-ES"/>
              </w:rPr>
              <w:t>:</w:t>
            </w:r>
          </w:p>
          <w:p w14:paraId="581D7D13" w14:textId="77777777" w:rsidR="00485542" w:rsidRPr="00485542"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Variabilidad tonal (Baja vs Alta) = ± 10 Hz</w:t>
            </w:r>
          </w:p>
          <w:p w14:paraId="7E541B83" w14:textId="77777777" w:rsidR="00485542" w:rsidRPr="00485542"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Tono medio (Baja vs Alta) = ± 20 Hz</w:t>
            </w:r>
          </w:p>
          <w:p w14:paraId="3C485D75" w14:textId="5B054901" w:rsidR="00485542" w:rsidRPr="00CE4425"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 Dispersión de formantes (Baja vs Alta) = ± 10 %</w:t>
            </w:r>
          </w:p>
          <w:p w14:paraId="3F3625A6" w14:textId="77777777" w:rsidR="00485542" w:rsidRPr="00485542" w:rsidRDefault="13ECB3CB"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Diseño y muestra:</w:t>
            </w:r>
          </w:p>
          <w:p w14:paraId="471D1D47" w14:textId="7F103403" w:rsid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 xml:space="preserve">Para el estudio 1, la muestra serán bebés de 3 a 9 meses de edad, prelingüísticos, capaces de sostener su cabeza. Dado que el propósito principal de este estudio es analizar los tiempos de fijación total en los estímulos, el tamaño de muestra fue estimado empíricamente, representando directamente los modelos que se usarán para el análisis de los datos, con base en simulaciones de Monte Carlo realizadas en R. </w:t>
            </w:r>
            <w:r w:rsidRPr="00FF4D41">
              <w:rPr>
                <w:rFonts w:ascii="Avenir Next LT Pro" w:eastAsia="Avenir Next LT Pro" w:hAnsi="Avenir Next LT Pro" w:cs="Avenir Next LT Pro"/>
                <w:lang w:val="es-ES"/>
              </w:rPr>
              <w:t xml:space="preserve">Los detalles y código para reproducir esta simulación, están disponibles en </w:t>
            </w:r>
            <w:hyperlink r:id="rId12" w:history="1">
              <w:r w:rsidR="00FF4D41">
                <w:rPr>
                  <w:rStyle w:val="Hyperlink"/>
                  <w:rFonts w:ascii="Avenir Next LT Pro" w:eastAsia="Avenir Next LT Pro" w:hAnsi="Avenir Next LT Pro" w:cs="Avenir Next LT Pro"/>
                  <w:position w:val="0"/>
                  <w:lang w:val="es-ES"/>
                </w:rPr>
                <w:t>https://github.com/JDLeongomez/Proyecto-IDS/blob/master/Analisis_poder/Simulacion _Poder.pdf</w:t>
              </w:r>
            </w:hyperlink>
            <w:r w:rsidRPr="00FF4D41">
              <w:rPr>
                <w:rFonts w:ascii="Avenir Next LT Pro" w:eastAsia="Avenir Next LT Pro" w:hAnsi="Avenir Next LT Pro" w:cs="Avenir Next LT Pro"/>
                <w:lang w:val="es-ES"/>
              </w:rPr>
              <w:t xml:space="preserve">. </w:t>
            </w:r>
            <w:r w:rsidRPr="0B44BD26">
              <w:rPr>
                <w:rFonts w:ascii="Avenir Next LT Pro" w:eastAsia="Avenir Next LT Pro" w:hAnsi="Avenir Next LT Pro" w:cs="Avenir Next LT Pro"/>
                <w:highlight w:val="white"/>
                <w:lang w:val="es-ES"/>
              </w:rPr>
              <w:t>Ya que hay tres factores que serán manipulados experimentalmente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cada uno a dos niveles (Bajo vs Alto), esto resulta en ocho manipulaciones experimentales:</w:t>
            </w:r>
          </w:p>
          <w:tbl>
            <w:tblPr>
              <w:tblStyle w:val="TableNormal8"/>
              <w:tblW w:w="0" w:type="auto"/>
              <w:jc w:val="center"/>
              <w:tblInd w:w="0" w:type="dxa"/>
              <w:tblLook w:val="04A0" w:firstRow="1" w:lastRow="0" w:firstColumn="1" w:lastColumn="0" w:noHBand="0" w:noVBand="1"/>
            </w:tblPr>
            <w:tblGrid>
              <w:gridCol w:w="3929"/>
              <w:gridCol w:w="3442"/>
            </w:tblGrid>
            <w:tr w:rsidR="00330A79" w14:paraId="7475C6BA" w14:textId="77777777" w:rsidTr="0B44BD26">
              <w:trPr>
                <w:jc w:val="center"/>
              </w:trPr>
              <w:tc>
                <w:tcPr>
                  <w:tcW w:w="3929" w:type="dxa"/>
                </w:tcPr>
                <w:p w14:paraId="0CBA88B0" w14:textId="0F54BEF0"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c>
                <w:tcPr>
                  <w:tcW w:w="3442" w:type="dxa"/>
                </w:tcPr>
                <w:p w14:paraId="6B1A8BE5" w14:textId="1FAA4E71"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r>
            <w:tr w:rsidR="00330A79" w14:paraId="59A37F11" w14:textId="77777777" w:rsidTr="0B44BD26">
              <w:trPr>
                <w:jc w:val="center"/>
              </w:trPr>
              <w:tc>
                <w:tcPr>
                  <w:tcW w:w="3929" w:type="dxa"/>
                </w:tcPr>
                <w:p w14:paraId="6555B532" w14:textId="2C54F2E6"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c>
                <w:tcPr>
                  <w:tcW w:w="3442" w:type="dxa"/>
                </w:tcPr>
                <w:p w14:paraId="24152119" w14:textId="14EEC739"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r>
            <w:tr w:rsidR="00330A79" w14:paraId="1717FB5E" w14:textId="77777777" w:rsidTr="0B44BD26">
              <w:trPr>
                <w:jc w:val="center"/>
              </w:trPr>
              <w:tc>
                <w:tcPr>
                  <w:tcW w:w="3929" w:type="dxa"/>
                </w:tcPr>
                <w:p w14:paraId="704E97D9" w14:textId="461B1027"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c>
                <w:tcPr>
                  <w:tcW w:w="3442" w:type="dxa"/>
                </w:tcPr>
                <w:p w14:paraId="12245686" w14:textId="275D8969"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r>
            <w:tr w:rsidR="00330A79" w14:paraId="267F7D2F" w14:textId="77777777" w:rsidTr="0B44BD26">
              <w:trPr>
                <w:jc w:val="center"/>
              </w:trPr>
              <w:tc>
                <w:tcPr>
                  <w:tcW w:w="3929" w:type="dxa"/>
                </w:tcPr>
                <w:p w14:paraId="0E1310D4" w14:textId="4B399C1E"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c>
                <w:tcPr>
                  <w:tcW w:w="3442" w:type="dxa"/>
                </w:tcPr>
                <w:p w14:paraId="0C795A07" w14:textId="4A6D415C"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r>
          </w:tbl>
          <w:p w14:paraId="2067373F" w14:textId="5C713372"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la estimación de poder, esto fue modelado como un diseño cruzado 2x2x2, con efectos aleatorios para diferentes bebés. Se modelaron efectos </w:t>
            </w:r>
            <w:proofErr w:type="spellStart"/>
            <w:r w:rsidRPr="0B44BD26">
              <w:rPr>
                <w:rFonts w:ascii="Avenir Next LT Pro" w:eastAsia="Avenir Next LT Pro" w:hAnsi="Avenir Next LT Pro" w:cs="Avenir Next LT Pro"/>
                <w:highlight w:val="white"/>
                <w:lang w:val="es-ES"/>
              </w:rPr>
              <w:t>intra-sujeto</w:t>
            </w:r>
            <w:proofErr w:type="spellEnd"/>
            <w:r w:rsidRPr="0B44BD26">
              <w:rPr>
                <w:rFonts w:ascii="Avenir Next LT Pro" w:eastAsia="Avenir Next LT Pro" w:hAnsi="Avenir Next LT Pro" w:cs="Avenir Next LT Pro"/>
                <w:highlight w:val="white"/>
                <w:lang w:val="es-ES"/>
              </w:rPr>
              <w:t xml:space="preserve"> en una población hipotética de 10 000 bebés, medidos como tiempos de fijación sobre 5</w:t>
            </w:r>
            <w:r w:rsidR="00F007AB">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highlight w:val="white"/>
                <w:lang w:val="es-ES"/>
              </w:rPr>
              <w:t xml:space="preserve">000 mili-segundos. Los efectos simulados en la población fueron siempre muy conservadores: el efecto principal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fue modelado como un efecto pequeño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w:t>
            </w:r>
            <w:r w:rsidR="001054B3">
              <w:rPr>
                <w:rFonts w:ascii="Avenir Next LT Pro" w:eastAsia="Avenir Next LT Pro" w:hAnsi="Avenir Next LT Pro" w:cs="Avenir Next LT Pro"/>
                <w:highlight w:val="white"/>
                <w:lang w:val="es-ES"/>
              </w:rPr>
              <w:t>0</w:t>
            </w:r>
            <w:r w:rsidRPr="0B44BD26">
              <w:rPr>
                <w:rFonts w:ascii="Avenir Next LT Pro" w:eastAsia="Avenir Next LT Pro" w:hAnsi="Avenir Next LT Pro" w:cs="Avenir Next LT Pro"/>
                <w:highlight w:val="white"/>
                <w:lang w:val="es-ES"/>
              </w:rPr>
              <w:t xml:space="preserve">15), mientras que los efectos principales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se modelaron como muy pequeños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w:t>
            </w:r>
            <w:r w:rsidR="001054B3">
              <w:rPr>
                <w:rFonts w:ascii="Avenir Next LT Pro" w:eastAsia="Avenir Next LT Pro" w:hAnsi="Avenir Next LT Pro" w:cs="Avenir Next LT Pro"/>
                <w:highlight w:val="white"/>
                <w:lang w:val="es-ES"/>
              </w:rPr>
              <w:t>00</w:t>
            </w:r>
            <w:r w:rsidRPr="0B44BD26">
              <w:rPr>
                <w:rFonts w:ascii="Avenir Next LT Pro" w:eastAsia="Avenir Next LT Pro" w:hAnsi="Avenir Next LT Pro" w:cs="Avenir Next LT Pro"/>
                <w:highlight w:val="white"/>
                <w:lang w:val="es-ES"/>
              </w:rPr>
              <w:t>9). Todas las interacciones, aunque modeladas, fueron determinadas como efectos extremadamente pequeños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w:t>
            </w:r>
            <w:r w:rsidR="001054B3">
              <w:rPr>
                <w:rFonts w:ascii="Avenir Next LT Pro" w:eastAsia="Avenir Next LT Pro" w:hAnsi="Avenir Next LT Pro" w:cs="Avenir Next LT Pro"/>
                <w:highlight w:val="white"/>
                <w:lang w:val="es-ES"/>
              </w:rPr>
              <w:t>00</w:t>
            </w:r>
            <w:r w:rsidRPr="0B44BD26">
              <w:rPr>
                <w:rFonts w:ascii="Avenir Next LT Pro" w:eastAsia="Avenir Next LT Pro" w:hAnsi="Avenir Next LT Pro" w:cs="Avenir Next LT Pro"/>
                <w:highlight w:val="white"/>
                <w:lang w:val="es-ES"/>
              </w:rPr>
              <w:t xml:space="preserve">2), ya que no hacen parte de las predicciones puntuales (Fig. 2). El efecto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se modeló como un efecto más fuerte que los demás, pues para este hay predicciones específicas: la atención de las y los bebés debe aumentar cuando los estímulos tienen alta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(predicción V de</w:t>
            </w:r>
            <w:r w:rsidR="2AB755EE" w:rsidRPr="0B44BD26">
              <w:rPr>
                <w:rFonts w:ascii="Avenir Next LT Pro" w:eastAsia="Avenir Next LT Pro" w:hAnsi="Avenir Next LT Pro" w:cs="Avenir Next LT Pro"/>
                <w:highlight w:val="white"/>
                <w:lang w:val="es-ES"/>
              </w:rPr>
              <w:t>l modelo teórico</w:t>
            </w:r>
            <w:r w:rsidR="006875DA">
              <w:rPr>
                <w:highlight w:val="white"/>
                <w:lang w:val="es-ES"/>
              </w:rPr>
              <w:fldChar w:fldCharType="begin"/>
            </w:r>
            <w:r w:rsidR="006875DA">
              <w:rPr>
                <w:highlight w:val="white"/>
                <w:lang w:val="es-ES"/>
              </w:rPr>
              <w:instrText xml:space="preserve"> ADDIN ZOTERO_ITEM CSL_CITATION {"citationID":"kGHx4qTJ","properties":{"formattedCitation":"\\super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6875DA">
              <w:rPr>
                <w:rFonts w:ascii="Calibri" w:hAnsi="Calibri" w:cs="Calibri"/>
                <w:highlight w:val="white"/>
                <w:lang w:val="es-ES"/>
              </w:rPr>
              <w:instrText>č</w:instrText>
            </w:r>
            <w:r w:rsidR="006875DA">
              <w:rPr>
                <w:highlight w:val="white"/>
                <w:lang w:val="es-ES"/>
              </w:rPr>
              <w:instrText xml:space="preserve">ek","given":"Jan"},{"family":"Roberts","given":"S. Craig"}],"accessed":{"date-parts":[["2021",11,22]]},"issued":{"date-parts":[["2022",1,3]]},"citation-key":"leongomezMusicalityHumanVocal2022"}}],"schema":"https://github.com/citation-style-language/schema/raw/master/csl-citation.json"} </w:instrText>
            </w:r>
            <w:r w:rsidR="006875DA">
              <w:rPr>
                <w:highlight w:val="white"/>
                <w:lang w:val="es-ES"/>
              </w:rPr>
              <w:fldChar w:fldCharType="separate"/>
            </w:r>
            <w:r w:rsidR="00892B9B" w:rsidRPr="00892B9B">
              <w:rPr>
                <w:rFonts w:ascii="Avenir Next LT Pro" w:hAnsi="Avenir Next LT Pro" w:cs="Times New Roman"/>
                <w:vertAlign w:val="superscript"/>
              </w:rPr>
              <w:t>16</w:t>
            </w:r>
            <w:r w:rsidR="006875DA">
              <w:rPr>
                <w:highlight w:val="white"/>
                <w:lang w:val="es-ES"/>
              </w:rPr>
              <w:fldChar w:fldCharType="end"/>
            </w:r>
            <w:r w:rsidRPr="0B44BD26">
              <w:rPr>
                <w:rFonts w:ascii="Avenir Next LT Pro" w:eastAsia="Avenir Next LT Pro" w:hAnsi="Avenir Next LT Pro" w:cs="Avenir Next LT Pro"/>
                <w:highlight w:val="white"/>
                <w:lang w:val="es-ES"/>
              </w:rPr>
              <w:t xml:space="preserve">). Los efectos principales de </w:t>
            </w:r>
            <w:r w:rsidR="001054B3" w:rsidRPr="0B44BD26">
              <w:rPr>
                <w:rFonts w:ascii="Avenir Next LT Pro" w:eastAsia="Avenir Next LT Pro" w:hAnsi="Avenir Next LT Pro" w:cs="Avenir Next LT Pro"/>
                <w:i/>
                <w:iCs/>
                <w:highlight w:val="white"/>
                <w:lang w:val="es-ES"/>
              </w:rPr>
              <w:t>f</w:t>
            </w:r>
            <w:r w:rsidR="001054B3" w:rsidRPr="0B44BD26">
              <w:rPr>
                <w:rFonts w:ascii="Avenir Next LT Pro" w:eastAsia="Avenir Next LT Pro" w:hAnsi="Avenir Next LT Pro" w:cs="Avenir Next LT Pro"/>
                <w:highlight w:val="white"/>
                <w:vertAlign w:val="subscript"/>
                <w:lang w:val="es-ES"/>
              </w:rPr>
              <w:t xml:space="preserve"> </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son de menor tamaño pues, aunque no hay predicciones específicas, esperamos que la atención aumente en estímulos con valores altos en comparación con valores bajos, ya que en ambas variables mayores valores se asocian con características más femeninas. Dada la dependencia de las y los bebés de sus mamás para </w:t>
            </w:r>
            <w:r w:rsidR="2AB755EE" w:rsidRPr="0B44BD26">
              <w:rPr>
                <w:rFonts w:ascii="Avenir Next LT Pro" w:eastAsia="Avenir Next LT Pro" w:hAnsi="Avenir Next LT Pro" w:cs="Avenir Next LT Pro"/>
                <w:highlight w:val="white"/>
                <w:lang w:val="es-ES"/>
              </w:rPr>
              <w:t>sobrevivir, es</w:t>
            </w:r>
            <w:r w:rsidRPr="0B44BD26">
              <w:rPr>
                <w:rFonts w:ascii="Avenir Next LT Pro" w:eastAsia="Avenir Next LT Pro" w:hAnsi="Avenir Next LT Pro" w:cs="Avenir Next LT Pro"/>
                <w:highlight w:val="white"/>
                <w:lang w:val="es-ES"/>
              </w:rPr>
              <w:t xml:space="preserve"> de esperar que haya cierta preferencia por características femeninas.</w:t>
            </w:r>
          </w:p>
          <w:p w14:paraId="1613A3D8" w14:textId="77777777" w:rsidR="006D57A4" w:rsidRDefault="00485542" w:rsidP="0B44BD26">
            <w:pPr>
              <w:keepNext/>
              <w:ind w:left="0"/>
              <w:rPr>
                <w:rFonts w:ascii="Avenir Next LT Pro" w:eastAsia="Avenir Next LT Pro" w:hAnsi="Avenir Next LT Pro" w:cs="Avenir Next LT Pro"/>
              </w:rPr>
            </w:pPr>
            <w:r w:rsidRPr="00485542">
              <w:rPr>
                <w:noProof/>
                <w:highlight w:val="white"/>
                <w:lang w:val="en-US"/>
              </w:rPr>
              <w:drawing>
                <wp:anchor distT="0" distB="0" distL="114300" distR="114300" simplePos="0" relativeHeight="251658240" behindDoc="1" locked="0" layoutInCell="1" allowOverlap="1" wp14:anchorId="5698F938" wp14:editId="0E051718">
                  <wp:simplePos x="0" y="0"/>
                  <wp:positionH relativeFrom="column">
                    <wp:posOffset>-1905</wp:posOffset>
                  </wp:positionH>
                  <wp:positionV relativeFrom="paragraph">
                    <wp:posOffset>2540</wp:posOffset>
                  </wp:positionV>
                  <wp:extent cx="4959985" cy="2423795"/>
                  <wp:effectExtent l="0" t="0" r="0" b="0"/>
                  <wp:wrapTight wrapText="bothSides">
                    <wp:wrapPolygon edited="0">
                      <wp:start x="0" y="0"/>
                      <wp:lineTo x="0" y="21391"/>
                      <wp:lineTo x="21487" y="21391"/>
                      <wp:lineTo x="2148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0967" name=""/>
                          <pic:cNvPicPr>
                            <a:picLocks noChangeAspect="1"/>
                          </pic:cNvPicPr>
                        </pic:nvPicPr>
                        <pic:blipFill>
                          <a:blip r:embed="rId13" cstate="print">
                            <a:extLst>
                              <a:ext uri="{28A0092B-C50C-407E-A947-70E740481C1C}">
                                <a14:useLocalDpi xmlns:a14="http://schemas.microsoft.com/office/drawing/2010/main" val="0"/>
                              </a:ext>
                            </a:extLst>
                          </a:blip>
                          <a:stretch/>
                        </pic:blipFill>
                        <pic:spPr bwMode="auto">
                          <a:xfrm>
                            <a:off x="0" y="0"/>
                            <a:ext cx="4959985" cy="2423795"/>
                          </a:xfrm>
                          <a:prstGeom prst="rect">
                            <a:avLst/>
                          </a:prstGeom>
                        </pic:spPr>
                      </pic:pic>
                    </a:graphicData>
                  </a:graphic>
                  <wp14:sizeRelH relativeFrom="margin">
                    <wp14:pctWidth>0</wp14:pctWidth>
                  </wp14:sizeRelH>
                  <wp14:sizeRelV relativeFrom="margin">
                    <wp14:pctHeight>0</wp14:pctHeight>
                  </wp14:sizeRelV>
                </wp:anchor>
              </w:drawing>
            </w:r>
          </w:p>
          <w:p w14:paraId="69C83C6C" w14:textId="6976DD94" w:rsidR="00475308" w:rsidRDefault="67ECC76C" w:rsidP="00F175F8">
            <w:pPr>
              <w:pStyle w:val="CaptionJDL"/>
              <w:ind w:firstLineChars="0" w:firstLine="0"/>
              <w:rPr>
                <w:rFonts w:ascii="Avenir Next LT Pro" w:eastAsia="Avenir Next LT Pro" w:hAnsi="Avenir Next LT Pro" w:cs="Avenir Next LT Pro"/>
                <w:highlight w:val="white"/>
              </w:rPr>
            </w:pPr>
            <w:r w:rsidRPr="00F175F8">
              <w:rPr>
                <w:rFonts w:ascii="Avenir Next LT Pro" w:eastAsia="Avenir Next LT Pro" w:hAnsi="Avenir Next LT Pro" w:cs="Avenir Next LT Pro"/>
                <w:i/>
                <w:iCs/>
              </w:rPr>
              <w:t xml:space="preserve">Figura </w:t>
            </w:r>
            <w:r w:rsidR="006D57A4" w:rsidRPr="00F175F8">
              <w:rPr>
                <w:i/>
                <w:iCs/>
              </w:rPr>
              <w:fldChar w:fldCharType="begin"/>
            </w:r>
            <w:r w:rsidR="006D57A4" w:rsidRPr="00F175F8">
              <w:rPr>
                <w:i/>
                <w:iCs/>
              </w:rPr>
              <w:instrText xml:space="preserve"> SEQ Figura \* ARABIC </w:instrText>
            </w:r>
            <w:r w:rsidR="006D57A4" w:rsidRPr="00F175F8">
              <w:rPr>
                <w:i/>
                <w:iCs/>
              </w:rPr>
              <w:fldChar w:fldCharType="separate"/>
            </w:r>
            <w:r w:rsidR="00FF4D41">
              <w:rPr>
                <w:i/>
                <w:iCs/>
                <w:noProof/>
              </w:rPr>
              <w:t>2</w:t>
            </w:r>
            <w:r w:rsidR="006D57A4" w:rsidRPr="00F175F8">
              <w:rPr>
                <w:i/>
                <w:iCs/>
                <w:noProof/>
              </w:rPr>
              <w:fldChar w:fldCharType="end"/>
            </w:r>
            <w:r w:rsidRPr="0B44BD26">
              <w:rPr>
                <w:rFonts w:ascii="Avenir Next LT Pro" w:eastAsia="Avenir Next LT Pro" w:hAnsi="Avenir Next LT Pro" w:cs="Avenir Next LT Pro"/>
              </w:rPr>
              <w:t xml:space="preserve">. Distribución de los tiempos de fijación en función de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SD (eje x), dividida por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mean y </w:t>
            </w:r>
            <w:r w:rsidRPr="0B44BD26">
              <w:rPr>
                <w:rFonts w:ascii="Avenir Next LT Pro" w:eastAsia="Avenir Next LT Pro" w:hAnsi="Avenir Next LT Pro" w:cs="Avenir Next LT Pro"/>
                <w:i/>
                <w:iCs/>
              </w:rPr>
              <w:t>D</w:t>
            </w:r>
            <w:r w:rsidRPr="0B44BD26">
              <w:rPr>
                <w:rFonts w:ascii="Avenir Next LT Pro" w:eastAsia="Avenir Next LT Pro" w:hAnsi="Avenir Next LT Pro" w:cs="Avenir Next LT Pro"/>
                <w:vertAlign w:val="subscript"/>
              </w:rPr>
              <w:t>f</w:t>
            </w:r>
            <w:r w:rsidRPr="0B44BD26">
              <w:rPr>
                <w:rFonts w:ascii="Avenir Next LT Pro" w:eastAsia="Avenir Next LT Pro" w:hAnsi="Avenir Next LT Pro" w:cs="Avenir Next LT Pro"/>
              </w:rPr>
              <w:t xml:space="preserve">. Cada panel muestra la distribución de densidad, los puntos individuales (dispersados), y los promedios por condición con sus barras de error. Los tiempos de fijación aumentan con mayor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SD, y los efectos se ven modulados por las demás características acústicas.</w:t>
            </w:r>
          </w:p>
          <w:p w14:paraId="1B5712BD" w14:textId="77777777" w:rsidR="007911A6" w:rsidRDefault="007911A6" w:rsidP="0B44BD26">
            <w:pPr>
              <w:rPr>
                <w:rFonts w:ascii="Avenir Next LT Pro" w:eastAsia="Avenir Next LT Pro" w:hAnsi="Avenir Next LT Pro" w:cs="Avenir Next LT Pro"/>
                <w:highlight w:val="white"/>
                <w:lang w:val="es-ES"/>
              </w:rPr>
            </w:pPr>
          </w:p>
          <w:p w14:paraId="41DFAE35" w14:textId="77777777" w:rsidR="007911A6" w:rsidRDefault="007911A6" w:rsidP="0B44BD26">
            <w:pPr>
              <w:rPr>
                <w:rFonts w:ascii="Avenir Next LT Pro" w:eastAsia="Avenir Next LT Pro" w:hAnsi="Avenir Next LT Pro" w:cs="Avenir Next LT Pro"/>
                <w:highlight w:val="white"/>
                <w:lang w:val="es-ES"/>
              </w:rPr>
            </w:pPr>
          </w:p>
          <w:p w14:paraId="37A1B2B3" w14:textId="77777777" w:rsidR="007911A6" w:rsidRDefault="007911A6" w:rsidP="0B44BD26">
            <w:pPr>
              <w:rPr>
                <w:rFonts w:ascii="Avenir Next LT Pro" w:eastAsia="Avenir Next LT Pro" w:hAnsi="Avenir Next LT Pro" w:cs="Avenir Next LT Pro"/>
                <w:highlight w:val="white"/>
                <w:lang w:val="es-ES"/>
              </w:rPr>
            </w:pPr>
          </w:p>
          <w:p w14:paraId="079CAB5A" w14:textId="3D2B0D15"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Una vez modelada la población hipotética de 10 000 bebés con estas características, simulamos muestras aleatorias de diferentes tamaños, y ajustamos el modelo lineal mixto con los efectos principales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así como sus interacciones como efectos fijos, y efectos aleatorios para cada bebé. Específicamente, a partir de la población simulada (N = 10 000), extraemos 1 000 muestras aleatorias de tamaño n = 10, luego otras 1 000 de tamaño n = 20, y así sucesivamente hasta obtener 1 000 muestras de tamaño n = 200. Para cada una de las 20 000 muestras </w:t>
            </w:r>
            <w:r w:rsidR="2AB755EE" w:rsidRPr="0B44BD26">
              <w:rPr>
                <w:rFonts w:ascii="Avenir Next LT Pro" w:eastAsia="Avenir Next LT Pro" w:hAnsi="Avenir Next LT Pro" w:cs="Avenir Next LT Pro"/>
                <w:highlight w:val="white"/>
                <w:lang w:val="es-ES"/>
              </w:rPr>
              <w:t>resultantes</w:t>
            </w:r>
            <w:r w:rsidRPr="0B44BD26">
              <w:rPr>
                <w:rFonts w:ascii="Avenir Next LT Pro" w:eastAsia="Avenir Next LT Pro" w:hAnsi="Avenir Next LT Pro" w:cs="Avenir Next LT Pro"/>
                <w:highlight w:val="white"/>
                <w:lang w:val="es-ES"/>
              </w:rPr>
              <w:t xml:space="preserve">, ajustamos el mismo modelo lineal mixto, examinamos la distribución de los valores </w:t>
            </w:r>
            <w:r w:rsidRPr="0B44BD26">
              <w:rPr>
                <w:rFonts w:ascii="Avenir Next LT Pro" w:eastAsia="Avenir Next LT Pro" w:hAnsi="Avenir Next LT Pro" w:cs="Avenir Next LT Pro"/>
                <w:i/>
                <w:iCs/>
                <w:highlight w:val="white"/>
                <w:lang w:val="es-ES"/>
              </w:rPr>
              <w:t>p</w:t>
            </w:r>
            <w:r w:rsidRPr="0B44BD26">
              <w:rPr>
                <w:rFonts w:ascii="Avenir Next LT Pro" w:eastAsia="Avenir Next LT Pro" w:hAnsi="Avenir Next LT Pro" w:cs="Avenir Next LT Pro"/>
                <w:highlight w:val="white"/>
                <w:lang w:val="es-ES"/>
              </w:rPr>
              <w:t>, y estimamos la probabilidad de detectar un efecto estadísticamente significativo para cada término del modelo (Fig. 3).</w:t>
            </w:r>
          </w:p>
          <w:p w14:paraId="0EA05BC9" w14:textId="77777777" w:rsidR="00F007AB" w:rsidRDefault="00D12C3B" w:rsidP="0B44BD26">
            <w:pPr>
              <w:pStyle w:val="CaptionJDL"/>
              <w:ind w:firstLine="239"/>
              <w:rPr>
                <w:rFonts w:ascii="Avenir Next LT Pro" w:eastAsia="Avenir Next LT Pro" w:hAnsi="Avenir Next LT Pro" w:cs="Avenir Next LT Pro"/>
                <w:i/>
                <w:iCs/>
                <w:highlight w:val="white"/>
              </w:rPr>
            </w:pPr>
            <w:r w:rsidRPr="00485542">
              <w:rPr>
                <w:noProof/>
                <w:highlight w:val="white"/>
                <w:lang w:val="en-US"/>
              </w:rPr>
              <w:lastRenderedPageBreak/>
              <w:drawing>
                <wp:anchor distT="0" distB="0" distL="114300" distR="114300" simplePos="0" relativeHeight="251658241" behindDoc="0" locked="0" layoutInCell="1" allowOverlap="1" wp14:anchorId="51D836BD" wp14:editId="5CC996BD">
                  <wp:simplePos x="0" y="0"/>
                  <wp:positionH relativeFrom="column">
                    <wp:posOffset>15240</wp:posOffset>
                  </wp:positionH>
                  <wp:positionV relativeFrom="paragraph">
                    <wp:posOffset>1905</wp:posOffset>
                  </wp:positionV>
                  <wp:extent cx="4340225" cy="2898140"/>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8673" name=""/>
                          <pic:cNvPicPr>
                            <a:picLocks noChangeAspect="1"/>
                          </pic:cNvPicPr>
                        </pic:nvPicPr>
                        <pic:blipFill rotWithShape="1">
                          <a:blip r:embed="rId14" cstate="print">
                            <a:extLst>
                              <a:ext uri="{28A0092B-C50C-407E-A947-70E740481C1C}">
                                <a14:useLocalDpi xmlns:a14="http://schemas.microsoft.com/office/drawing/2010/main" val="0"/>
                              </a:ext>
                            </a:extLst>
                          </a:blip>
                          <a:srcRect l="396" r="632"/>
                          <a:stretch>
                            <a:fillRect/>
                          </a:stretch>
                        </pic:blipFill>
                        <pic:spPr bwMode="auto">
                          <a:xfrm>
                            <a:off x="0" y="0"/>
                            <a:ext cx="4340225" cy="2898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highlight w:val="white"/>
              </w:rPr>
              <w:br/>
            </w:r>
            <w:r>
              <w:rPr>
                <w:i/>
                <w:iCs/>
                <w:highlight w:val="white"/>
              </w:rPr>
              <w:br/>
            </w:r>
          </w:p>
          <w:p w14:paraId="0F8DC172" w14:textId="38EDF74D" w:rsidR="00485542" w:rsidRDefault="13ECB3CB" w:rsidP="00F007AB">
            <w:pPr>
              <w:pStyle w:val="CaptionJDL"/>
              <w:ind w:left="0" w:firstLineChars="0" w:firstLine="0"/>
              <w:rPr>
                <w:rFonts w:ascii="Avenir Next LT Pro" w:eastAsia="Avenir Next LT Pro" w:hAnsi="Avenir Next LT Pro" w:cs="Avenir Next LT Pro"/>
                <w:sz w:val="18"/>
                <w:szCs w:val="18"/>
                <w:highlight w:val="white"/>
              </w:rPr>
            </w:pPr>
            <w:r w:rsidRPr="0B44BD26">
              <w:rPr>
                <w:rFonts w:ascii="Avenir Next LT Pro" w:eastAsia="Avenir Next LT Pro" w:hAnsi="Avenir Next LT Pro" w:cs="Avenir Next LT Pro"/>
                <w:i/>
                <w:iCs/>
                <w:highlight w:val="white"/>
              </w:rPr>
              <w:t xml:space="preserve">Figura </w:t>
            </w:r>
            <w:r w:rsidR="7EFABA89" w:rsidRPr="0B44BD26">
              <w:rPr>
                <w:rFonts w:ascii="Avenir Next LT Pro" w:eastAsia="Avenir Next LT Pro" w:hAnsi="Avenir Next LT Pro" w:cs="Avenir Next LT Pro"/>
                <w:i/>
                <w:iCs/>
                <w:highlight w:val="white"/>
                <w:lang w:val="es-CO"/>
              </w:rPr>
              <w:t>3</w:t>
            </w:r>
            <w:r w:rsidRPr="0B44BD26">
              <w:rPr>
                <w:rFonts w:ascii="Avenir Next LT Pro" w:eastAsia="Avenir Next LT Pro" w:hAnsi="Avenir Next LT Pro" w:cs="Avenir Next LT Pro"/>
                <w:highlight w:val="white"/>
              </w:rPr>
              <w:t xml:space="preserve">. </w:t>
            </w:r>
            <w:r w:rsidR="7EFABA89" w:rsidRPr="0B44BD26">
              <w:rPr>
                <w:rFonts w:ascii="Avenir Next LT Pro" w:eastAsia="Avenir Next LT Pro" w:hAnsi="Avenir Next LT Pro" w:cs="Avenir Next LT Pro"/>
                <w:highlight w:val="white"/>
              </w:rPr>
              <w:t>Curvas de poder para detectar efectos principales e interacciones. Los paneles muestran el poder estadístico como función del tamaño muestral para cada efecto fijo (A) e interacción (B). Los puntos indican las estimaciones de poder basadas en simulaciones para cada tamaño muestral, con líneas punteadas rojas que marcan</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el umbral del 80 %. La mayoría de los efectos principales alcanzan un alto poder con menos de 160 participantes,</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mientras que las interacciones permanecen con bajo poder en este rango, reflejando sus tamaños de efecto más</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pequeños.</w:t>
            </w:r>
          </w:p>
          <w:p w14:paraId="37592183" w14:textId="77777777" w:rsidR="007911A6" w:rsidRDefault="007911A6" w:rsidP="0B44BD26">
            <w:pPr>
              <w:rPr>
                <w:rFonts w:ascii="Avenir Next LT Pro" w:eastAsia="Avenir Next LT Pro" w:hAnsi="Avenir Next LT Pro" w:cs="Avenir Next LT Pro"/>
                <w:highlight w:val="white"/>
                <w:lang w:val="es-ES"/>
              </w:rPr>
            </w:pPr>
          </w:p>
          <w:p w14:paraId="0B69825A" w14:textId="77777777" w:rsidR="00F007AB" w:rsidRDefault="00F007AB" w:rsidP="0B44BD26">
            <w:pPr>
              <w:rPr>
                <w:rFonts w:ascii="Avenir Next LT Pro" w:eastAsia="Avenir Next LT Pro" w:hAnsi="Avenir Next LT Pro" w:cs="Avenir Next LT Pro"/>
                <w:highlight w:val="white"/>
                <w:lang w:val="es-ES"/>
              </w:rPr>
            </w:pPr>
          </w:p>
          <w:p w14:paraId="2EE9D2C5" w14:textId="77777777" w:rsidR="00F007AB" w:rsidRDefault="00F007AB" w:rsidP="0B44BD26">
            <w:pPr>
              <w:rPr>
                <w:rFonts w:ascii="Avenir Next LT Pro" w:eastAsia="Avenir Next LT Pro" w:hAnsi="Avenir Next LT Pro" w:cs="Avenir Next LT Pro"/>
                <w:highlight w:val="white"/>
                <w:lang w:val="es-ES"/>
              </w:rPr>
            </w:pPr>
          </w:p>
          <w:p w14:paraId="66A2734E" w14:textId="77777777" w:rsidR="00F007AB" w:rsidRDefault="00F007AB" w:rsidP="0B44BD26">
            <w:pPr>
              <w:rPr>
                <w:rFonts w:ascii="Avenir Next LT Pro" w:eastAsia="Avenir Next LT Pro" w:hAnsi="Avenir Next LT Pro" w:cs="Avenir Next LT Pro"/>
                <w:highlight w:val="white"/>
                <w:lang w:val="es-ES"/>
              </w:rPr>
            </w:pPr>
          </w:p>
          <w:p w14:paraId="4C42E477" w14:textId="012E6B54" w:rsid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Esta simulación mostró que, con un tamaño de muestra de 160 bebés, el poder supera el 80 % para los efectos principales. De hecho, la probabilidad de detección para la variable principal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llegaría a aproximadamente el 98% (Fig. 4).</w:t>
            </w:r>
          </w:p>
          <w:p w14:paraId="33487DC4" w14:textId="29E0D461" w:rsidR="00485542" w:rsidRPr="00485542" w:rsidRDefault="00F007AB" w:rsidP="00F175F8">
            <w:pPr>
              <w:ind w:left="0" w:firstLineChars="0" w:firstLine="0"/>
              <w:rPr>
                <w:rFonts w:ascii="Avenir Next LT Pro" w:eastAsia="Avenir Next LT Pro" w:hAnsi="Avenir Next LT Pro" w:cs="Avenir Next LT Pro"/>
                <w:sz w:val="14"/>
                <w:szCs w:val="14"/>
                <w:highlight w:val="white"/>
              </w:rPr>
            </w:pP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sidR="004203DE" w:rsidRPr="00485542">
              <w:rPr>
                <w:noProof/>
                <w:highlight w:val="white"/>
                <w:lang w:val="en-US"/>
              </w:rPr>
              <w:drawing>
                <wp:anchor distT="0" distB="0" distL="114300" distR="114300" simplePos="0" relativeHeight="251658242" behindDoc="0" locked="0" layoutInCell="1" allowOverlap="1" wp14:anchorId="45B87A15" wp14:editId="7D3CEE43">
                  <wp:simplePos x="0" y="0"/>
                  <wp:positionH relativeFrom="column">
                    <wp:align>left</wp:align>
                  </wp:positionH>
                  <wp:positionV relativeFrom="paragraph">
                    <wp:posOffset>12592</wp:posOffset>
                  </wp:positionV>
                  <wp:extent cx="3567430" cy="23806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4479" name=""/>
                          <pic:cNvPicPr>
                            <a:picLocks noChangeAspect="1"/>
                          </pic:cNvPicPr>
                        </pic:nvPicPr>
                        <pic:blipFill rotWithShape="1">
                          <a:blip r:embed="rId15" cstate="print">
                            <a:extLst>
                              <a:ext uri="{28A0092B-C50C-407E-A947-70E740481C1C}">
                                <a14:useLocalDpi xmlns:a14="http://schemas.microsoft.com/office/drawing/2010/main" val="0"/>
                              </a:ext>
                            </a:extLst>
                          </a:blip>
                          <a:srcRect l="376" r="588"/>
                          <a:stretch>
                            <a:fillRect/>
                          </a:stretch>
                        </pic:blipFill>
                        <pic:spPr bwMode="auto">
                          <a:xfrm>
                            <a:off x="0" y="0"/>
                            <a:ext cx="3578264" cy="23878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640F3809" w:rsidRPr="0B44BD26">
              <w:rPr>
                <w:rFonts w:ascii="Avenir Next LT Pro" w:eastAsia="Avenir Next LT Pro" w:hAnsi="Avenir Next LT Pro" w:cs="Avenir Next LT Pro"/>
                <w:i/>
                <w:iCs/>
                <w:sz w:val="14"/>
                <w:szCs w:val="14"/>
                <w:highlight w:val="white"/>
              </w:rPr>
              <w:t xml:space="preserve">Figura </w:t>
            </w:r>
            <w:r w:rsidR="5D30ECC7" w:rsidRPr="0B44BD26">
              <w:rPr>
                <w:rFonts w:ascii="Avenir Next LT Pro" w:eastAsia="Avenir Next LT Pro" w:hAnsi="Avenir Next LT Pro" w:cs="Avenir Next LT Pro"/>
                <w:i/>
                <w:iCs/>
                <w:sz w:val="14"/>
                <w:szCs w:val="14"/>
                <w:highlight w:val="white"/>
                <w:lang w:val="es-CO"/>
              </w:rPr>
              <w:t>4</w:t>
            </w:r>
            <w:r w:rsidR="640F3809" w:rsidRPr="0B44BD26">
              <w:rPr>
                <w:rFonts w:ascii="Avenir Next LT Pro" w:eastAsia="Avenir Next LT Pro" w:hAnsi="Avenir Next LT Pro" w:cs="Avenir Next LT Pro"/>
                <w:sz w:val="14"/>
                <w:szCs w:val="14"/>
                <w:highlight w:val="white"/>
              </w:rPr>
              <w:t>. Distribución de los valores p en las simulaciones con n = 160. Esta figura muestra la distribución de los valores p para cada efecto, basada en 1000 simulaciones utilizando el tamaño muestral final recomendado. Los efectos principales muestran una fuerte asimetría hacia valores p bajos, consistente con alto poder. Las interacciones producen distribuciones más uniformes, lo que indica una sensibilidad limitada para detectar estos efectos con este tamaño muestral.</w:t>
            </w:r>
          </w:p>
          <w:p w14:paraId="719F7FCF" w14:textId="77777777" w:rsidR="007911A6" w:rsidRDefault="007911A6" w:rsidP="0B44BD26">
            <w:pPr>
              <w:rPr>
                <w:rFonts w:ascii="Avenir Next LT Pro" w:eastAsia="Avenir Next LT Pro" w:hAnsi="Avenir Next LT Pro" w:cs="Avenir Next LT Pro"/>
                <w:highlight w:val="white"/>
              </w:rPr>
            </w:pPr>
          </w:p>
          <w:p w14:paraId="28584CCB" w14:textId="77777777" w:rsidR="00F007AB" w:rsidRDefault="00F007AB" w:rsidP="0B44BD26">
            <w:pPr>
              <w:rPr>
                <w:rFonts w:ascii="Avenir Next LT Pro" w:eastAsia="Avenir Next LT Pro" w:hAnsi="Avenir Next LT Pro" w:cs="Avenir Next LT Pro"/>
                <w:highlight w:val="white"/>
              </w:rPr>
            </w:pPr>
          </w:p>
          <w:p w14:paraId="4115DECB" w14:textId="77777777" w:rsidR="00F007AB" w:rsidRDefault="00F007AB" w:rsidP="0B44BD26">
            <w:pPr>
              <w:rPr>
                <w:rFonts w:ascii="Avenir Next LT Pro" w:eastAsia="Avenir Next LT Pro" w:hAnsi="Avenir Next LT Pro" w:cs="Avenir Next LT Pro"/>
                <w:highlight w:val="white"/>
              </w:rPr>
            </w:pPr>
          </w:p>
          <w:p w14:paraId="469531E4" w14:textId="77777777" w:rsidR="00F007AB" w:rsidRDefault="00F007AB" w:rsidP="0B44BD26">
            <w:pPr>
              <w:rPr>
                <w:rFonts w:ascii="Avenir Next LT Pro" w:eastAsia="Avenir Next LT Pro" w:hAnsi="Avenir Next LT Pro" w:cs="Avenir Next LT Pro"/>
                <w:highlight w:val="white"/>
              </w:rPr>
            </w:pPr>
          </w:p>
          <w:p w14:paraId="12B67ABB" w14:textId="77777777" w:rsidR="00F007AB" w:rsidRDefault="00F007AB" w:rsidP="0B44BD26">
            <w:pPr>
              <w:rPr>
                <w:rFonts w:ascii="Avenir Next LT Pro" w:eastAsia="Avenir Next LT Pro" w:hAnsi="Avenir Next LT Pro" w:cs="Avenir Next LT Pro"/>
                <w:highlight w:val="white"/>
              </w:rPr>
            </w:pPr>
          </w:p>
          <w:p w14:paraId="75BA70B8" w14:textId="77777777" w:rsidR="00F007AB" w:rsidRPr="00485542" w:rsidRDefault="00F007AB" w:rsidP="00F007AB">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 xml:space="preserve">Procedimiento: </w:t>
            </w:r>
          </w:p>
          <w:p w14:paraId="0C8327A0" w14:textId="77777777" w:rsidR="00F007AB" w:rsidRPr="00485542"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Cada bebé participará en una única sesión presencial, acompañado por su madre, padre o guardián legal, quien firmará un consentimiento informado antes de iniciar. Durante la sesión, el adulto sostendrá al bebé en sus piernas, de modo que este quede orientado hacia una pantalla ubicada al frente.</w:t>
            </w:r>
          </w:p>
          <w:p w14:paraId="1E93E471" w14:textId="77777777" w:rsidR="00F007AB" w:rsidRPr="00485542"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En la pantalla se presentarán clips de video de aproximadamente 5 segundos de duración, correspondientes a estímulos de habla dirigida a bebés (IDS) con distintas manipulaciones acústicas previamente descritas. Los estímulos se presentarán en bloques, con pausas breves entre ellos para mantener la atención del bebé y evitar fatiga.</w:t>
            </w:r>
          </w:p>
          <w:p w14:paraId="38E9A061" w14:textId="2B2EAA84" w:rsidR="00F007AB"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Durante la sesión, se registrarán los movimientos oculares del bebé mediante un sistema remoto de rastreo ocular por infrarrojos, y se grabarán en video sus reacciones faciales. Estas grabaciones se analizarán posteriormente mediante herramientas de inteligencia artificial para estimar, de forma no invasiva, indicadores afectivos (como valencia y activación </w:t>
            </w:r>
            <w:r w:rsidRPr="0B44BD26">
              <w:rPr>
                <w:rFonts w:ascii="Avenir Next LT Pro" w:eastAsia="Avenir Next LT Pro" w:hAnsi="Avenir Next LT Pro" w:cs="Avenir Next LT Pro"/>
                <w:highlight w:val="white"/>
              </w:rPr>
              <w:lastRenderedPageBreak/>
              <w:t>emocional) y fisiológicos (como el ritmo cardíaco), a partir de cambios sutiles en la expresión facial y la coloración de la piel.</w:t>
            </w:r>
          </w:p>
          <w:p w14:paraId="4DDC909A" w14:textId="77777777" w:rsidR="00F007AB"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 sesión tendrá una duración aproximada de 30 minutos. La participación se interrumpirá de inmediato si se detectan señales de malestar o si el bebé se duerme. Al finalizar, se entregará un subsidio de transporte a la persona acompañante</w:t>
            </w:r>
            <w:r>
              <w:rPr>
                <w:rFonts w:ascii="Avenir Next LT Pro" w:eastAsia="Avenir Next LT Pro" w:hAnsi="Avenir Next LT Pro" w:cs="Avenir Next LT Pro"/>
                <w:highlight w:val="white"/>
              </w:rPr>
              <w:t>.</w:t>
            </w:r>
          </w:p>
          <w:p w14:paraId="6BADB0F5" w14:textId="77777777" w:rsidR="00202498" w:rsidRPr="00485542" w:rsidRDefault="00202498" w:rsidP="00202498">
            <w:pPr>
              <w:ind w:left="0" w:firstLine="309"/>
              <w:rPr>
                <w:rFonts w:ascii="Avenir Next LT Pro" w:eastAsia="Avenir Next LT Pro" w:hAnsi="Avenir Next LT Pro" w:cs="Avenir Next LT Pro"/>
                <w:b/>
                <w:bCs/>
                <w:highlight w:val="white"/>
              </w:rPr>
            </w:pPr>
            <w:r w:rsidRPr="00C16D35">
              <w:rPr>
                <w:rFonts w:ascii="Avenir Next LT Pro" w:eastAsia="Avenir Next LT Pro" w:hAnsi="Avenir Next LT Pro" w:cs="Avenir Next LT Pro"/>
                <w:b/>
                <w:bCs/>
                <w:highlight w:val="white"/>
              </w:rPr>
              <w:t>Análisis exploratorios</w:t>
            </w:r>
            <w:r w:rsidRPr="0B44BD26">
              <w:rPr>
                <w:rFonts w:ascii="Avenir Next LT Pro" w:eastAsia="Avenir Next LT Pro" w:hAnsi="Avenir Next LT Pro" w:cs="Avenir Next LT Pro"/>
                <w:b/>
                <w:bCs/>
                <w:highlight w:val="white"/>
                <w:lang w:val="es-ES"/>
              </w:rPr>
              <w:t xml:space="preserve">: </w:t>
            </w:r>
          </w:p>
          <w:p w14:paraId="529CFD49" w14:textId="016AA63C" w:rsidR="00202498" w:rsidRDefault="00202498" w:rsidP="00202498">
            <w:pPr>
              <w:rPr>
                <w:rFonts w:ascii="Avenir Next LT Pro" w:eastAsia="Avenir Next LT Pro" w:hAnsi="Avenir Next LT Pro" w:cs="Avenir Next LT Pro"/>
                <w:highlight w:val="white"/>
              </w:rPr>
            </w:pPr>
            <w:r w:rsidRPr="00C16D35">
              <w:rPr>
                <w:rFonts w:ascii="Avenir Next LT Pro" w:eastAsia="Avenir Next LT Pro" w:hAnsi="Avenir Next LT Pro" w:cs="Avenir Next LT Pro"/>
                <w:highlight w:val="white"/>
              </w:rPr>
              <w:t>Es posible que la preferencia de los bebés por ciertas características acústicas esté influida por la experiencia previa; por ejemplo, que simplemente prefieran manipulaciones que se asemejen más a las voces de sus propias madres. Incluir este factor en un estudio confirmatorio resulta complejo, ya que no se cuenta con hipótesis claras sobre qué efectos esperar y el control de un gran número de covariables exigiría un tamaño muestral considerablemente mayor. No obstante, este aspecto puede abordarse en modelos exploratorios, en los que las características acústicas del IDS materno se incluyan como covariables adicionales.</w:t>
            </w:r>
          </w:p>
          <w:p w14:paraId="1D3A407B" w14:textId="03A694E7" w:rsidR="00485542" w:rsidRPr="006F42E5" w:rsidRDefault="13ECB3CB" w:rsidP="0B44BD26">
            <w:pPr>
              <w:pStyle w:val="ListParagraph"/>
              <w:numPr>
                <w:ilvl w:val="0"/>
                <w:numId w:val="17"/>
              </w:numPr>
              <w:ind w:left="303" w:firstLineChars="0" w:hanging="284"/>
              <w:rPr>
                <w:rFonts w:ascii="Avenir Next LT Pro" w:eastAsia="Avenir Next LT Pro" w:hAnsi="Avenir Next LT Pro" w:cs="Avenir Next LT Pro"/>
                <w:highlight w:val="white"/>
              </w:rPr>
            </w:pPr>
            <w:r w:rsidRPr="0B44BD26">
              <w:rPr>
                <w:rFonts w:ascii="Avenir Next LT Pro" w:eastAsia="Avenir Next LT Pro" w:hAnsi="Avenir Next LT Pro" w:cs="Avenir Next LT Pro"/>
                <w:b/>
                <w:bCs/>
                <w:highlight w:val="white"/>
              </w:rPr>
              <w:t>Estudio 2: Efectos del IDS en habilidades lingüísticas y musicales posteriores</w:t>
            </w:r>
            <w:r w:rsidRPr="0B44BD26">
              <w:rPr>
                <w:rFonts w:ascii="Avenir Next LT Pro" w:eastAsia="Avenir Next LT Pro" w:hAnsi="Avenir Next LT Pro" w:cs="Avenir Next LT Pro"/>
                <w:highlight w:val="white"/>
              </w:rPr>
              <w:t> </w:t>
            </w:r>
          </w:p>
          <w:p w14:paraId="133CBF6A" w14:textId="55859B2A" w:rsidR="00C61475" w:rsidRPr="00C61475" w:rsidRDefault="07B5EEA9"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El Estudio 2 investigará si las características acústicas del habla dirigida a bebés (IDS, por sus siglas en inglés) producida por madres predicen las habilidades lingüísticas y/o musicales de sus hijos e hijas entre los 16 y 23 meses de edad. En particular, se evaluará si la manera en que las madres hablaban a sus bebés durante la etapa prelingüística (antes del año de edad) se relaciona con habilidades que comienzan a consolidarse en ese periodo del desarrollo.</w:t>
            </w:r>
          </w:p>
          <w:p w14:paraId="726226AA" w14:textId="019E7021" w:rsidR="00D72C7C" w:rsidRDefault="07B5EEA9"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Gracias a la facilidad actual para grabar videos con dispositivos móviles y a la amplia disponibilidad de registros caseros, se convocará a madres de niños y niñas entre 16 y 23 meses de edad. Se les solicitará: (1) uno o más videos caseros en los que hablen a sus bebés durante los primeros 12 meses de vida, y (2) completar un cuestionario para evaluar las habilidades lingüísticas y musicales actuales de sus hijos o hijas. Esto permitirá estimar la relación entre las características acústicas del IDS materno temprano y el desarrollo infantil posterior.</w:t>
            </w:r>
          </w:p>
          <w:p w14:paraId="3AED3DDF" w14:textId="77777777" w:rsidR="00CB004A" w:rsidRPr="00485542" w:rsidRDefault="523531F4"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Participantes y Muestra:</w:t>
            </w:r>
          </w:p>
          <w:p w14:paraId="3A6B5461" w14:textId="50009582" w:rsidR="00CB004A" w:rsidRPr="00FF4D41" w:rsidRDefault="7DA7C9CA" w:rsidP="0B44BD26">
            <w:pPr>
              <w:rPr>
                <w:rFonts w:ascii="Avenir Next LT Pro" w:eastAsia="Avenir Next LT Pro" w:hAnsi="Avenir Next LT Pro" w:cs="Avenir Next LT Pro"/>
              </w:rPr>
            </w:pPr>
            <w:r w:rsidRPr="0B44BD26">
              <w:rPr>
                <w:rFonts w:ascii="Avenir Next LT Pro" w:eastAsia="Avenir Next LT Pro" w:hAnsi="Avenir Next LT Pro" w:cs="Avenir Next LT Pro"/>
                <w:highlight w:val="white"/>
              </w:rPr>
              <w:t xml:space="preserve">El Estudio 2 incluirá una muestra planificada de </w:t>
            </w:r>
            <w:r w:rsidR="47EB2049" w:rsidRPr="0B44BD26">
              <w:rPr>
                <w:rFonts w:ascii="Avenir Next LT Pro" w:eastAsia="Avenir Next LT Pro" w:hAnsi="Avenir Next LT Pro" w:cs="Avenir Next LT Pro"/>
                <w:highlight w:val="white"/>
              </w:rPr>
              <w:t>al menos</w:t>
            </w:r>
            <w:r w:rsidRPr="0B44BD26">
              <w:rPr>
                <w:rFonts w:ascii="Avenir Next LT Pro" w:eastAsia="Avenir Next LT Pro" w:hAnsi="Avenir Next LT Pro" w:cs="Avenir Next LT Pro"/>
                <w:highlight w:val="white"/>
              </w:rPr>
              <w:t xml:space="preserve"> 480 madres de niños y niñas con edades entre 16 y 23 meses. Este tamaño se determinó a partir de un análisis de poder estadístico que combinó dos enfoques complementarios: (1) la detección de efectos significativos y (2) la posibilidad de concluir equivalencia con cero. Esta estrategia permite maximizar la sensibilidad del estudio tanto para identificar asociaciones relevantes como para descartar efectos triviales con base empírica</w:t>
            </w:r>
            <w:r w:rsidR="523531F4" w:rsidRPr="0B44BD26">
              <w:rPr>
                <w:rFonts w:ascii="Avenir Next LT Pro" w:eastAsia="Avenir Next LT Pro" w:hAnsi="Avenir Next LT Pro" w:cs="Avenir Next LT Pro"/>
                <w:highlight w:val="white"/>
              </w:rPr>
              <w:t xml:space="preserve">. </w:t>
            </w:r>
            <w:r w:rsidR="523531F4" w:rsidRPr="00FF4D41">
              <w:rPr>
                <w:rFonts w:ascii="Avenir Next LT Pro" w:eastAsia="Avenir Next LT Pro" w:hAnsi="Avenir Next LT Pro" w:cs="Avenir Next LT Pro"/>
                <w:lang w:val="es-ES"/>
              </w:rPr>
              <w:t xml:space="preserve">Los detalles y código para reproducir esta </w:t>
            </w:r>
            <w:r w:rsidR="001054B3" w:rsidRPr="00FF4D41">
              <w:rPr>
                <w:rFonts w:ascii="Avenir Next LT Pro" w:eastAsia="Avenir Next LT Pro" w:hAnsi="Avenir Next LT Pro" w:cs="Avenir Next LT Pro"/>
                <w:lang w:val="es-ES"/>
              </w:rPr>
              <w:t>simulación</w:t>
            </w:r>
            <w:r w:rsidR="523531F4" w:rsidRPr="00FF4D41">
              <w:rPr>
                <w:rFonts w:ascii="Avenir Next LT Pro" w:eastAsia="Avenir Next LT Pro" w:hAnsi="Avenir Next LT Pro" w:cs="Avenir Next LT Pro"/>
                <w:lang w:val="es-ES"/>
              </w:rPr>
              <w:t xml:space="preserve"> están disponibles en </w:t>
            </w:r>
            <w:hyperlink r:id="rId16" w:history="1">
              <w:r w:rsidR="001054B3">
                <w:rPr>
                  <w:rStyle w:val="Hyperlink"/>
                  <w:rFonts w:ascii="Avenir Next LT Pro" w:eastAsia="Avenir Next LT Pro" w:hAnsi="Avenir Next LT Pro" w:cs="Avenir Next LT Pro"/>
                  <w:position w:val="0"/>
                  <w:lang w:val="es-ES"/>
                </w:rPr>
                <w:t>GitHub</w:t>
              </w:r>
            </w:hyperlink>
            <w:r w:rsidR="523531F4" w:rsidRPr="00FF4D41">
              <w:rPr>
                <w:rFonts w:ascii="Avenir Next LT Pro" w:eastAsia="Avenir Next LT Pro" w:hAnsi="Avenir Next LT Pro" w:cs="Avenir Next LT Pro"/>
                <w:lang w:val="es-ES"/>
              </w:rPr>
              <w:t>.</w:t>
            </w:r>
          </w:p>
          <w:p w14:paraId="4290D039" w14:textId="1832DDF4" w:rsidR="00CB004A" w:rsidRPr="00C46D2E" w:rsidRDefault="3F57D6CC"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rPr>
              <w:t xml:space="preserve">En primer lugar, se estimó analíticamente el poder para detectar una correlación poblacional de al menos ρ = 0.30 entre características acústicas del IDS materno (desviación estándar y media del tono fundamental, </w:t>
            </w:r>
            <w:r w:rsidRPr="0B44BD26">
              <w:rPr>
                <w:rFonts w:ascii="Avenir Next LT Pro" w:eastAsia="Avenir Next LT Pro" w:hAnsi="Avenir Next LT Pro" w:cs="Avenir Next LT Pro"/>
                <w:i/>
                <w:iCs/>
                <w:highlight w:val="white"/>
              </w:rPr>
              <w:t>f</w:t>
            </w:r>
            <w:r w:rsidRPr="0B44BD26">
              <w:rPr>
                <w:rFonts w:ascii="Avenir Next LT Pro" w:eastAsia="Avenir Next LT Pro" w:hAnsi="Avenir Next LT Pro" w:cs="Avenir Next LT Pro"/>
                <w:highlight w:val="white"/>
              </w:rPr>
              <w:t xml:space="preserve">₀ SD y </w:t>
            </w:r>
            <w:r w:rsidRPr="0B44BD26">
              <w:rPr>
                <w:rFonts w:ascii="Avenir Next LT Pro" w:eastAsia="Avenir Next LT Pro" w:hAnsi="Avenir Next LT Pro" w:cs="Avenir Next LT Pro"/>
                <w:i/>
                <w:iCs/>
                <w:highlight w:val="white"/>
              </w:rPr>
              <w:t>f</w:t>
            </w:r>
            <w:r w:rsidRPr="0B44BD26">
              <w:rPr>
                <w:rFonts w:ascii="Avenir Next LT Pro" w:eastAsia="Avenir Next LT Pro" w:hAnsi="Avenir Next LT Pro" w:cs="Avenir Next LT Pro"/>
                <w:highlight w:val="white"/>
              </w:rPr>
              <w:t xml:space="preserve">₀ mean, así como </w:t>
            </w:r>
            <w:r w:rsidRPr="0B44BD26">
              <w:rPr>
                <w:rFonts w:ascii="Avenir Next LT Pro" w:eastAsia="Avenir Next LT Pro" w:hAnsi="Avenir Next LT Pro" w:cs="Avenir Next LT Pro"/>
                <w:i/>
                <w:iCs/>
                <w:highlight w:val="white"/>
              </w:rPr>
              <w:t>D</w:t>
            </w:r>
            <w:r w:rsidRPr="0B44BD26">
              <w:rPr>
                <w:rFonts w:ascii="Avenir Next LT Pro" w:eastAsia="Avenir Next LT Pro" w:hAnsi="Avenir Next LT Pro" w:cs="Avenir Next LT Pro"/>
                <w:highlight w:val="white"/>
              </w:rPr>
              <w:t>f) y medidas del desarrollo lingüístico y musical. Dado que no existen estudios previos que hayan evaluado este efecto de forma directa, se adoptó un umbral razonable para un efecto relevante en el contexto del desarrollo infantil temprano, en línea con recomendaciones recientes sobre interpretación de tamaños del efecto</w:t>
            </w:r>
            <w:r w:rsidR="009B35E0" w:rsidRPr="0B44BD26">
              <w:rPr>
                <w:highlight w:val="white"/>
              </w:rPr>
              <w:fldChar w:fldCharType="begin"/>
            </w:r>
            <w:r w:rsidR="009B35E0" w:rsidRPr="0B44BD26">
              <w:rPr>
                <w:highlight w:val="white"/>
              </w:rPr>
              <w:instrText xml:space="preserve"> ADDIN ZOTERO_ITEM CSL_CITATION {"citationID":"KSl8f6UO","properties":{"formattedCitation":"\\super 123,124\\nosupersub{}","plainCitation":"123,124","noteIndex":0},"citationItems":[{"id":472,"uris":["http://zotero.org/users/5937427/items/QFKVEPM8"],"itemData":{"id":472,"type":"article-journal","abstract":"When designing a study, the planned sample size is often based on power analyses. One way to choose an effect size for power analyses is by relying on pilot data. A-priori power analyses are only accurate when the effect size estimate is accurate. In this paper we highlight two sources of bias when performing a-priori power analyses for between-subject designs based on pilot data. First, we examine how the choice of the effect size index (η2, ω2 and ε2) affects the sample size and power of the main study. Based on our observations, we recommend against the use of η2 in a-priori power analyses. Second, we examine how the maximum sample size researchers are willing to collect in a main study (e.g. due to time or financial constraints) leads to overestimated effect size estimates in the studies that are performed. Determining the required sample size exclusively based on the effect size estimates from pilot data, and following up on pilot studies only when the sample size estimate for the main study is considered feasible, creates what we term follow-up bias. We explain how follow-up bias leads to underpowered main studies. Our simulations show that designing main studies based on effect sizes estimated from small pilot studies does not yield desired levels of power due to accuracy bias and follow-up bias, even when publication bias is not an issue. We urge researchers to consider alternative approaches to determining the sample size of their studies, and discuss several options.","container-title":"Journal of Experimental Social Psychology","DOI":"10.1016/j.jesp.2017.09.004","ISSN":"0022-1031","journalAbbreviation":"Journal of Experimental Social Psychology","language":"en","page":"187-195","source":"ScienceDirect","title":"When power analyses based on pilot data are biased: Inaccurate effect size estimators and follow-up bias","title-short":"When power analyses based on pilot data are biased","URL":"http://www.sciencedirect.com/science/article/pii/S002210311630230X","volume":"74","author":[{"family":"Albers","given":"Casper"},{"family":"Lakens","given":"Daniël"}],"accessed":{"date-parts":[["2020",4,13]]},"issued":{"date-parts":[["2018",1,1]]},"citation-key":"albersWhenPowerAnalyses2018"}},{"id":1286,"uris":["http://zotero.org/users/5937427/items/EGUJV39P"],"itemData":{"id":1286,"type":"article-journal","abstract":"An important step when designing an empirical study is to justify the sample size that will be collected. The key aim of a sample size justification for such studies is to explain how the collected data is expected to provide valuable information given the inferential goals of the researcher. In this overview article six approaches are discussed to justify the sample size in a quantitative empirical study: 1) collecting data from (almost) the entire population, 2) choosing a sample size based on resource constraints, 3) performing an a-priori power analysis, 4) planning for a desired accuracy, 5) using heuristics, or 6) explicitly acknowledging the absence of a justification. An important question to consider when justifying sample sizes is which effect sizes are deemed interesting, and the extent to which the data that is collected informs inferences about these effect sizes. Depending on the sample size justification chosen, researchers could consider 1) what the smallest effect size of interest is, 2) which minimal effect size will be statistically significant, 3) which effect sizes they expect (and what they base these expectations on), 4) which effect sizes would be rejected based on a confidence interval around the effect size, 5) which ranges of effects a study has sufficient power to detect based on a sensitivity power analysis, and 6) which effect sizes are expected in a specific research area. Researchers can use the guidelines presented in this article, for example by using the interactive form in the accompanying online Shiny app, to improve their sample size justification, and hopefully, align the informational value of a study with their inferential goals.","container-title":"Collabra: Psychology","DOI":"10.1525/collabra.33267","ISSN":"2474-7394","issue":"1","journalAbbreviation":"Collabra: Psychology","page":"33267","source":"Silverchair","title":"Sample Size Justification","URL":"https://doi.org/10.1525/collabra.33267","volume":"8","author":[{"family":"Lakens","given":"Daniël"}],"accessed":{"date-parts":[["2022",6,1]]},"issued":{"date-parts":[["2022",3,22]]},"citation-key":"lakensSampleSizeJustification2022"}}],"schema":"https://github.com/citation-style-language/schema/raw/master/csl-citation.json"} </w:instrText>
            </w:r>
            <w:r w:rsidR="009B35E0" w:rsidRPr="0B44BD26">
              <w:rPr>
                <w:highlight w:val="white"/>
              </w:rPr>
              <w:fldChar w:fldCharType="separate"/>
            </w:r>
            <w:r w:rsidR="00892B9B" w:rsidRPr="00892B9B">
              <w:rPr>
                <w:rFonts w:ascii="Avenir Next LT Pro" w:hAnsi="Avenir Next LT Pro" w:cs="Times New Roman"/>
                <w:vertAlign w:val="superscript"/>
              </w:rPr>
              <w:t>123,124</w:t>
            </w:r>
            <w:r w:rsidR="009B35E0" w:rsidRPr="0B44BD26">
              <w:rPr>
                <w:highlight w:val="white"/>
              </w:rPr>
              <w:fldChar w:fldCharType="end"/>
            </w:r>
            <w:r w:rsidR="523531F4" w:rsidRPr="0B44BD26">
              <w:rPr>
                <w:rFonts w:ascii="Avenir Next LT Pro" w:eastAsia="Avenir Next LT Pro" w:hAnsi="Avenir Next LT Pro" w:cs="Avenir Next LT Pro"/>
                <w:highlight w:val="white"/>
                <w:lang w:val="es-ES"/>
              </w:rPr>
              <w:t>.</w:t>
            </w:r>
          </w:p>
          <w:p w14:paraId="339EAEA7" w14:textId="1FE7676E" w:rsidR="00A12F9F" w:rsidRDefault="716F452E"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En segundo lugar, se realizó un análisis de equivalencia estadística para determinar si una correlación observada puede considerarse indistinguible de cero dentro de un margen predefinido de ±0.15. Este margen se definió como umbral práctico para un efecto trivial, con base en estándares comunes para la interpretación de correlaciones pequeñas</w:t>
            </w:r>
            <w:r w:rsidR="00A12F9F" w:rsidRPr="0B44BD26">
              <w:rPr>
                <w:highlight w:val="white"/>
              </w:rPr>
              <w:fldChar w:fldCharType="begin"/>
            </w:r>
            <w:r w:rsidR="00A12F9F" w:rsidRPr="0B44BD26">
              <w:rPr>
                <w:highlight w:val="white"/>
              </w:rPr>
              <w:instrText xml:space="preserve"> ADDIN ZOTERO_ITEM CSL_CITATION {"citationID":"9lJfPHpF","properties":{"formattedCitation":"\\super 83\\nosupersub{}","plainCitation":"83","noteIndex":0},"citationItems":[{"id":2405,"uris":["http://zotero.org/users/5937427/items/EUJTFT9I"],"itemData":{"id":2405,"type":"article-journal","container-title":"Advances in Methods and Practices in Psychological Science","DOI":"10.1177/2515245918770963","ISSN":"2515-2459, 2515-2467","issue":"2","journalAbbreviation":"Advances in Methods and Practices in Psychological Science","language":"en","note":"tex.ids= lakensEquivalenceTestingPsychological2018\npublisher: SAGE Publications Inc; http://web.archive.org/web/20200414002605/https://journals.sagepub.com/doi/10.1177/2515245918770963","page":"259-269","source":"DOI.org (Crossref)","title":"Equivalence Testing for Psychological Research: A Tutorial","title-short":"Equivalence Testing for Psychological Research","URL":"http://journals.sagepub.com/doi/10.1177/2515245918770963","volume":"1","author":[{"family":"Lakens","given":"Daniël"},{"family":"Scheel","given":"Anne M."},{"family":"Isager","given":"Peder M."}],"accessed":{"date-parts":[["2020",11,30]]},"issued":{"date-parts":[["2018",6]]},"citation-key":"lakensEquivalenceTestingPsychological2018"}}],"schema":"https://github.com/citation-style-language/schema/raw/master/csl-citation.json"} </w:instrText>
            </w:r>
            <w:r w:rsidR="00A12F9F" w:rsidRPr="0B44BD26">
              <w:rPr>
                <w:highlight w:val="white"/>
              </w:rPr>
              <w:fldChar w:fldCharType="separate"/>
            </w:r>
            <w:r w:rsidR="00892B9B" w:rsidRPr="00892B9B">
              <w:rPr>
                <w:rFonts w:ascii="Avenir Next LT Pro" w:hAnsi="Avenir Next LT Pro" w:cs="Times New Roman"/>
                <w:vertAlign w:val="superscript"/>
              </w:rPr>
              <w:t>83</w:t>
            </w:r>
            <w:r w:rsidR="00A12F9F" w:rsidRPr="0B44BD26">
              <w:rPr>
                <w:highlight w:val="white"/>
              </w:rPr>
              <w:fldChar w:fldCharType="end"/>
            </w:r>
            <w:r w:rsidRPr="0B44BD26">
              <w:rPr>
                <w:rFonts w:ascii="Avenir Next LT Pro" w:eastAsia="Avenir Next LT Pro" w:hAnsi="Avenir Next LT Pro" w:cs="Avenir Next LT Pro"/>
                <w:highlight w:val="white"/>
              </w:rPr>
              <w:t>. Ambas pruebas se implementaron utilizando funciones analíticas del paquete TOSTER</w:t>
            </w:r>
            <w:r w:rsidR="00A12F9F" w:rsidRPr="0B44BD26">
              <w:rPr>
                <w:highlight w:val="white"/>
              </w:rPr>
              <w:fldChar w:fldCharType="begin"/>
            </w:r>
            <w:r w:rsidR="00244454">
              <w:rPr>
                <w:highlight w:val="white"/>
              </w:rPr>
              <w:instrText xml:space="preserve"> ADDIN ZOTERO_ITEM CSL_CITATION {"citationID":"XBXSQLO1","properties":{"formattedCitation":"\\super 125,126\\nosupersub{}","plainCitation":"125,126","noteIndex":0},"citationItems":[{"id":5814,"uris":["http://zotero.org/users/5937427/items/5UFPR3Q2"],"itemData":{"id":5814,"type":"article","abstract":"Equivalence testing is arguably under utilized by experimental researchers. Due to limited software support for such analyses, and little education on the topic in graduate programs, the utilization of equivalence testings still appares to be low. One option for equivalence testing is the use of two one-sided tests (TOST). The TOSTER R package and jamovi module, originally developed by Daniel Lakens in 2017, was created to make TOST more accessible to the average researcher. In the past two years, I have made significant changes to the TOSTER package in order to increase its accessibility and provide more robust analysis options for researchers. In this paper, I will detail the changes to the package and highlight new analysis options that will make TOST easier for the average quantitative researcher.","DOI":"10.31234/osf.io/ty8de","license":"https://creativecommons.org/licenses/by/4.0/legalcode","publisher":"Center for Open Science","source":"Crossref","title":"Exploring Equivalence Testing with the Updated TOSTER R Package","URL":"https://osf.io/ty8de","author":[{"family":"Caldwell","given":"Aaron R"}],"accessed":{"date-parts":[["2025",7,10]]},"issued":{"date-parts":[["2022",11,17]]},"citation-key":"caldwellExploringEquivalenceTesting2022"}},{"id":5816,"uris":["http://zotero.org/users/5937427/items/FY4F6DA4"],"itemData":{"id":5816,"type":"article-journal","abstract":"Scientists should be able to provide support for the absence of a meaningful effect. Currently, researchers often incorrectly conclude an effect is absent based a nonsignificant result. A widely recommended approach within a frequentist framework is to test for equivalence. In equivalence tests, such as the two one-sided tests (TOST) procedure discussed in this article, an upper and lower equivalence bound is specified based on the smallest effect size of interest. The TOST procedure can be used to statistically reject the presence of effects large enough to be considered worthwhile. This practical primer with accompanying spreadsheet and R package enables psychologists to easily perform equivalence tests (and power analyses) by setting equivalence bounds based on standardized effect sizes and provides recommendations to prespecify equivalence bounds. Extending your statistical tool kit with equivalence tests is an easy way to improve your statistical and theoretical inferences.","container-title":"Social Psychological and Personality Science","DOI":"10.1177/1948550617697177","ISSN":"1948-5506, 1948-5514","issue":"4","language":"en","license":"https://journals.sagepub.com/page/policies/text-and-data-mining-license","note":"publisher: SAGE Publications","page":"355-362","source":"Crossref","title":"Equivalence Tests: A Practical Primer for &lt;i&gt;t&lt;/i&gt; Tests, Correlations, and Meta-Analyses","title-short":"Equivalence Tests","URL":"https://journals.sagepub.com/doi/10.1177/1948550617697177","volume":"8","author":[{"family":"Lakens","given":"Daniël"}],"accessed":{"date-parts":[["2025",7,10]]},"issued":{"date-parts":[["2017",5]]},"citation-key":"lakensEquivalenceTestsPractical2017"}}],"schema":"https://github.com/citation-style-language/schema/raw/master/csl-citation.json"} </w:instrText>
            </w:r>
            <w:r w:rsidR="00A12F9F" w:rsidRPr="0B44BD26">
              <w:rPr>
                <w:highlight w:val="white"/>
              </w:rPr>
              <w:fldChar w:fldCharType="separate"/>
            </w:r>
            <w:r w:rsidR="00892B9B" w:rsidRPr="00892B9B">
              <w:rPr>
                <w:rFonts w:ascii="Avenir Next LT Pro" w:hAnsi="Avenir Next LT Pro" w:cs="Times New Roman"/>
                <w:vertAlign w:val="superscript"/>
              </w:rPr>
              <w:t>125,126</w:t>
            </w:r>
            <w:r w:rsidR="00A12F9F" w:rsidRPr="0B44BD26">
              <w:rPr>
                <w:highlight w:val="white"/>
              </w:rPr>
              <w:fldChar w:fldCharType="end"/>
            </w:r>
            <w:r w:rsidRPr="0B44BD26">
              <w:rPr>
                <w:rFonts w:ascii="Avenir Next LT Pro" w:eastAsia="Avenir Next LT Pro" w:hAnsi="Avenir Next LT Pro" w:cs="Avenir Next LT Pro"/>
                <w:highlight w:val="white"/>
              </w:rPr>
              <w:t>, y se complementaron con simulaciones Monte Carlo para estimar la probabilidad de obtener resultados concluyentes (efecto positivo, equivalencia o resultado inconcluso) bajo distintos valores poblacionales.</w:t>
            </w:r>
          </w:p>
          <w:p w14:paraId="7FF819BD" w14:textId="77777777" w:rsidR="002F37A5" w:rsidRPr="002F37A5" w:rsidRDefault="6F7CCEA7"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Este enfoque dual busca evitar la interpretación errónea de correlaciones pequeñas pero estadísticamente significativas como si fueran efectos reales o relevantes, cuando en realidad podrían ser más verosímiles bajo la hipótesis nula que bajo una hipótesis alternativa débilmente especificada. Esta precaución es especialmente importante porque, a diferencia de los métodos bayesianos, los enfoques estadísticos frecuentistas tradicionales no permiten obtener evidencia directa a favor de la hipótesis nula. En consecuencia, los resultados no significativos suelen ser poco informativos: solo indican que no se halló suficiente evidencia para rechazar la hipótesis nula, pero no implican que esta sea cierta.</w:t>
            </w:r>
          </w:p>
          <w:p w14:paraId="0CD10B09" w14:textId="40E40A2C" w:rsidR="002F37A5" w:rsidRPr="002F37A5" w:rsidRDefault="6F7CCEA7"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Las pruebas de equivalencia trascienden esta limitación, al permitir evaluar empíricamente si un efecto observado es tan pequeño que resulta estadísticamente indistinguible de cero dentro de un margen predefinido. De este modo, </w:t>
            </w:r>
            <w:r w:rsidRPr="0B44BD26">
              <w:rPr>
                <w:rFonts w:ascii="Avenir Next LT Pro" w:eastAsia="Avenir Next LT Pro" w:hAnsi="Avenir Next LT Pro" w:cs="Avenir Next LT Pro"/>
                <w:highlight w:val="white"/>
              </w:rPr>
              <w:lastRenderedPageBreak/>
              <w:t>convierten los resultados "nulos" en conclusiones informativas, aportando mayor valor interpretativo a los estudios correlacionales.</w:t>
            </w:r>
          </w:p>
          <w:p w14:paraId="37569EDD" w14:textId="1217C2E0" w:rsidR="001968BD" w:rsidRPr="001968BD" w:rsidRDefault="141FD966"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Los resultados indicaron que una muestra de 480 participantes permite alcanzar ≥ 90 % de poder para ambas pruebas (Fig. 5):</w:t>
            </w:r>
          </w:p>
          <w:p w14:paraId="11194613" w14:textId="77777777" w:rsidR="001968BD" w:rsidRPr="001968BD" w:rsidRDefault="141FD966" w:rsidP="0B44BD26">
            <w:pPr>
              <w:pStyle w:val="ListParagraph"/>
              <w:numPr>
                <w:ilvl w:val="0"/>
                <w:numId w:val="22"/>
              </w:numPr>
              <w:ind w:firstLineChars="0"/>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Detectar una correlación positiva verdadera de </w:t>
            </w:r>
            <w:r w:rsidRPr="0B44BD26">
              <w:rPr>
                <w:rFonts w:ascii="Avenir Next LT Pro" w:eastAsia="Avenir Next LT Pro" w:hAnsi="Avenir Next LT Pro" w:cs="Avenir Next LT Pro"/>
                <w:highlight w:val="white"/>
                <w:lang w:val="en-GB"/>
              </w:rPr>
              <w:t>ρ</w:t>
            </w:r>
            <w:r w:rsidRPr="0B44BD26">
              <w:rPr>
                <w:rFonts w:ascii="Avenir Next LT Pro" w:eastAsia="Avenir Next LT Pro" w:hAnsi="Avenir Next LT Pro" w:cs="Avenir Next LT Pro"/>
                <w:highlight w:val="white"/>
              </w:rPr>
              <w:t xml:space="preserve"> = 0.30.</w:t>
            </w:r>
          </w:p>
          <w:p w14:paraId="2C193297" w14:textId="6216C36C" w:rsidR="001968BD" w:rsidRPr="001968BD" w:rsidRDefault="141FD966" w:rsidP="0B44BD26">
            <w:pPr>
              <w:pStyle w:val="ListParagraph"/>
              <w:numPr>
                <w:ilvl w:val="0"/>
                <w:numId w:val="22"/>
              </w:numPr>
              <w:ind w:firstLineChars="0"/>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Concluir equivalencia con cero si la correlación observada se encuentra completamente dentro del margen de ±0.15 (con IC del 90 %).</w:t>
            </w:r>
          </w:p>
          <w:p w14:paraId="114FEC02" w14:textId="12BF095B" w:rsidR="00CB004A" w:rsidRDefault="00F007AB" w:rsidP="0B44BD26">
            <w:pPr>
              <w:ind w:left="0" w:firstLineChars="0" w:firstLine="0"/>
              <w:rPr>
                <w:rFonts w:ascii="Avenir Next LT Pro" w:eastAsia="Avenir Next LT Pro" w:hAnsi="Avenir Next LT Pro" w:cs="Avenir Next LT Pro"/>
                <w:sz w:val="14"/>
                <w:szCs w:val="14"/>
                <w:highlight w:val="white"/>
              </w:rPr>
            </w:pP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sidR="00A12F9F">
              <w:rPr>
                <w:noProof/>
                <w:highlight w:val="white"/>
                <w:lang w:val="es-ES"/>
              </w:rPr>
              <w:drawing>
                <wp:anchor distT="0" distB="0" distL="114300" distR="114300" simplePos="0" relativeHeight="251658243" behindDoc="0" locked="0" layoutInCell="1" allowOverlap="1" wp14:anchorId="1954ECD6" wp14:editId="541CD971">
                  <wp:simplePos x="0" y="0"/>
                  <wp:positionH relativeFrom="column">
                    <wp:align>left</wp:align>
                  </wp:positionH>
                  <wp:positionV relativeFrom="paragraph">
                    <wp:posOffset>20264</wp:posOffset>
                  </wp:positionV>
                  <wp:extent cx="4301490" cy="3153410"/>
                  <wp:effectExtent l="0" t="0" r="3810" b="8890"/>
                  <wp:wrapSquare wrapText="bothSides"/>
                  <wp:docPr id="462784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1981" b="3583"/>
                          <a:stretch>
                            <a:fillRect/>
                          </a:stretch>
                        </pic:blipFill>
                        <pic:spPr bwMode="auto">
                          <a:xfrm>
                            <a:off x="0" y="0"/>
                            <a:ext cx="4301490" cy="3153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23531F4" w:rsidRPr="0B44BD26">
              <w:rPr>
                <w:rFonts w:ascii="Avenir Next LT Pro" w:eastAsia="Avenir Next LT Pro" w:hAnsi="Avenir Next LT Pro" w:cs="Avenir Next LT Pro"/>
                <w:i/>
                <w:iCs/>
                <w:sz w:val="14"/>
                <w:szCs w:val="14"/>
                <w:highlight w:val="white"/>
              </w:rPr>
              <w:t xml:space="preserve">Figura </w:t>
            </w:r>
            <w:r w:rsidR="523531F4" w:rsidRPr="0B44BD26">
              <w:rPr>
                <w:rFonts w:ascii="Avenir Next LT Pro" w:eastAsia="Avenir Next LT Pro" w:hAnsi="Avenir Next LT Pro" w:cs="Avenir Next LT Pro"/>
                <w:i/>
                <w:iCs/>
                <w:sz w:val="14"/>
                <w:szCs w:val="14"/>
                <w:highlight w:val="white"/>
                <w:lang w:val="es-CO"/>
              </w:rPr>
              <w:t>5</w:t>
            </w:r>
            <w:r w:rsidR="523531F4" w:rsidRPr="0B44BD26">
              <w:rPr>
                <w:rFonts w:ascii="Avenir Next LT Pro" w:eastAsia="Avenir Next LT Pro" w:hAnsi="Avenir Next LT Pro" w:cs="Avenir Next LT Pro"/>
                <w:sz w:val="14"/>
                <w:szCs w:val="14"/>
                <w:highlight w:val="white"/>
              </w:rPr>
              <w:t xml:space="preserve">. </w:t>
            </w:r>
            <w:r w:rsidR="523531F4" w:rsidRPr="0B44BD26">
              <w:rPr>
                <w:rFonts w:ascii="Avenir Next LT Pro" w:eastAsia="Avenir Next LT Pro" w:hAnsi="Avenir Next LT Pro" w:cs="Avenir Next LT Pro"/>
                <w:sz w:val="14"/>
                <w:szCs w:val="14"/>
              </w:rPr>
              <w:t>Curvas de poder para detectar una correlación positiva (línea gris) y para concluir equivalencia estadística con cero (línea roja) según el tamaño muestral. Las líneas horizontales punteadas representan los umbrales de poder del 80 % y 90 %. Las líneas verticales punteadas indican el tamaño muestral requerido para alcanzar un poder de1 − β = 0.9.</w:t>
            </w:r>
          </w:p>
          <w:p w14:paraId="764F7220" w14:textId="57BA57F9" w:rsidR="00CB004A" w:rsidRDefault="4D85B47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Las probabilidades de obtener cada tipo de resultado (efecto positivo, equivalencia o resultado inconcluso) según el valor poblacional verdadero se ilustran en la Figura 6</w:t>
            </w:r>
            <w:r w:rsidR="523531F4" w:rsidRPr="0B44BD26">
              <w:rPr>
                <w:rFonts w:ascii="Avenir Next LT Pro" w:eastAsia="Avenir Next LT Pro" w:hAnsi="Avenir Next LT Pro" w:cs="Avenir Next LT Pro"/>
                <w:highlight w:val="white"/>
              </w:rPr>
              <w:t>.</w:t>
            </w:r>
          </w:p>
          <w:p w14:paraId="3A65F889" w14:textId="14BBA266" w:rsidR="00A445E5" w:rsidRDefault="523531F4" w:rsidP="0B44BD26">
            <w:pPr>
              <w:ind w:left="0" w:firstLineChars="0" w:firstLine="0"/>
              <w:rPr>
                <w:rFonts w:ascii="Avenir Next LT Pro" w:eastAsia="Avenir Next LT Pro" w:hAnsi="Avenir Next LT Pro" w:cs="Avenir Next LT Pro"/>
                <w:sz w:val="14"/>
                <w:szCs w:val="14"/>
              </w:rPr>
            </w:pPr>
            <w:r>
              <w:rPr>
                <w:noProof/>
              </w:rPr>
              <w:drawing>
                <wp:inline distT="0" distB="0" distL="0" distR="0" wp14:anchorId="4957D4D3" wp14:editId="487F3317">
                  <wp:extent cx="6283960" cy="2294255"/>
                  <wp:effectExtent l="0" t="0" r="2540" b="0"/>
                  <wp:docPr id="54534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3688" name=""/>
                          <pic:cNvPicPr/>
                        </pic:nvPicPr>
                        <pic:blipFill>
                          <a:blip r:embed="rId18"/>
                          <a:stretch>
                            <a:fillRect/>
                          </a:stretch>
                        </pic:blipFill>
                        <pic:spPr>
                          <a:xfrm>
                            <a:off x="0" y="0"/>
                            <a:ext cx="6283960" cy="2294255"/>
                          </a:xfrm>
                          <a:prstGeom prst="rect">
                            <a:avLst/>
                          </a:prstGeom>
                        </pic:spPr>
                      </pic:pic>
                    </a:graphicData>
                  </a:graphic>
                </wp:inline>
              </w:drawing>
            </w:r>
            <w:r w:rsidRPr="0B44BD26">
              <w:rPr>
                <w:rFonts w:ascii="Avenir Next LT Pro" w:eastAsia="Avenir Next LT Pro" w:hAnsi="Avenir Next LT Pro" w:cs="Avenir Next LT Pro"/>
                <w:i/>
                <w:iCs/>
                <w:sz w:val="14"/>
                <w:szCs w:val="14"/>
                <w:highlight w:val="white"/>
              </w:rPr>
              <w:t>Figura 6</w:t>
            </w:r>
            <w:r w:rsidRPr="0B44BD26">
              <w:rPr>
                <w:rFonts w:ascii="Avenir Next LT Pro" w:eastAsia="Avenir Next LT Pro" w:hAnsi="Avenir Next LT Pro" w:cs="Avenir Next LT Pro"/>
                <w:sz w:val="14"/>
                <w:szCs w:val="14"/>
                <w:highlight w:val="white"/>
              </w:rPr>
              <w:t>.</w:t>
            </w:r>
            <w:r w:rsidRPr="0B44BD26">
              <w:rPr>
                <w:rFonts w:ascii="Avenir Next LT Pro" w:eastAsia="Avenir Next LT Pro" w:hAnsi="Avenir Next LT Pro" w:cs="Avenir Next LT Pro"/>
                <w:sz w:val="14"/>
                <w:szCs w:val="14"/>
              </w:rPr>
              <w:t xml:space="preserve"> Análisis de poder para detectar o rechazar una correlación de ρ = 0.30. (A) Correlaciones observadas simuladas asumiendo que el valor poblacional verdadero es ρ = 0 (es decir, bajo la hipótesis nula). Las barras naranjas indican casos en los que el intervalo de confianza (IC) del 90 % cae completamente dentro de los límites de equivalencia (±0.15), permitiendo concluir equivalencia. Las barras grises representan resultados inconclusos. (B) Correlaciones observadas simuladas asumiendo que la correlación poblacional verdadera es ρ = 0.3. Las barras verdes indican efectos positivos claros (el límite inferior del IC del 90 % &gt; 0.15), las rojas muestran resultados no significativos (el IC incluye el 0) y las grises representan resultados inconclusos (el IC está completamente por encima de 0 pero dentro de los límites de equivalencia). En ambos paneles, la banda sombreada y la etiqueta Equivalente a 0 indican la región definida por los límites de equivalencia, y los porcentajes de probabilidad de cada resultado se muestran en el margen izquierdo.</w:t>
            </w:r>
          </w:p>
          <w:p w14:paraId="4A93E5A6" w14:textId="62CF0126" w:rsidR="00485542" w:rsidRPr="00485542" w:rsidRDefault="13ECB3CB"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Instrumentos:</w:t>
            </w:r>
          </w:p>
          <w:p w14:paraId="67C7D991" w14:textId="05FD4961" w:rsidR="00511A05" w:rsidRDefault="15A839FC"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 xml:space="preserve">Para medir habilidades musicales y lingüísticas, se usarán </w:t>
            </w:r>
            <w:r w:rsidR="013EBA13" w:rsidRPr="0B44BD26">
              <w:rPr>
                <w:rFonts w:ascii="Avenir Next LT Pro" w:eastAsia="Avenir Next LT Pro" w:hAnsi="Avenir Next LT Pro" w:cs="Avenir Next LT Pro"/>
                <w:highlight w:val="white"/>
                <w:lang w:val="es-ES"/>
              </w:rPr>
              <w:t xml:space="preserve">las versiones apropiadas del </w:t>
            </w:r>
            <w:r w:rsidR="4C4AA079" w:rsidRPr="0B44BD26">
              <w:rPr>
                <w:rFonts w:ascii="Avenir Next LT Pro" w:eastAsia="Avenir Next LT Pro" w:hAnsi="Avenir Next LT Pro" w:cs="Avenir Next LT Pro"/>
                <w:i/>
                <w:iCs/>
                <w:lang w:val="es-ES"/>
              </w:rPr>
              <w:t xml:space="preserve">MacArthur-Bates </w:t>
            </w:r>
            <w:proofErr w:type="spellStart"/>
            <w:r w:rsidR="4C4AA079" w:rsidRPr="0B44BD26">
              <w:rPr>
                <w:rFonts w:ascii="Avenir Next LT Pro" w:eastAsia="Avenir Next LT Pro" w:hAnsi="Avenir Next LT Pro" w:cs="Avenir Next LT Pro"/>
                <w:i/>
                <w:iCs/>
                <w:lang w:val="es-ES"/>
              </w:rPr>
              <w:t>Communicative</w:t>
            </w:r>
            <w:proofErr w:type="spellEnd"/>
            <w:r w:rsidR="4C4AA079" w:rsidRPr="0B44BD26">
              <w:rPr>
                <w:rFonts w:ascii="Avenir Next LT Pro" w:eastAsia="Avenir Next LT Pro" w:hAnsi="Avenir Next LT Pro" w:cs="Avenir Next LT Pro"/>
                <w:i/>
                <w:iCs/>
                <w:lang w:val="es-ES"/>
              </w:rPr>
              <w:t xml:space="preserve"> </w:t>
            </w:r>
            <w:proofErr w:type="spellStart"/>
            <w:r w:rsidR="4C4AA079" w:rsidRPr="0B44BD26">
              <w:rPr>
                <w:rFonts w:ascii="Avenir Next LT Pro" w:eastAsia="Avenir Next LT Pro" w:hAnsi="Avenir Next LT Pro" w:cs="Avenir Next LT Pro"/>
                <w:i/>
                <w:iCs/>
                <w:lang w:val="es-ES"/>
              </w:rPr>
              <w:t>Development</w:t>
            </w:r>
            <w:proofErr w:type="spellEnd"/>
            <w:r w:rsidR="4C4AA079" w:rsidRPr="0B44BD26">
              <w:rPr>
                <w:rFonts w:ascii="Avenir Next LT Pro" w:eastAsia="Avenir Next LT Pro" w:hAnsi="Avenir Next LT Pro" w:cs="Avenir Next LT Pro"/>
                <w:i/>
                <w:iCs/>
                <w:lang w:val="es-ES"/>
              </w:rPr>
              <w:t xml:space="preserve"> </w:t>
            </w:r>
            <w:proofErr w:type="spellStart"/>
            <w:r w:rsidR="4C4AA079" w:rsidRPr="0B44BD26">
              <w:rPr>
                <w:rFonts w:ascii="Avenir Next LT Pro" w:eastAsia="Avenir Next LT Pro" w:hAnsi="Avenir Next LT Pro" w:cs="Avenir Next LT Pro"/>
                <w:i/>
                <w:iCs/>
                <w:lang w:val="es-ES"/>
              </w:rPr>
              <w:t>Inventory</w:t>
            </w:r>
            <w:proofErr w:type="spellEnd"/>
            <w:r w:rsidR="013EBA13" w:rsidRPr="0B44BD26">
              <w:rPr>
                <w:rFonts w:ascii="Avenir Next LT Pro" w:eastAsia="Avenir Next LT Pro" w:hAnsi="Avenir Next LT Pro" w:cs="Avenir Next LT Pro"/>
                <w:highlight w:val="white"/>
                <w:lang w:val="es-ES"/>
              </w:rPr>
              <w:t xml:space="preserve"> </w:t>
            </w:r>
            <w:r w:rsidR="055ED690" w:rsidRPr="0B44BD26">
              <w:rPr>
                <w:rFonts w:ascii="Avenir Next LT Pro" w:eastAsia="Avenir Next LT Pro" w:hAnsi="Avenir Next LT Pro" w:cs="Avenir Next LT Pro"/>
                <w:highlight w:val="white"/>
                <w:lang w:val="es-ES"/>
              </w:rPr>
              <w:t>(</w:t>
            </w:r>
            <w:r w:rsidR="013EBA13" w:rsidRPr="0B44BD26">
              <w:rPr>
                <w:rFonts w:ascii="Avenir Next LT Pro" w:eastAsia="Avenir Next LT Pro" w:hAnsi="Avenir Next LT Pro" w:cs="Avenir Next LT Pro"/>
                <w:highlight w:val="white"/>
                <w:lang w:val="es-ES"/>
              </w:rPr>
              <w:t>CDI</w:t>
            </w:r>
            <w:r w:rsidR="00073682" w:rsidRPr="0B44BD26">
              <w:rPr>
                <w:highlight w:val="white"/>
                <w:lang w:val="es-ES"/>
              </w:rPr>
              <w:fldChar w:fldCharType="begin"/>
            </w:r>
            <w:r w:rsidR="00073682" w:rsidRPr="0B44BD26">
              <w:rPr>
                <w:highlight w:val="white"/>
                <w:lang w:val="es-ES"/>
              </w:rPr>
              <w:instrText xml:space="preserve"> ADDIN ZOTERO_ITEM CSL_CITATION {"citationID":"568XEyxf","properties":{"formattedCitation":"\\super 127\\nosupersub{}","plainCitation":"127","noteIndex":0},"citationItems":[{"id":5802,"uris":["http://zotero.org/users/5937427/items/VQLSHJKE"],"itemData":{"id":5802,"type":"article-journal","abstract":"The present study investigated the validity of the MacArthur—Bates Communicative Development Inventory (CDI) for a group of toddlers 30 months of age. Study 1 examined the concurrent validity of the CDI for a group of 38 late talkers. Significant correlations were found between the CDI and direct measures of language abilities. Study 2 used likelihood ratio analysis to determine how well the CDI sorted 100 toddlers (38 late talkers and 62 children with a history of normal language development) according to language status based on direct assessment measures. The analyses showed that the CDI was effective in identifying children with low language skills up to the 11th percentile and in identifying children with normal language skills above the 49th percentile.","container-title":"American Journal of Speech-Language Pathology","DOI":"10.1044/1058-0360(2005/006)","issue":"1","note":"publisher: American Speech-Language-Hearing Association","page":"40-51","source":"pubs.asha.org (Atypon)","title":"Utility of the MacArthur—Bates Communicative Development Inventory in Identifying Language Abilities of Late-Talking and Typically Developing Toddlers","URL":"https://pubs.asha.org/doi/abs/10.1044/1058-0360%282005/006%29","volume":"14","author":[{"family":"Heilmann","given":"John"},{"family":"Weismer","given":"Susan Ellis"},{"family":"Evans","given":"Julia"},{"family":"Hollar","given":"Christine"}],"accessed":{"date-parts":[["2025",7,10]]},"issued":{"date-parts":[["2005",2]]},"citation-key":"heilmannUtilityMacArthurBates2005"}}],"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127</w:t>
            </w:r>
            <w:r w:rsidR="00073682" w:rsidRPr="0B44BD26">
              <w:rPr>
                <w:highlight w:val="white"/>
                <w:lang w:val="es-ES"/>
              </w:rPr>
              <w:fldChar w:fldCharType="end"/>
            </w:r>
            <w:r w:rsidR="055ED690" w:rsidRPr="0B44BD26">
              <w:rPr>
                <w:rFonts w:ascii="Avenir Next LT Pro" w:eastAsia="Avenir Next LT Pro" w:hAnsi="Avenir Next LT Pro" w:cs="Avenir Next LT Pro"/>
                <w:highlight w:val="white"/>
                <w:lang w:val="es-ES"/>
              </w:rPr>
              <w:t>)</w:t>
            </w:r>
            <w:r w:rsidR="0CA26965" w:rsidRPr="0B44BD26">
              <w:rPr>
                <w:rFonts w:ascii="Avenir Next LT Pro" w:eastAsia="Avenir Next LT Pro" w:hAnsi="Avenir Next LT Pro" w:cs="Avenir Next LT Pro"/>
                <w:highlight w:val="white"/>
                <w:lang w:val="es-ES"/>
              </w:rPr>
              <w:t xml:space="preserve">, dada su utilidad para </w:t>
            </w:r>
            <w:r w:rsidR="3681E4AC" w:rsidRPr="0B44BD26">
              <w:rPr>
                <w:rFonts w:ascii="Avenir Next LT Pro" w:eastAsia="Avenir Next LT Pro" w:hAnsi="Avenir Next LT Pro" w:cs="Avenir Next LT Pro"/>
                <w:highlight w:val="white"/>
                <w:lang w:val="es-ES"/>
              </w:rPr>
              <w:t>identificar habilidades lingüísticas</w:t>
            </w:r>
            <w:r w:rsidR="1004142C" w:rsidRPr="0B44BD26">
              <w:rPr>
                <w:rFonts w:ascii="Avenir Next LT Pro" w:eastAsia="Avenir Next LT Pro" w:hAnsi="Avenir Next LT Pro" w:cs="Avenir Next LT Pro"/>
                <w:highlight w:val="white"/>
                <w:lang w:val="es-ES"/>
              </w:rPr>
              <w:t>,</w:t>
            </w:r>
            <w:r w:rsidR="013EBA13" w:rsidRPr="0B44BD26">
              <w:rPr>
                <w:rFonts w:ascii="Avenir Next LT Pro" w:eastAsia="Avenir Next LT Pro" w:hAnsi="Avenir Next LT Pro" w:cs="Avenir Next LT Pro"/>
                <w:highlight w:val="white"/>
                <w:lang w:val="es-ES"/>
              </w:rPr>
              <w:t xml:space="preserve"> y</w:t>
            </w:r>
            <w:r w:rsidR="0CA26965" w:rsidRPr="0B44BD26">
              <w:rPr>
                <w:rFonts w:ascii="Avenir Next LT Pro" w:eastAsia="Avenir Next LT Pro" w:hAnsi="Avenir Next LT Pro" w:cs="Avenir Next LT Pro"/>
                <w:highlight w:val="white"/>
                <w:lang w:val="es-ES"/>
              </w:rPr>
              <w:t xml:space="preserve"> </w:t>
            </w:r>
            <w:r w:rsidR="72F33345" w:rsidRPr="0B44BD26">
              <w:rPr>
                <w:rFonts w:ascii="Avenir Next LT Pro" w:eastAsia="Avenir Next LT Pro" w:hAnsi="Avenir Next LT Pro" w:cs="Avenir Next LT Pro"/>
                <w:highlight w:val="white"/>
                <w:lang w:val="es-ES"/>
              </w:rPr>
              <w:t>del recientemente desarrollado</w:t>
            </w:r>
            <w:r w:rsidR="0CA26965" w:rsidRPr="0B44BD26">
              <w:rPr>
                <w:rFonts w:ascii="Avenir Next LT Pro" w:eastAsia="Avenir Next LT Pro" w:hAnsi="Avenir Next LT Pro" w:cs="Avenir Next LT Pro"/>
                <w:highlight w:val="white"/>
                <w:lang w:val="es-ES"/>
              </w:rPr>
              <w:t xml:space="preserve"> cuestionario</w:t>
            </w:r>
            <w:r w:rsidR="013EBA13" w:rsidRPr="0B44BD26">
              <w:rPr>
                <w:rFonts w:ascii="Avenir Next LT Pro" w:eastAsia="Avenir Next LT Pro" w:hAnsi="Avenir Next LT Pro" w:cs="Avenir Next LT Pro"/>
                <w:highlight w:val="white"/>
                <w:lang w:val="es-ES"/>
              </w:rPr>
              <w:t xml:space="preserve"> </w:t>
            </w:r>
            <w:proofErr w:type="spellStart"/>
            <w:r w:rsidR="013EBA13" w:rsidRPr="0B44BD26">
              <w:rPr>
                <w:rFonts w:ascii="Avenir Next LT Pro" w:eastAsia="Avenir Next LT Pro" w:hAnsi="Avenir Next LT Pro" w:cs="Avenir Next LT Pro"/>
                <w:i/>
                <w:iCs/>
                <w:highlight w:val="white"/>
                <w:lang w:val="es-ES"/>
              </w:rPr>
              <w:t>Music@Home</w:t>
            </w:r>
            <w:proofErr w:type="spellEnd"/>
            <w:r w:rsidR="00073682" w:rsidRPr="0B44BD26">
              <w:rPr>
                <w:highlight w:val="white"/>
                <w:lang w:val="es-ES"/>
              </w:rPr>
              <w:fldChar w:fldCharType="begin"/>
            </w:r>
            <w:r w:rsidR="00073682" w:rsidRPr="0B44BD26">
              <w:rPr>
                <w:highlight w:val="white"/>
                <w:lang w:val="es-ES"/>
              </w:rPr>
              <w:instrText xml:space="preserve"> ADDIN ZOTERO_ITEM CSL_CITATION {"citationID":"XNUNr5Q2","properties":{"formattedCitation":"\\super 128,129\\nosupersub{}","plainCitation":"128,129","noteIndex":0},"citationItems":[{"id":5803,"uris":["http://zotero.org/users/5937427/items/L6ETU2SE"],"itemData":{"id":5803,"type":"article-journal","abstract":"The majority of children under the age of 5 appear to show spontaneous enjoyment of singing, being exposed to music and interacting with musical instruments, but whether variations in engaging in such activities in the home could contribute to developmental outcomes is still largely unknown. Critically, researchers lack a comprehensive instrument with good psychometric properties to assess the home musical environment from infancy to the preschool years. To address this gap, this paper presents two studies that describe the development and validation of the Music@Home questionnaire, which comprises two versions: Infant and Preschool. In Study 1, an initial pool of items was generated and administered to a wide audience of parents (n = 287 for the Infant, n = 347 for the Preschool version). Exploratory factor analysis was used to identify different dimensions comprising the home musical environment of both infants and pre-schoolers, and to reduce the initial pool of items to a smaller number of meaningful items. In Study 2, convergent and divergent validity and internal and test-retest reliability of the new instrument were established, using data from a different sample of participants (n = 213 for the Infant, n = 213 for the Preschool version). The second study also investigated associations between the Music@Home and musical characteristics of the parents, such as their musical education and personal engagement with music. Overall, the Music@Home constitutes a novel, valid and reliable instrument that allows for the systematic assessment of distinct aspects of the home musical environment in families with children under the age of 5. Furthermore, the Infant and Preschool versions of the Music@Home present differential associations with musical characteristics of the parents opening a new area of inquiry into how musical exposure and interaction in the home may vary across different developmental stages.","container-title":"PLOS ONE","DOI":"10.1371/journal.pone.0193819","ISSN":"1932-6203","issue":"4","journalAbbreviation":"PLOS ONE","language":"en","note":"publisher: Public Library of Science","page":"e0193819","source":"PLoS Journals","title":"Music@Home: A novel instrument to assess the home musical environment in the early years","title-short":"Music@Home","URL":"https://journals.plos.org/plosone/article?id=10.1371/journal.pone.0193819","volume":"13","author":[{"family":"Politimou","given":"Nina"},{"family":"Stewart","given":"Lauren"},{"family":"Müllensiefen","given":"Daniel"},{"family":"Franco","given":"Fabia"}],"accessed":{"date-parts":[["2025",7,10]]},"issued":{"date-parts":[["2018",4,11]]},"citation-key":"politimouMusicHomeNovelInstrument2018"}},{"id":5811,"uris":["http://zotero.org/users/5937427/items/F26TJDWG"],"itemData":{"id":5811,"type":"article-journal","abstract":"Early home musical environments can significantly impact sensory, cognitive, and socioemotional development. While longitudinal studies may be resource-intensive, retrospective reports are a relatively quick and inexpensive way to examine associations between early home musical environments and adult outcomes. We present the Music@Home–Retrospective scale, derived partly from the Music@Home–Preschool scale (Politimou et al., 2018), to retrospectively assess the childhood home musical environment. In two studies (total n = 578), we conducted an exploratory factor analysis (Study 1) and confirmatory factor analysis (Study 2) on items, including many adapted from the Music@Home–Preschool scale. This revealed a 20-item solution with five subscales. Items retained for three subscales (Caregiver Beliefs, Caregiver Initiation of Singing, Child Engagement with Music) load identically to three in the Music@Home-–Preschool Scale. We also identified two additional dimensions of the childhood home musical environment. The Attitude Toward Childhood Home Musical Environment subscale captures participants’ current adult attitudes toward their childhood home musical environment, and the Social Listening Contexts subscale indexes the degree to which participants listened to music at home with others (i.e., friends, siblings, and caregivers). Music@Home–Retrospective scores were related to adult self-reports of musicality, performance on a melodic perception task, and self-reports of well-being, demonstrating utility in measuring the early home music environment as captured through this scale. The Music@Home–Retrospective scale is freely available to enable future investigations exploring how the early home musical environment relates to adult cognition, affect, and behavior.","container-title":"Behavior Research Methods","DOI":"10.3758/s13428-024-02469-2","ISSN":"1554-3528","issue":"7","journalAbbreviation":"Behav Res","language":"en","page":"8038-8056","source":"Springer Link","title":"Music@Home–Retrospective: A new measure to retrospectively assess childhood home musical environments","title-short":"Music@Home–Retrospective","URL":"https://doi.org/10.3758/s13428-024-02469-2","volume":"56","author":[{"family":"Kathios","given":"Nicholas"},{"family":"Lopez","given":"Kelsie L."},{"family":"Gabard-Durnam","given":"Laurel Joy"},{"family":"Loui","given":"Psyche"}],"accessed":{"date-parts":[["2025",7,10]]},"issued":{"date-parts":[["2024",10,1]]},"citation-key":"kathiosMusicHomeRetrospectiveNewMeasure2024"}}],"schema":"https://github.com/citation-style-language/schema/raw/master/csl-citation.json"}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128,129</w:t>
            </w:r>
            <w:r w:rsidR="00073682" w:rsidRPr="0B44BD26">
              <w:rPr>
                <w:highlight w:val="white"/>
                <w:lang w:val="es-ES"/>
              </w:rPr>
              <w:fldChar w:fldCharType="end"/>
            </w:r>
            <w:r w:rsidR="1B66A163" w:rsidRPr="0B44BD26">
              <w:rPr>
                <w:rFonts w:ascii="Avenir Next LT Pro" w:eastAsia="Avenir Next LT Pro" w:hAnsi="Avenir Next LT Pro" w:cs="Avenir Next LT Pro"/>
                <w:highlight w:val="white"/>
                <w:lang w:val="es-ES"/>
              </w:rPr>
              <w:t xml:space="preserve">. Dado que de ambas pruebas hay versiones para </w:t>
            </w:r>
            <w:r w:rsidR="7FEF8966" w:rsidRPr="0B44BD26">
              <w:rPr>
                <w:rFonts w:ascii="Avenir Next LT Pro" w:eastAsia="Avenir Next LT Pro" w:hAnsi="Avenir Next LT Pro" w:cs="Avenir Next LT Pro"/>
                <w:highlight w:val="white"/>
                <w:lang w:val="es-ES"/>
              </w:rPr>
              <w:t xml:space="preserve">diferentes </w:t>
            </w:r>
            <w:r w:rsidR="62BC722B" w:rsidRPr="0B44BD26">
              <w:rPr>
                <w:rFonts w:ascii="Avenir Next LT Pro" w:eastAsia="Avenir Next LT Pro" w:hAnsi="Avenir Next LT Pro" w:cs="Avenir Next LT Pro"/>
                <w:highlight w:val="white"/>
                <w:lang w:val="es-ES"/>
              </w:rPr>
              <w:t>etapas</w:t>
            </w:r>
            <w:r w:rsidR="7FEF8966" w:rsidRPr="0B44BD26">
              <w:rPr>
                <w:rFonts w:ascii="Avenir Next LT Pro" w:eastAsia="Avenir Next LT Pro" w:hAnsi="Avenir Next LT Pro" w:cs="Avenir Next LT Pro"/>
                <w:highlight w:val="white"/>
                <w:lang w:val="es-ES"/>
              </w:rPr>
              <w:t xml:space="preserve"> del desarrollo, se escogieron </w:t>
            </w:r>
            <w:r w:rsidR="62BC722B" w:rsidRPr="0B44BD26">
              <w:rPr>
                <w:rFonts w:ascii="Avenir Next LT Pro" w:eastAsia="Avenir Next LT Pro" w:hAnsi="Avenir Next LT Pro" w:cs="Avenir Next LT Pro"/>
                <w:highlight w:val="white"/>
                <w:lang w:val="es-ES"/>
              </w:rPr>
              <w:t xml:space="preserve">el </w:t>
            </w:r>
            <w:r w:rsidR="62BC722B" w:rsidRPr="0B44BD26">
              <w:rPr>
                <w:rFonts w:ascii="Avenir Next LT Pro" w:eastAsia="Avenir Next LT Pro" w:hAnsi="Avenir Next LT Pro" w:cs="Avenir Next LT Pro"/>
                <w:i/>
                <w:iCs/>
                <w:highlight w:val="white"/>
                <w:lang w:val="es-ES"/>
              </w:rPr>
              <w:t>CDI 2 – palabras y enunciados</w:t>
            </w:r>
            <w:r w:rsidR="055ED690" w:rsidRPr="0B44BD26">
              <w:rPr>
                <w:rFonts w:ascii="Avenir Next LT Pro" w:eastAsia="Avenir Next LT Pro" w:hAnsi="Avenir Next LT Pro" w:cs="Avenir Next LT Pro"/>
                <w:highlight w:val="white"/>
                <w:lang w:val="es-ES"/>
              </w:rPr>
              <w:t xml:space="preserve">, </w:t>
            </w:r>
            <w:r w:rsidR="651ABF22" w:rsidRPr="0B44BD26">
              <w:rPr>
                <w:rFonts w:ascii="Avenir Next LT Pro" w:eastAsia="Avenir Next LT Pro" w:hAnsi="Avenir Next LT Pro" w:cs="Avenir Next LT Pro"/>
                <w:highlight w:val="white"/>
                <w:lang w:val="es-ES"/>
              </w:rPr>
              <w:t xml:space="preserve">apto para niñas y niños entre 16 y </w:t>
            </w:r>
            <w:r w:rsidR="2BB3ECDA" w:rsidRPr="0B44BD26">
              <w:rPr>
                <w:rFonts w:ascii="Avenir Next LT Pro" w:eastAsia="Avenir Next LT Pro" w:hAnsi="Avenir Next LT Pro" w:cs="Avenir Next LT Pro"/>
                <w:highlight w:val="white"/>
                <w:lang w:val="es-ES"/>
              </w:rPr>
              <w:t>23</w:t>
            </w:r>
            <w:r w:rsidR="651ABF22" w:rsidRPr="0B44BD26">
              <w:rPr>
                <w:rFonts w:ascii="Avenir Next LT Pro" w:eastAsia="Avenir Next LT Pro" w:hAnsi="Avenir Next LT Pro" w:cs="Avenir Next LT Pro"/>
                <w:highlight w:val="white"/>
                <w:lang w:val="es-ES"/>
              </w:rPr>
              <w:t xml:space="preserve"> meses de edad</w:t>
            </w:r>
            <w:r w:rsidR="6FB9F462" w:rsidRPr="0B44BD26">
              <w:rPr>
                <w:rFonts w:ascii="Avenir Next LT Pro" w:eastAsia="Avenir Next LT Pro" w:hAnsi="Avenir Next LT Pro" w:cs="Avenir Next LT Pro"/>
                <w:highlight w:val="white"/>
                <w:lang w:val="es-ES"/>
              </w:rPr>
              <w:t>, validado tanto al español</w:t>
            </w:r>
            <w:r w:rsidR="00073682" w:rsidRPr="0B44BD26">
              <w:rPr>
                <w:highlight w:val="white"/>
                <w:lang w:val="es-ES"/>
              </w:rPr>
              <w:fldChar w:fldCharType="begin"/>
            </w:r>
            <w:r w:rsidR="00073682" w:rsidRPr="0B44BD26">
              <w:rPr>
                <w:highlight w:val="white"/>
                <w:lang w:val="es-ES"/>
              </w:rPr>
              <w:instrText xml:space="preserve"> ADDIN ZOTERO_ITEM CSL_CITATION {"citationID":"IDXP7xLF","properties":{"formattedCitation":"\\super 130\\nosupersub{}","plainCitation":"130","noteIndex":0},"citationItems":[{"id":5810,"uris":["http://zotero.org/users/5937427/items/8XCQYDM4"],"itemData":{"id":5810,"type":"article-journal","abstract":"The Spanish-language MacArthur–Bates Communicative Development Inventories (S-CDIs) are well-established parent report tools for assessing the language development of Spanish-speaking children under 3 years. Here, we introduce the short-form versions of the S-CDIs (SFI and SFII), offered as alternatives to the long forms for screening purposes or in applications requiring a less-demanding instrument. Norming data (SFI: n = 601; SFII: n = 2,534) from diverse populations in Mexico are described. Developmental trends, gender differences, and socioeconomic status effects are reported that parallel those for the long forms. An additional small-scale study (n = 62) demonstrates strong convergence between responses on the long and the short forms. These results provide evidence that the S-CDI SFs have promise for a range of clinical and research applications.","container-title":"Applied Psycholinguistics","DOI":"10.1017/S0142716412000045","ISSN":"0142-7164, 1469-1817","issue":"4","language":"en","page":"837-868","source":"Cambridge University Press","title":"Short-form versions of the Spanish MacArthur–Bates Communicative Development Inventories","URL":"https://www.cambridge.org/core/journals/applied-psycholinguistics/article/abs/shortform-versions-of-the-spanish-macarthurbates-communicative-development-inventories/5DA69B6F76B68D6C1558E97771CE01B0","volume":"34","author":[{"family":"Jackson-Maldonado","given":"Donna"},{"family":"Marchman","given":"Virginia A."},{"family":"Fernald","given":"Lia C. H."}],"accessed":{"date-parts":[["2025",7,10]]},"issued":{"date-parts":[["2013",7]]},"citation-key":"jackson-maldonadoShortformVersionsSpanish2013"}}],"schema":"https://github.com/citation-style-language/schema/raw/master/csl-citation.json"}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130</w:t>
            </w:r>
            <w:r w:rsidR="00073682" w:rsidRPr="0B44BD26">
              <w:rPr>
                <w:highlight w:val="white"/>
                <w:lang w:val="es-ES"/>
              </w:rPr>
              <w:fldChar w:fldCharType="end"/>
            </w:r>
            <w:r w:rsidR="6FB9F462" w:rsidRPr="0B44BD26">
              <w:rPr>
                <w:rFonts w:ascii="Avenir Next LT Pro" w:eastAsia="Avenir Next LT Pro" w:hAnsi="Avenir Next LT Pro" w:cs="Avenir Next LT Pro"/>
                <w:highlight w:val="white"/>
                <w:lang w:val="es-ES"/>
              </w:rPr>
              <w:t xml:space="preserve"> como a población colombiana</w:t>
            </w:r>
            <w:r w:rsidR="00073682" w:rsidRPr="0B44BD26">
              <w:rPr>
                <w:highlight w:val="white"/>
                <w:lang w:val="es-ES"/>
              </w:rPr>
              <w:fldChar w:fldCharType="begin"/>
            </w:r>
            <w:r w:rsidR="00073682" w:rsidRPr="0B44BD26">
              <w:rPr>
                <w:highlight w:val="white"/>
                <w:lang w:val="es-ES"/>
              </w:rPr>
              <w:instrText xml:space="preserve"> ADDIN ZOTERO_ITEM CSL_CITATION {"citationID":"ON1uXmXZ","properties":{"formattedCitation":"\\super 131\\nosupersub{}","plainCitation":"131","noteIndex":0},"citationItems":[{"id":5806,"uris":["http://zotero.org/users/5937427/items/L5L8FF98"],"itemData":{"id":5806,"type":"article-journal","container-title":"Revista Latinoamericana de Psicología","ISSN":"0120-0534","issue":"2","language":"es","note":"publisher: Fundación Universitaria Konrad Lorenz","page":"241-254","source":"SciELO","title":"Normativización del Inventario del Desarrollo Comunicativo MacArthur-Bates al español, Colombia","URL":"http://www.scielo.org.co/scielo.php?script=sci_abstract&amp;pid=S0120-05342011000200004&amp;lng=en&amp;nrm=iso&amp;tlng=es","volume":"43","author":[{"family":"Lara Díaz","given":"María Fernanda"},{"family":"Gálvez Bohórquez","given":"Diana Marcela"},{"family":"Gómez Fonseca","given":"Ángela María"},{"family":"Mesa Guechá","given":"Carol"},{"family":"Sellabona","given":"Elisabet Serrat"}],"accessed":{"date-parts":[["2025",7,10]]},"issued":{"date-parts":[["2011",5]]},"citation-key":"laradiazNormativizacionInventarioDesarrollo2011"}}],"schema":"https://github.com/citation-style-language/schema/raw/master/csl-citation.json"}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131</w:t>
            </w:r>
            <w:r w:rsidR="00073682" w:rsidRPr="0B44BD26">
              <w:rPr>
                <w:highlight w:val="white"/>
                <w:lang w:val="es-ES"/>
              </w:rPr>
              <w:fldChar w:fldCharType="end"/>
            </w:r>
            <w:r w:rsidR="651ABF22" w:rsidRPr="0B44BD26">
              <w:rPr>
                <w:rFonts w:ascii="Avenir Next LT Pro" w:eastAsia="Avenir Next LT Pro" w:hAnsi="Avenir Next LT Pro" w:cs="Avenir Next LT Pro"/>
                <w:highlight w:val="white"/>
                <w:lang w:val="es-ES"/>
              </w:rPr>
              <w:t xml:space="preserve">, y </w:t>
            </w:r>
            <w:proofErr w:type="spellStart"/>
            <w:r w:rsidR="651ABF22" w:rsidRPr="0B44BD26">
              <w:rPr>
                <w:rFonts w:ascii="Avenir Next LT Pro" w:eastAsia="Avenir Next LT Pro" w:hAnsi="Avenir Next LT Pro" w:cs="Avenir Next LT Pro"/>
                <w:i/>
                <w:iCs/>
                <w:highlight w:val="white"/>
                <w:lang w:val="es-ES"/>
              </w:rPr>
              <w:t>Music@Home</w:t>
            </w:r>
            <w:proofErr w:type="spellEnd"/>
            <w:r w:rsidR="651ABF22" w:rsidRPr="0B44BD26">
              <w:rPr>
                <w:rFonts w:ascii="Avenir Next LT Pro" w:eastAsia="Avenir Next LT Pro" w:hAnsi="Avenir Next LT Pro" w:cs="Avenir Next LT Pro"/>
                <w:i/>
                <w:iCs/>
                <w:highlight w:val="white"/>
                <w:lang w:val="es-ES"/>
              </w:rPr>
              <w:t xml:space="preserve"> – </w:t>
            </w:r>
            <w:proofErr w:type="spellStart"/>
            <w:r w:rsidR="651ABF22" w:rsidRPr="0B44BD26">
              <w:rPr>
                <w:rFonts w:ascii="Avenir Next LT Pro" w:eastAsia="Avenir Next LT Pro" w:hAnsi="Avenir Next LT Pro" w:cs="Avenir Next LT Pro"/>
                <w:i/>
                <w:iCs/>
                <w:highlight w:val="white"/>
                <w:lang w:val="es-ES"/>
              </w:rPr>
              <w:t>Infant</w:t>
            </w:r>
            <w:proofErr w:type="spellEnd"/>
            <w:r w:rsidR="651ABF22" w:rsidRPr="0B44BD26">
              <w:rPr>
                <w:rFonts w:ascii="Avenir Next LT Pro" w:eastAsia="Avenir Next LT Pro" w:hAnsi="Avenir Next LT Pro" w:cs="Avenir Next LT Pro"/>
                <w:highlight w:val="white"/>
                <w:lang w:val="es-ES"/>
              </w:rPr>
              <w:t>, que es apto</w:t>
            </w:r>
            <w:r w:rsidR="701D3457" w:rsidRPr="0B44BD26">
              <w:rPr>
                <w:rFonts w:ascii="Avenir Next LT Pro" w:eastAsia="Avenir Next LT Pro" w:hAnsi="Avenir Next LT Pro" w:cs="Avenir Next LT Pro"/>
                <w:highlight w:val="white"/>
                <w:lang w:val="es-ES"/>
              </w:rPr>
              <w:t xml:space="preserve"> entre los 3 y 23 meses</w:t>
            </w:r>
            <w:r w:rsidR="055ED690" w:rsidRPr="0B44BD26">
              <w:rPr>
                <w:rFonts w:ascii="Avenir Next LT Pro" w:eastAsia="Avenir Next LT Pro" w:hAnsi="Avenir Next LT Pro" w:cs="Avenir Next LT Pro"/>
                <w:highlight w:val="white"/>
                <w:lang w:val="es-ES"/>
              </w:rPr>
              <w:t xml:space="preserve"> (Fig. </w:t>
            </w:r>
            <w:r w:rsidR="5C05E061" w:rsidRPr="0B44BD26">
              <w:rPr>
                <w:rFonts w:ascii="Avenir Next LT Pro" w:eastAsia="Avenir Next LT Pro" w:hAnsi="Avenir Next LT Pro" w:cs="Avenir Next LT Pro"/>
                <w:highlight w:val="white"/>
                <w:lang w:val="es-ES"/>
              </w:rPr>
              <w:t>7</w:t>
            </w:r>
            <w:r w:rsidR="055ED690" w:rsidRPr="0B44BD26">
              <w:rPr>
                <w:rFonts w:ascii="Avenir Next LT Pro" w:eastAsia="Avenir Next LT Pro" w:hAnsi="Avenir Next LT Pro" w:cs="Avenir Next LT Pro"/>
                <w:highlight w:val="white"/>
                <w:lang w:val="es-ES"/>
              </w:rPr>
              <w:t>)</w:t>
            </w:r>
            <w:r w:rsidR="701D3457" w:rsidRPr="0B44BD26">
              <w:rPr>
                <w:rFonts w:ascii="Avenir Next LT Pro" w:eastAsia="Avenir Next LT Pro" w:hAnsi="Avenir Next LT Pro" w:cs="Avenir Next LT Pro"/>
                <w:highlight w:val="white"/>
                <w:lang w:val="es-ES"/>
              </w:rPr>
              <w:t>.</w:t>
            </w:r>
            <w:r w:rsidR="0CA26965" w:rsidRPr="0B44BD26">
              <w:rPr>
                <w:rFonts w:ascii="Avenir Next LT Pro" w:eastAsia="Avenir Next LT Pro" w:hAnsi="Avenir Next LT Pro" w:cs="Avenir Next LT Pro"/>
                <w:highlight w:val="white"/>
                <w:lang w:val="es-ES"/>
              </w:rPr>
              <w:t xml:space="preserve"> </w:t>
            </w:r>
            <w:r w:rsidR="013EBA13" w:rsidRPr="0B44BD26">
              <w:rPr>
                <w:rFonts w:ascii="Avenir Next LT Pro" w:eastAsia="Avenir Next LT Pro" w:hAnsi="Avenir Next LT Pro" w:cs="Avenir Next LT Pro"/>
                <w:highlight w:val="white"/>
                <w:lang w:val="es-ES"/>
              </w:rPr>
              <w:t xml:space="preserve"> </w:t>
            </w:r>
          </w:p>
          <w:p w14:paraId="7AA432F9" w14:textId="390E3303" w:rsidR="00A362C7" w:rsidRPr="00D12C3B" w:rsidRDefault="1504A487" w:rsidP="0B44BD26">
            <w:pPr>
              <w:spacing w:after="0"/>
              <w:ind w:left="0" w:firstLineChars="0" w:firstLine="0"/>
              <w:rPr>
                <w:rFonts w:ascii="Avenir Next LT Pro" w:eastAsia="Avenir Next LT Pro" w:hAnsi="Avenir Next LT Pro" w:cs="Avenir Next LT Pro"/>
                <w:sz w:val="14"/>
                <w:szCs w:val="14"/>
                <w:highlight w:val="white"/>
              </w:rPr>
            </w:pPr>
            <w:r>
              <w:rPr>
                <w:noProof/>
              </w:rPr>
              <w:drawing>
                <wp:inline distT="0" distB="0" distL="0" distR="0" wp14:anchorId="30D71A76" wp14:editId="3E0A7ACB">
                  <wp:extent cx="6276975" cy="1552575"/>
                  <wp:effectExtent l="0" t="0" r="0" b="0"/>
                  <wp:docPr id="44919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3838" name=""/>
                          <pic:cNvPicPr/>
                        </pic:nvPicPr>
                        <pic:blipFill>
                          <a:blip r:embed="rId19">
                            <a:extLst>
                              <a:ext uri="{28A0092B-C50C-407E-A947-70E740481C1C}">
                                <a14:useLocalDpi xmlns:a14="http://schemas.microsoft.com/office/drawing/2010/main" val="0"/>
                              </a:ext>
                            </a:extLst>
                          </a:blip>
                          <a:stretch>
                            <a:fillRect/>
                          </a:stretch>
                        </pic:blipFill>
                        <pic:spPr>
                          <a:xfrm>
                            <a:off x="0" y="0"/>
                            <a:ext cx="6276975" cy="1552575"/>
                          </a:xfrm>
                          <a:prstGeom prst="rect">
                            <a:avLst/>
                          </a:prstGeom>
                        </pic:spPr>
                      </pic:pic>
                    </a:graphicData>
                  </a:graphic>
                </wp:inline>
              </w:drawing>
            </w:r>
            <w:r w:rsidR="4924AAEF" w:rsidRPr="0B44BD26">
              <w:rPr>
                <w:rFonts w:ascii="Avenir Next LT Pro" w:eastAsia="Avenir Next LT Pro" w:hAnsi="Avenir Next LT Pro" w:cs="Avenir Next LT Pro"/>
                <w:i/>
                <w:iCs/>
                <w:sz w:val="14"/>
                <w:szCs w:val="14"/>
                <w:highlight w:val="white"/>
              </w:rPr>
              <w:t xml:space="preserve">Figura </w:t>
            </w:r>
            <w:r w:rsidR="523531F4" w:rsidRPr="0B44BD26">
              <w:rPr>
                <w:rFonts w:ascii="Avenir Next LT Pro" w:eastAsia="Avenir Next LT Pro" w:hAnsi="Avenir Next LT Pro" w:cs="Avenir Next LT Pro"/>
                <w:i/>
                <w:iCs/>
                <w:sz w:val="14"/>
                <w:szCs w:val="14"/>
                <w:highlight w:val="white"/>
                <w:lang w:val="es-CO"/>
              </w:rPr>
              <w:t>7</w:t>
            </w:r>
            <w:r w:rsidR="4924AAEF" w:rsidRPr="0B44BD26">
              <w:rPr>
                <w:rFonts w:ascii="Avenir Next LT Pro" w:eastAsia="Avenir Next LT Pro" w:hAnsi="Avenir Next LT Pro" w:cs="Avenir Next LT Pro"/>
                <w:sz w:val="14"/>
                <w:szCs w:val="14"/>
                <w:highlight w:val="white"/>
              </w:rPr>
              <w:t>.</w:t>
            </w:r>
            <w:r w:rsidR="4924AAEF" w:rsidRPr="0B44BD26">
              <w:rPr>
                <w:rFonts w:ascii="Avenir Next LT Pro" w:eastAsia="Avenir Next LT Pro" w:hAnsi="Avenir Next LT Pro" w:cs="Avenir Next LT Pro"/>
                <w:sz w:val="14"/>
                <w:szCs w:val="14"/>
              </w:rPr>
              <w:t xml:space="preserve"> Edades apropiadas para las diferentes versiones del MacArthur-Bates </w:t>
            </w:r>
            <w:proofErr w:type="spellStart"/>
            <w:r w:rsidR="4924AAEF" w:rsidRPr="0B44BD26">
              <w:rPr>
                <w:rFonts w:ascii="Avenir Next LT Pro" w:eastAsia="Avenir Next LT Pro" w:hAnsi="Avenir Next LT Pro" w:cs="Avenir Next LT Pro"/>
                <w:sz w:val="14"/>
                <w:szCs w:val="14"/>
              </w:rPr>
              <w:t>Communicative</w:t>
            </w:r>
            <w:proofErr w:type="spellEnd"/>
            <w:r w:rsidR="4924AAEF" w:rsidRPr="0B44BD26">
              <w:rPr>
                <w:rFonts w:ascii="Avenir Next LT Pro" w:eastAsia="Avenir Next LT Pro" w:hAnsi="Avenir Next LT Pro" w:cs="Avenir Next LT Pro"/>
                <w:sz w:val="14"/>
                <w:szCs w:val="14"/>
              </w:rPr>
              <w:t xml:space="preserve"> </w:t>
            </w:r>
            <w:proofErr w:type="spellStart"/>
            <w:r w:rsidR="4924AAEF" w:rsidRPr="0B44BD26">
              <w:rPr>
                <w:rFonts w:ascii="Avenir Next LT Pro" w:eastAsia="Avenir Next LT Pro" w:hAnsi="Avenir Next LT Pro" w:cs="Avenir Next LT Pro"/>
                <w:sz w:val="14"/>
                <w:szCs w:val="14"/>
              </w:rPr>
              <w:t>Development</w:t>
            </w:r>
            <w:proofErr w:type="spellEnd"/>
            <w:r w:rsidR="4924AAEF" w:rsidRPr="0B44BD26">
              <w:rPr>
                <w:rFonts w:ascii="Avenir Next LT Pro" w:eastAsia="Avenir Next LT Pro" w:hAnsi="Avenir Next LT Pro" w:cs="Avenir Next LT Pro"/>
                <w:sz w:val="14"/>
                <w:szCs w:val="14"/>
              </w:rPr>
              <w:t xml:space="preserve"> </w:t>
            </w:r>
            <w:proofErr w:type="spellStart"/>
            <w:r w:rsidR="4924AAEF" w:rsidRPr="0B44BD26">
              <w:rPr>
                <w:rFonts w:ascii="Avenir Next LT Pro" w:eastAsia="Avenir Next LT Pro" w:hAnsi="Avenir Next LT Pro" w:cs="Avenir Next LT Pro"/>
                <w:sz w:val="14"/>
                <w:szCs w:val="14"/>
              </w:rPr>
              <w:t>Inventory</w:t>
            </w:r>
            <w:proofErr w:type="spellEnd"/>
            <w:r w:rsidR="4924AAEF" w:rsidRPr="0B44BD26">
              <w:rPr>
                <w:rFonts w:ascii="Avenir Next LT Pro" w:eastAsia="Avenir Next LT Pro" w:hAnsi="Avenir Next LT Pro" w:cs="Avenir Next LT Pro"/>
                <w:sz w:val="14"/>
                <w:szCs w:val="14"/>
              </w:rPr>
              <w:t xml:space="preserve"> (CDI), y el </w:t>
            </w:r>
            <w:proofErr w:type="spellStart"/>
            <w:r w:rsidR="1DF58411" w:rsidRPr="0B44BD26">
              <w:rPr>
                <w:rFonts w:ascii="Avenir Next LT Pro" w:eastAsia="Avenir Next LT Pro" w:hAnsi="Avenir Next LT Pro" w:cs="Avenir Next LT Pro"/>
                <w:sz w:val="14"/>
                <w:szCs w:val="14"/>
              </w:rPr>
              <w:t>Music@Home</w:t>
            </w:r>
            <w:proofErr w:type="spellEnd"/>
            <w:r w:rsidR="4924AAEF" w:rsidRPr="0B44BD26">
              <w:rPr>
                <w:rFonts w:ascii="Avenir Next LT Pro" w:eastAsia="Avenir Next LT Pro" w:hAnsi="Avenir Next LT Pro" w:cs="Avenir Next LT Pro"/>
                <w:sz w:val="14"/>
                <w:szCs w:val="14"/>
              </w:rPr>
              <w:t>.</w:t>
            </w:r>
            <w:r w:rsidR="1DF58411" w:rsidRPr="0B44BD26">
              <w:rPr>
                <w:rFonts w:ascii="Avenir Next LT Pro" w:eastAsia="Avenir Next LT Pro" w:hAnsi="Avenir Next LT Pro" w:cs="Avenir Next LT Pro"/>
                <w:sz w:val="14"/>
                <w:szCs w:val="14"/>
              </w:rPr>
              <w:t xml:space="preserve"> </w:t>
            </w:r>
          </w:p>
          <w:p w14:paraId="20EF9C26" w14:textId="77777777" w:rsidR="00485542" w:rsidRPr="00485542" w:rsidRDefault="13ECB3CB"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Procedimiento:</w:t>
            </w:r>
          </w:p>
          <w:p w14:paraId="07239B79" w14:textId="0864E8EB" w:rsidR="006269A3"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Se invitará a madres de niños y niñas con edades entre 16 y 23 meses. A través de un instrumento de recolección en línea (prototipo disponible en </w:t>
            </w:r>
            <w:hyperlink r:id="rId20">
              <w:r w:rsidRPr="0B44BD26">
                <w:rPr>
                  <w:rStyle w:val="Hyperlink"/>
                  <w:rFonts w:ascii="Avenir Next LT Pro" w:eastAsia="Avenir Next LT Pro" w:hAnsi="Avenir Next LT Pro" w:cs="Avenir Next LT Pro"/>
                  <w:highlight w:val="white"/>
                </w:rPr>
                <w:t>https://tehablo.jdl-svr.lat</w:t>
              </w:r>
            </w:hyperlink>
            <w:r w:rsidRPr="0B44BD26">
              <w:rPr>
                <w:rFonts w:ascii="Avenir Next LT Pro" w:eastAsia="Avenir Next LT Pro" w:hAnsi="Avenir Next LT Pro" w:cs="Avenir Next LT Pro"/>
                <w:highlight w:val="white"/>
              </w:rPr>
              <w:t xml:space="preserve">; código fuente en </w:t>
            </w:r>
            <w:hyperlink r:id="rId21">
              <w:r w:rsidRPr="0B44BD26">
                <w:rPr>
                  <w:rStyle w:val="Hyperlink"/>
                  <w:rFonts w:ascii="Avenir Next LT Pro" w:eastAsia="Avenir Next LT Pro" w:hAnsi="Avenir Next LT Pro" w:cs="Avenir Next LT Pro"/>
                  <w:highlight w:val="white"/>
                </w:rPr>
                <w:t>GitHub</w:t>
              </w:r>
            </w:hyperlink>
            <w:r w:rsidR="001054B3" w:rsidRPr="00BC286D">
              <w:rPr>
                <w:rStyle w:val="FootnoteReference"/>
              </w:rPr>
              <w:footnoteReference w:id="1"/>
            </w:r>
            <w:r w:rsidRPr="0B44BD26">
              <w:rPr>
                <w:rFonts w:ascii="Avenir Next LT Pro" w:eastAsia="Avenir Next LT Pro" w:hAnsi="Avenir Next LT Pro" w:cs="Avenir Next LT Pro"/>
                <w:highlight w:val="white"/>
              </w:rPr>
              <w:t xml:space="preserve">), se les solicitará subir videos en los que hablen a sus bebés durante el primer año de vida. Además, se les pedirá completar las versiones en español del </w:t>
            </w:r>
            <w:r w:rsidRPr="0B44BD26">
              <w:rPr>
                <w:rFonts w:ascii="Avenir Next LT Pro" w:eastAsia="Avenir Next LT Pro" w:hAnsi="Avenir Next LT Pro" w:cs="Avenir Next LT Pro"/>
                <w:i/>
                <w:iCs/>
                <w:highlight w:val="white"/>
              </w:rPr>
              <w:t>CDI 2 – Palabras y enunciados</w:t>
            </w:r>
            <w:r w:rsidRPr="0B44BD26">
              <w:rPr>
                <w:rFonts w:ascii="Avenir Next LT Pro" w:eastAsia="Avenir Next LT Pro" w:hAnsi="Avenir Next LT Pro" w:cs="Avenir Next LT Pro"/>
                <w:highlight w:val="white"/>
              </w:rPr>
              <w:t xml:space="preserve"> y del </w:t>
            </w:r>
            <w:proofErr w:type="spellStart"/>
            <w:r w:rsidRPr="0B44BD26">
              <w:rPr>
                <w:rFonts w:ascii="Avenir Next LT Pro" w:eastAsia="Avenir Next LT Pro" w:hAnsi="Avenir Next LT Pro" w:cs="Avenir Next LT Pro"/>
                <w:i/>
                <w:iCs/>
                <w:highlight w:val="white"/>
              </w:rPr>
              <w:t>Music@Home</w:t>
            </w:r>
            <w:proofErr w:type="spellEnd"/>
            <w:r w:rsidRPr="0B44BD26">
              <w:rPr>
                <w:rFonts w:ascii="Avenir Next LT Pro" w:eastAsia="Avenir Next LT Pro" w:hAnsi="Avenir Next LT Pro" w:cs="Avenir Next LT Pro"/>
                <w:i/>
                <w:iCs/>
                <w:highlight w:val="white"/>
              </w:rPr>
              <w:t xml:space="preserve"> – </w:t>
            </w:r>
            <w:proofErr w:type="spellStart"/>
            <w:r w:rsidRPr="0B44BD26">
              <w:rPr>
                <w:rFonts w:ascii="Avenir Next LT Pro" w:eastAsia="Avenir Next LT Pro" w:hAnsi="Avenir Next LT Pro" w:cs="Avenir Next LT Pro"/>
                <w:i/>
                <w:iCs/>
                <w:highlight w:val="white"/>
              </w:rPr>
              <w:t>Infant</w:t>
            </w:r>
            <w:proofErr w:type="spellEnd"/>
            <w:r w:rsidRPr="0B44BD26">
              <w:rPr>
                <w:rFonts w:ascii="Avenir Next LT Pro" w:eastAsia="Avenir Next LT Pro" w:hAnsi="Avenir Next LT Pro" w:cs="Avenir Next LT Pro"/>
                <w:highlight w:val="white"/>
              </w:rPr>
              <w:t>, junto con un cuestionario demográfico.</w:t>
            </w:r>
          </w:p>
          <w:p w14:paraId="7C101DB0" w14:textId="7894912C" w:rsidR="006269A3"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Este cuestionario incluirá variables de control relevantes, como: edad de la madre; edad del niño o niña (calculada a partir de la fecha de nacimiento y la fecha de respuesta); personas con quienes convive o interactúa frecuentemente el niño o niña (por ejemplo, </w:t>
            </w:r>
            <w:r w:rsidR="037EEC2D" w:rsidRPr="0B44BD26">
              <w:rPr>
                <w:rFonts w:ascii="Avenir Next LT Pro" w:eastAsia="Avenir Next LT Pro" w:hAnsi="Avenir Next LT Pro" w:cs="Avenir Next LT Pro"/>
                <w:highlight w:val="white"/>
              </w:rPr>
              <w:t xml:space="preserve">hermanos y/o hermanas, </w:t>
            </w:r>
            <w:r w:rsidRPr="0B44BD26">
              <w:rPr>
                <w:rFonts w:ascii="Avenir Next LT Pro" w:eastAsia="Avenir Next LT Pro" w:hAnsi="Avenir Next LT Pro" w:cs="Avenir Next LT Pro"/>
                <w:highlight w:val="white"/>
              </w:rPr>
              <w:t>familiares y cuidadores); nivel educativo de la madre; nivel de escolarización del niño o niña (si aplica); y nivel socioeconómico.</w:t>
            </w:r>
          </w:p>
          <w:p w14:paraId="64610BD6" w14:textId="4371198B" w:rsidR="00F44F47"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Los efectos de estas variables sobre los puntajes del CDI y del </w:t>
            </w:r>
            <w:proofErr w:type="spellStart"/>
            <w:r w:rsidRPr="0B44BD26">
              <w:rPr>
                <w:rFonts w:ascii="Avenir Next LT Pro" w:eastAsia="Avenir Next LT Pro" w:hAnsi="Avenir Next LT Pro" w:cs="Avenir Next LT Pro"/>
                <w:i/>
                <w:iCs/>
                <w:highlight w:val="white"/>
              </w:rPr>
              <w:t>Music@Home</w:t>
            </w:r>
            <w:proofErr w:type="spellEnd"/>
            <w:r w:rsidRPr="0B44BD26">
              <w:rPr>
                <w:rFonts w:ascii="Avenir Next LT Pro" w:eastAsia="Avenir Next LT Pro" w:hAnsi="Avenir Next LT Pro" w:cs="Avenir Next LT Pro"/>
                <w:highlight w:val="white"/>
              </w:rPr>
              <w:t xml:space="preserve"> serán controlados estadísticamente. Para ello, se ajustarán los puntajes de ambos instrumentos de modo que sean independientes (correlación igual a cero) respecto a cada variable de control, conservando los residuos del modelo de regresión como medida ajustada.</w:t>
            </w:r>
          </w:p>
        </w:tc>
      </w:tr>
    </w:tbl>
    <w:p w14:paraId="52DA62F1" w14:textId="1DD011A9" w:rsidR="00844492" w:rsidRPr="00847B5F" w:rsidRDefault="7832D82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 xml:space="preserve"> </w:t>
      </w:r>
      <w:r w:rsidR="36E56080" w:rsidRPr="0B44BD26">
        <w:rPr>
          <w:rFonts w:ascii="Avenir Next LT Pro" w:eastAsia="Avenir Next LT Pro" w:hAnsi="Avenir Next LT Pro" w:cs="Avenir Next LT Pro"/>
        </w:rPr>
        <w:t>8. IMPACTO AMBIENTAL</w:t>
      </w:r>
    </w:p>
    <w:tbl>
      <w:tblPr>
        <w:tblStyle w:val="affffffffe"/>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2888622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F129FC7" w14:textId="55203850"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8. IMPACTO AMBIENTAL</w:t>
            </w:r>
          </w:p>
        </w:tc>
      </w:tr>
      <w:tr w:rsidR="00844492" w:rsidRPr="00847B5F" w14:paraId="46FC2CB2"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58E21" w14:textId="6EA0E70E" w:rsidR="0035103C" w:rsidRPr="0035103C" w:rsidRDefault="1E102787"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El presente proyecto de investigación se enfoca principalmente en el estudio de la modulación vocal y su influencia en la percepción y la atención, y no involucra directamente actividades que generen un impacto ambiental significativo. Sin embargo, se buscará mitigar cualquier impacto ambiental indirecto y promover la responsabilidad medioambiental en todas las etapas del proyecto. Para esto, se adoptarán prácticas en la ejecución de </w:t>
            </w:r>
            <w:r w:rsidR="291720E1" w:rsidRPr="0B44BD26">
              <w:rPr>
                <w:rFonts w:ascii="Avenir Next LT Pro" w:eastAsia="Avenir Next LT Pro" w:hAnsi="Avenir Next LT Pro" w:cs="Avenir Next LT Pro"/>
              </w:rPr>
              <w:t>la investigación como la minimización del consumo de papel, el transporte responsable, y la optimización del uso de energía eléctrica.</w:t>
            </w:r>
          </w:p>
          <w:p w14:paraId="2E1DC430" w14:textId="6585874B" w:rsidR="00844492" w:rsidRPr="00847B5F" w:rsidRDefault="291720E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El consumo de papel será minimizado mediante el uso de medios electrónicos. El transporte responsable se fomentará priorizando el uso de medios de transporte sostenibles, como el transporte público, siempre que sea factible y eficiente en términos de disponibilidad, tiempo y recursos. Finalmente, para la optimización del uso de energía eléctrica, se adoptarán medidas como apagar los dispositivos electrónicos cuando no estén en uso, y en todos los casos en los que sea posible, se usarán equipos energéticamente eficientes y se ajustará la configuración de energía de los dispositivos </w:t>
            </w:r>
            <w:r w:rsidRPr="0B44BD26">
              <w:rPr>
                <w:rFonts w:ascii="Avenir Next LT Pro" w:eastAsia="Avenir Next LT Pro" w:hAnsi="Avenir Next LT Pro" w:cs="Avenir Next LT Pro"/>
              </w:rPr>
              <w:lastRenderedPageBreak/>
              <w:t xml:space="preserve">para minimizar su consumo. Además, se fomentará el uso de iluminación natural siempre que sea posible </w:t>
            </w:r>
            <w:r w:rsidR="259877F3" w:rsidRPr="0B44BD26">
              <w:rPr>
                <w:rFonts w:ascii="Avenir Next LT Pro" w:eastAsia="Avenir Next LT Pro" w:hAnsi="Avenir Next LT Pro" w:cs="Avenir Next LT Pro"/>
              </w:rPr>
              <w:t>o, de ser necesario,</w:t>
            </w:r>
            <w:r w:rsidRPr="0B44BD26">
              <w:rPr>
                <w:rFonts w:ascii="Avenir Next LT Pro" w:eastAsia="Avenir Next LT Pro" w:hAnsi="Avenir Next LT Pro" w:cs="Avenir Next LT Pro"/>
              </w:rPr>
              <w:t xml:space="preserve"> se promoverá el uso de iluminación LED.</w:t>
            </w:r>
          </w:p>
        </w:tc>
      </w:tr>
    </w:tbl>
    <w:p w14:paraId="534B7889" w14:textId="7F094734"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9. CONSIDERACIONES ÉTICAS</w:t>
      </w:r>
    </w:p>
    <w:tbl>
      <w:tblPr>
        <w:tblStyle w:val="afffffffff"/>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213DB4"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15C11BD" w14:textId="759FD74C"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9. CONSIDERACIONES ÉTICAS</w:t>
            </w:r>
          </w:p>
        </w:tc>
      </w:tr>
      <w:tr w:rsidR="00844492" w:rsidRPr="00847B5F" w14:paraId="4F78C24D"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DD54D5" w14:textId="5A65A482" w:rsidR="002E1A15" w:rsidRPr="002E1A15"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Este proyecto corresponde </w:t>
            </w:r>
            <w:r w:rsidR="001054B3">
              <w:rPr>
                <w:rFonts w:ascii="Avenir Next LT Pro" w:eastAsia="Avenir Next LT Pro" w:hAnsi="Avenir Next LT Pro" w:cs="Avenir Next LT Pro"/>
              </w:rPr>
              <w:t xml:space="preserve">a </w:t>
            </w:r>
            <w:r w:rsidR="001054B3" w:rsidRPr="001054B3">
              <w:rPr>
                <w:rFonts w:ascii="Avenir Next LT Pro" w:eastAsia="Avenir Next LT Pro" w:hAnsi="Avenir Next LT Pro" w:cs="Avenir Next LT Pro"/>
                <w:b/>
                <w:bCs/>
              </w:rPr>
              <w:t>riesgo mínimo</w:t>
            </w:r>
            <w:r w:rsidRPr="0B44BD26">
              <w:rPr>
                <w:rFonts w:ascii="Avenir Next LT Pro" w:eastAsia="Avenir Next LT Pro" w:hAnsi="Avenir Next LT Pro" w:cs="Avenir Next LT Pro"/>
              </w:rPr>
              <w:t>, de acuerdo con la Resolución 8430 de 1993 del Ministerio de Salud y Protección Social de Colombia. No plantea retos éticos de especial consideración, dado que no es invasivo, no implica intervenciones médicas ni psicológicas, y no recolecta información personal especialmente sensible. La participación de todas las personas será absolutamente voluntaria y podrá terminarse en cualquier momento, sin necesidad de dar explicación alguna. Para proteger la identidad de los y las participantes, todos los datos serán codificados mediante identificadores alfanuméricos, sin incluir nombres ni otra información que permita identificar a las personas directamente.</w:t>
            </w:r>
          </w:p>
          <w:p w14:paraId="22E725A4" w14:textId="407ABA23" w:rsidR="002E1A15" w:rsidRPr="002E1A15"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Los datos, incluyendo cualquier información demográfica, serán almacenados en un equipo con protección antivirus y firewall de última generación, al que solo tendrán acceso las y los investigadores del proyecto. Toda esta información será comunicada claramente a las personas participantes a través de formularios de consentimiento informado adecuados al tipo de participación, en concordancia con los principios éticos de autonomía, beneficencia, justicia y veracidad.</w:t>
            </w:r>
          </w:p>
          <w:p w14:paraId="4CB43E2E" w14:textId="1D69F79A" w:rsidR="00CB132E"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No obstante, el proyecto incluye aspectos que requieren consideraciones éticas diferenciadas, en especial por involucrar población infantil.</w:t>
            </w:r>
          </w:p>
          <w:p w14:paraId="15638DBA" w14:textId="11399054" w:rsidR="0062342E" w:rsidRPr="00601738" w:rsidRDefault="0E590F9A" w:rsidP="0B44BD26">
            <w:pPr>
              <w:pStyle w:val="ListParagraph"/>
              <w:numPr>
                <w:ilvl w:val="0"/>
                <w:numId w:val="10"/>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Efectos de la manipulación acústica del IDS en la atención de bebés en etapa prelingüística</w:t>
            </w:r>
            <w:r w:rsidR="7F79ED68" w:rsidRPr="0B44BD26">
              <w:rPr>
                <w:rFonts w:ascii="Avenir Next LT Pro" w:eastAsia="Avenir Next LT Pro" w:hAnsi="Avenir Next LT Pro" w:cs="Avenir Next LT Pro"/>
                <w:b/>
                <w:bCs/>
              </w:rPr>
              <w:t xml:space="preserve"> (Estudio 1)</w:t>
            </w:r>
          </w:p>
          <w:p w14:paraId="487EE9E2" w14:textId="76C9502C" w:rsidR="001C6807" w:rsidRPr="00601738" w:rsidRDefault="2BF91C94" w:rsidP="0B44BD26">
            <w:pPr>
              <w:tabs>
                <w:tab w:val="left" w:pos="9519"/>
                <w:tab w:val="left" w:pos="9661"/>
              </w:tabs>
              <w:ind w:left="164" w:right="240" w:firstLineChars="0" w:firstLine="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Nota:</w:t>
            </w:r>
            <w:r w:rsidRPr="0B44BD26">
              <w:rPr>
                <w:rFonts w:ascii="Avenir Next LT Pro" w:eastAsia="Avenir Next LT Pro" w:hAnsi="Avenir Next LT Pro" w:cs="Avenir Next LT Pro"/>
              </w:rPr>
              <w:t xml:space="preserve"> </w:t>
            </w:r>
            <w:r w:rsidR="55C6F1F7" w:rsidRPr="0B44BD26">
              <w:rPr>
                <w:rFonts w:ascii="Avenir Next LT Pro" w:eastAsia="Avenir Next LT Pro" w:hAnsi="Avenir Next LT Pro" w:cs="Avenir Next LT Pro"/>
              </w:rPr>
              <w:t>Este estudio fue previamente aprobado por el Comité Institucional de Ética en Investigación de la Universidad El Bosque, bajo el código CIE 2023-059, como parte del proyecto "Modulación Vocal: Especificidad Contextual y Efectos Sociales". Aunque contó con aval ético, no llegó a realizarse.</w:t>
            </w:r>
          </w:p>
          <w:p w14:paraId="0C39F13E" w14:textId="7B292D0F" w:rsidR="00C353FA" w:rsidRPr="00C353FA" w:rsidRDefault="586C0F4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este estudio participarán bebés de entre 3 y 9 meses de edad que sean capaces de sostener su cabeza. La participación será autorizada mediante consentimiento informado otorgado por su madre, padre o tutor legal, quien deberá ser mayor de edad y acompañar al bebé durante toda la sesión.</w:t>
            </w:r>
          </w:p>
          <w:p w14:paraId="77D4B80D" w14:textId="02B44321" w:rsidR="00C353FA" w:rsidRDefault="586C0F4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investigaciones con bebés, es fundamental priorizar su bienestar físico y emocional, y respetar sus señales de interés o incomodidad. Por tanto, este estudio se ha diseñado considerando recomendaciones éticas recientes</w:t>
            </w:r>
            <w:r w:rsidR="00C353FA" w:rsidRPr="0B44BD26">
              <w:fldChar w:fldCharType="begin"/>
            </w:r>
            <w:r w:rsidR="00C353FA" w:rsidRPr="0B44BD26">
              <w:instrText xml:space="preserve"> ADDIN ZOTERO_ITEM CSL_CITATION {"citationID":"q06QFodc","properties":{"formattedCitation":"\\super 132,133\\nosupersub{}","plainCitation":"132,133","noteIndex":0},"citationItems":[{"id":955,"uris":["http://zotero.org/users/5937427/items/XJ8CHTIL"],"itemData":{"id":955,"type":"article-journal","abstract":"The future health of infants and children is dependent on the performance of clinical research in which infants participate. Achieving a proper balance between this social good and the obligation to protect infants who participate in research is a significant challenge. As investigators design and implement research protocols, they should be aware of the ethical and legal requirements that govern research with infants. For research to satisfy ethical and legal requirements it must be scientifically sound and significant, subject selection must be fair, approaching families for enrollment must avoid pressure, the risks to participants cannot be excessive and must be minimized, risks must be justified by the benefits of the research, valid and voluntary informed consent must be obtained, enrolled subjects must be respected, and the protocol must have obtained approval of an independent ethical review board.","collection-title":"Ethical Issues in the Perinatal Period","container-title":"Seminars in Perinatology","DOI":"10.1053/j.semperi.2009.07.003","ISSN":"0146-0005","issue":"6","journalAbbreviation":"Seminars in Perinatology","language":"en","page":"364-371","source":"ScienceDirect","title":"Ethical Issues in Research Involving Infants","URL":"https://www.sciencedirect.com/science/article/pii/S0146000509000603","volume":"33","author":[{"family":"Diekema","given":"Douglas S."}],"accessed":{"date-parts":[["2023",5,21]]},"issued":{"date-parts":[["2009",12,1]]},"citation-key":"diekemaEthicalIssuesResearch2009"}},{"id":3091,"uris":["http://zotero.org/users/5937427/items/NXPSMGQ6"],"itemData":{"id":3091,"type":"article-journal","abstract":"Participatory research methods aim to break down the distinction between researchers and the researched. Infants are increasingly being seen as participants in research, but the nature of their participation is being questioned following an increased interest in participatory research with children. This article offers a perspective on participatory research that positions infant participants in ethically symmetrical ways to adult participants. It poses this can be achieved, when researchers adopt a methodological attitude that recognises, respects, and incorporates the active involvement of infants in research processes. Framed by the notion of ‘ethical symmetry’, the article draws on data from the author's doctoral work to demonstrate how attempts to achieve ethical symmetry were enacted. The importance of reciprocal and authentic relationships with infant participants as a driving force in the research is discussed, and implications for incorporating ethical symmetry in research with infants are discussed.","container-title":"Early Child Development and Care","DOI":"10.1080/03004430.2014.975224","ISSN":"0300-4430","issue":"6","note":"publisher: Routledge\n_eprint: https://doi.org/10.1080/03004430.2014.975224","page":"1016-1030","source":"Taylor and Francis+NEJM","title":"Ethical symmetry in participatory research with infants","URL":"https://doi.org/10.1080/03004430.2014.975224","volume":"185","author":[{"family":"Salamon","given":"Andi"}],"accessed":{"date-parts":[["2023",5,21]]},"issued":{"date-parts":[["2015",6,3]]},"citation-key":"salamonEthicalSymmetryParticipatory2015"}}],"schema":"https://github.com/citation-style-language/schema/raw/master/csl-citation.json"} </w:instrText>
            </w:r>
            <w:r w:rsidR="00C353FA" w:rsidRPr="0B44BD26">
              <w:fldChar w:fldCharType="separate"/>
            </w:r>
            <w:r w:rsidR="00892B9B" w:rsidRPr="00892B9B">
              <w:rPr>
                <w:rFonts w:ascii="Avenir Next LT Pro" w:hAnsi="Avenir Next LT Pro" w:cs="Times New Roman"/>
                <w:vertAlign w:val="superscript"/>
              </w:rPr>
              <w:t>132,133</w:t>
            </w:r>
            <w:r w:rsidR="00C353FA" w:rsidRPr="0B44BD26">
              <w:fldChar w:fldCharType="end"/>
            </w:r>
            <w:r w:rsidRPr="0B44BD26">
              <w:rPr>
                <w:rFonts w:ascii="Avenir Next LT Pro" w:eastAsia="Avenir Next LT Pro" w:hAnsi="Avenir Next LT Pro" w:cs="Avenir Next LT Pro"/>
              </w:rPr>
              <w:t xml:space="preserve"> y la discusión científica sobre la preferencia de bebés prelingüísticos por el IDS</w:t>
            </w:r>
            <w:r w:rsidR="00C353FA" w:rsidRPr="0B44BD26">
              <w:fldChar w:fldCharType="begin"/>
            </w:r>
            <w:r w:rsidR="00C353FA" w:rsidRPr="0B44BD26">
              <w:instrText xml:space="preserve"> ADDIN ZOTERO_ITEM CSL_CITATION {"citationID":"z9SdBymi","properties":{"formattedCitation":"\\super 134\\nosupersub{}","plainCitation":"134","noteIndex":0},"citationItems":[{"id":949,"uris":["http://zotero.org/users/5937427/items/4F7LWEZU"],"itemData":{"id":949,"type":"article-journal","abstract":"Psychological scientists have become increasingly concerned with issues related to methodology and replicability, and infancy researchers in particular face specific challenges related to replicability: For example, high-powered studies are difficult to conduct, testing conditions vary across labs, and different labs have access to different infant populations. Addressing these concerns, we report on a large-scale, multisite study aimed at (a) assessing the overall replicability of a single theoretically important phenomenon and (b) examining methodological, cultural, and developmental moderators. We focus on infants’ preference for infant-directed speech (IDS) over adult-directed speech (ADS). Stimuli of mothers speaking to their infants and to an adult in North American English were created using seminaturalistic laboratory-based audio recordings. Infants’ relative preference for IDS and ADS was assessed across 67 laboratories in North America, Europe, Australia, and Asia using the three common methods for measuring infants’ discrimination (head-turn preference, central fixation, and eye tracking). The overall meta-analytic effect size (Cohen’s d) was 0.35, 95% confidence interval = [0.29, 0.42], which was reliably above zero but smaller than the meta-analytic mean computed from previous literature (0.67). The IDS preference was significantly stronger in older children, in those children for whom the stimuli matched their native language and dialect, and in data from labs using the head-turn preference procedure. Together, these findings replicate the IDS preference but suggest that its magnitude is modulated by development, native-language experience, and testing procedure.","container-title":"Advances in Methods and Practices in Psychological Science","DOI":"10.1177/2515245919900809","ISSN":"2515-2459","issue":"1","language":"en","note":"publisher: SAGE Publications Inc","page":"24-52","source":"SAGE Journals","title":"Quantifying Sources of Variability in Infancy Research Using the Infant-Directed-Speech Preference","URL":"https://doi.org/10.1177/2515245919900809","volume":"3","author":[{"family":"Frank","given":"Michael C."},{"family":"Alcock","given":"Katherine Jane"},{"family":"Arias-Trejo","given":"Natalia"},{"family":"Aschersleben","given":"Gisa"},{"family":"Baldwin","given":"Dare"},{"family":"Barbu","given":"Stéphanie"},{"family":"Bergelson","given":"Elika"},{"family":"Bergmann","given":"Christina"},{"family":"Black","given":"Alexis K."},{"family":"Blything","given":"Ryan"},{"family":"Böhland","given":"Maximilian P."},{"family":"Bolitho","given":"Petra"},{"family":"Borovsky","given":"Arielle"},{"family":"Brady","given":"Shannon M."},{"family":"Braun","given":"Bettina"},{"family":"Brown","given":"Anna"},{"family":"Byers-Heinlein","given":"Krista"},{"family":"Campbell","given":"Linda E."},{"family":"Cashon","given":"Cara"},{"family":"Choi","given":"Mihye"},{"family":"Christodoulou","given":"Joan"},{"family":"Cirelli","given":"Laura K."},{"family":"Conte","given":"Stefania"},{"family":"Cordes","given":"Sara"},{"family":"Cox","given":"Christopher"},{"family":"Cristia","given":"Alejandrina"},{"family":"Cusack","given":"Rhodri"},{"family":"Davies","given":"Catherine"},{"family":"Klerk","given":"Maartje","non-dropping-particle":"de"},{"family":"Delle Luche","given":"Claire"},{"family":"Ruiter","given":"Laura","dropping-particle":"de"},{"family":"Dinakar","given":"Dhanya"},{"family":"Dixon","given":"Kate C."},{"family":"Durier","given":"Virginie"},{"family":"Durrant","given":"Samantha"},{"family":"Fennell","given":"Christopher"},{"family":"Ferguson","given":"Brock"},{"family":"Ferry","given":"Alissa"},{"family":"Fikkert","given":"Paula"},{"family":"Flanagan","given":"Teresa"},{"family":"Floccia","given":"Caroline"},{"family":"Foley","given":"Megan"},{"family":"Fritzsche","given":"Tom"},{"family":"Frost","given":"Rebecca L. A."},{"family":"Gampe","given":"Anja"},{"family":"Gervain","given":"Judit"},{"family":"Gonzalez-Gomez","given":"Nayeli"},{"family":"Gupta","given":"Anna"},{"family":"Hahn","given":"Laura E."},{"family":"Kiley Hamlin","given":"J."},{"family":"Hannon","given":"Erin E."},{"family":"Havron","given":"Naomi"},{"family":"Hay","given":"Jessica"},{"family":"Hernik","given":"Mikołaj"},{"family":"Höhle","given":"Barbara"},{"family":"Houston","given":"Derek M."},{"family":"Howard","given":"Lauren H."},{"family":"Ishikawa","given":"Mitsuhiko"},{"family":"Itakura","given":"Shoji"},{"family":"Jackson","given":"Iain"},{"family":"Jakobsen","given":"Krisztina V."},{"family":"Jarto","given":"Marianna"},{"family":"Johnson","given":"Scott P."},{"family":"Junge","given":"Caroline"},{"family":"Karadag","given":"Didar"},{"family":"Kartushina","given":"Natalia"},{"family":"Kellier","given":"Danielle J."},{"family":"Keren-Portnoy","given":"Tamar"},{"family":"Klassen","given":"Kelsey"},{"family":"Kline","given":"Melissa"},{"family":"Ko","given":"Eon-Suk"},{"family":"Kominsky","given":"Jonathan F."},{"family":"Kosie","given":"Jessica E."},{"family":"Kragness","given":"Haley E."},{"family":"Krieger","given":"Andrea A. R."},{"family":"Krieger","given":"Florian"},{"family":"Lany","given":"Jill"},{"family":"Lazo","given":"Roberto J."},{"family":"Lee","given":"Michelle"},{"family":"Leservoisier","given":"Chloé"},{"family":"Levelt","given":"Claartje"},{"family":"Lew-Williams","given":"Casey"},{"family":"Lippold","given":"Matthias"},{"family":"Liszkowski","given":"Ulf"},{"family":"Liu","given":"Liquan"},{"family":"Luke","given":"Steven G."},{"family":"Lundwall","given":"Rebecca A."},{"family":"Macchi Cassia","given":"Viola"},{"family":"Mani","given":"Nivedita"},{"family":"Marino","given":"Caterina"},{"family":"Martin","given":"Alia"},{"family":"Mastroberardino","given":"Meghan"},{"family":"Mateu","given":"Victoria"},{"family":"Mayor","given":"Julien"},{"family":"Menn","given":"Katharina"},{"family":"Michel","given":"Christine"},{"family":"Moriguchi","given":"Yusuke"},{"family":"Morris","given":"Benjamin"},{"family":"Nave","given":"Karli M."},{"family":"Nazzi","given":"Thierry"},{"family":"Noble","given":"Claire"},{"family":"Novack","given":"Miriam A."},{"family":"Olesen","given":"Nonah M."},{"family":"John Orena","given":"Adriel"},{"family":"Ota","given":"Mitsuhiko"},{"family":"Panneton","given":"Robin"},{"family":"Esfahani","given":"Sara Parvanezadeh"},{"family":"Paulus","given":"Markus"},{"family":"Pletti","given":"Carolina"},{"family":"Polka","given":"Linda"},{"family":"Potter","given":"Christine"},{"family":"Rabagliati","given":"Hugh"},{"family":"Ramachandran","given":"Shruthilaya"},{"family":"Rennels","given":"Jennifer L."},{"family":"Reynolds","given":"Greg D."},{"family":"Roth","given":"Kelly C."},{"family":"Rothwell","given":"Charlotte"},{"family":"Rubez","given":"Doroteja"},{"family":"Ryjova","given":"Yana"},{"family":"Saffran","given":"Jenny"},{"family":"Sato","given":"Ayumi"},{"family":"Savelkouls","given":"Sophie"},{"family":"Schachner","given":"Adena"},{"family":"Schafer","given":"Graham"},{"family":"Schreiner","given":"Melanie S."},{"family":"Seidl","given":"Amanda"},{"family":"Shukla","given":"Mohinish"},{"family":"Simpson","given":"Elizabeth A."},{"family":"Singh","given":"Leher"},{"family":"Skarabela","given":"Barbora"},{"family":"Soley","given":"Gaye"},{"family":"Sundara","given":"Megha"},{"family":"Theakston","given":"Anna"},{"family":"Thompson","given":"Abbie"},{"family":"Trainor","given":"Laurel J."},{"family":"Trehub","given":"Sandra E."},{"family":"Trøan","given":"Anna S."},{"family":"Tsui","given":"Angeline Sin-Mei"},{"family":"Twomey","given":"Katherine"},{"family":"Von Holzen","given":"Katie"},{"family":"Wang","given":"Yuanyuan"},{"family":"Waxman","given":"Sandra"},{"family":"Werker","given":"Janet F."},{"family":"Wermelinger","given":"Stephanie"},{"family":"Woolard","given":"Alix"},{"family":"Yurovsky","given":"Daniel"},{"family":"Zahner","given":"Katharina"},{"family":"Zettersten","given":"Martin"},{"family":"Soderstrom","given":"Melanie"}],"accessed":{"date-parts":[["2023",5,21]]},"issued":{"date-parts":[["2020",3,1]]},"citation-key":"frankQuantifyingSourcesVariability2020"}}],"schema":"https://github.com/citation-style-language/schema/raw/master/csl-citation.json"} </w:instrText>
            </w:r>
            <w:r w:rsidR="00C353FA" w:rsidRPr="0B44BD26">
              <w:fldChar w:fldCharType="separate"/>
            </w:r>
            <w:r w:rsidR="00892B9B" w:rsidRPr="00892B9B">
              <w:rPr>
                <w:rFonts w:ascii="Avenir Next LT Pro" w:hAnsi="Avenir Next LT Pro" w:cs="Times New Roman"/>
                <w:vertAlign w:val="superscript"/>
              </w:rPr>
              <w:t>134</w:t>
            </w:r>
            <w:r w:rsidR="00C353FA" w:rsidRPr="0B44BD26">
              <w:fldChar w:fldCharType="end"/>
            </w:r>
            <w:r w:rsidRPr="0B44BD26">
              <w:rPr>
                <w:rFonts w:ascii="Avenir Next LT Pro" w:eastAsia="Avenir Next LT Pro" w:hAnsi="Avenir Next LT Pro" w:cs="Avenir Next LT Pro"/>
              </w:rPr>
              <w:t>. Se han tomado las siguientes medidas:</w:t>
            </w:r>
          </w:p>
          <w:p w14:paraId="5D5EF75D" w14:textId="0A65F0C6" w:rsidR="00CC3158" w:rsidRPr="00CC3158"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Se prestará atención cuidadosa a las señales conductuales del bebé. Si se observan signos de incomodidad (por ejemplo, movimientos repetidos de rechazo como arquear la espalda), se interrumpirá la actividad de inmediato.</w:t>
            </w:r>
          </w:p>
          <w:p w14:paraId="1F44A080" w14:textId="5D652979" w:rsidR="00CC3158" w:rsidRPr="00CC3158"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La participación también será detenida si el bebé se duerme o pierde interés de forma evidente.</w:t>
            </w:r>
          </w:p>
          <w:p w14:paraId="29AE5A96" w14:textId="048DD330" w:rsidR="00CC3158" w:rsidRPr="00C46D2E"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Durante todo el estudio, los bebés estarán sentados sobre las piernas de su madre o padre, y no serán manipulados directamente por personal del proyecto, en línea con protocolos éticos ampliamente aceptados</w:t>
            </w:r>
            <w:r w:rsidR="00CC3158" w:rsidRPr="0B44BD26">
              <w:fldChar w:fldCharType="begin"/>
            </w:r>
            <w:r w:rsidR="00CC3158" w:rsidRPr="0B44BD26">
              <w:instrText xml:space="preserve"> ADDIN ZOTERO_ITEM CSL_CITATION {"citationID":"wTyE51tp","properties":{"formattedCitation":"\\super 13,14,22,62,134\\uc0\\u8211{}137\\nosupersub{}","plainCitation":"13,14,22,62,134–137","noteIndex":0},"citationItems":[{"id":971,"uris":["http://zotero.org/users/5937427/items/CET3GL2H"],"itemData":{"id":971,"type":"article-journal","abstract":"Gaze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id":5651,"uris":["http://zotero.org/users/5937427/items/63Y8TT5Z"],"itemData":{"id":5651,"type":"chapter","abstract":"The “looking-while-listening” methodology uses real-time measures of the time course of young children’s gaze patterns in response to speech. This procedure is low in task demands and does not require automated eyetracking technology, similar to “preferential-looking” procedures. However, the looking-whilelistening methodology differs critically from preferential-looking procedures in the methods used for data reduction and analysis, yielding high-resolution measures of speech processing from moment to moment, rather than relying on summary measures of looking preference. Because children’s gaze patterns are time-locked to speech and coded frame-by-frame, each 5-min experiment response latencies can be coded with millisecond precision on multiple trials over multiple items, based on data from thousands of frames in each experiment. The meticulous procedures required in the collection, reduction, and multiple levels of analysis of such detailed data are demanding, but well worth the effort, revealing a dynamic and nuanced picture of young children’s developing skill in finding meaning in spoken language.","container-title":"Language Acquisition and Language Disorders","event-place":"Amsterdam","ISBN":"978-90-272-5304-0","language":"en","note":"DOI: 10.1075/lald.44.06fer","page":"97-135","publisher":"John Benjamins Publishing Company","publisher-place":"Amsterdam","source":"DOI.org (Crossref)","title":"Looking while listening: Using eye movements to monitor spoken language comprehension by infants and young children","title-short":"Looking while listening","URL":"https://benjamins.com/catalog/lald.44.06fer","volume":"44","editor":[{"family":"Sekerina","given":"Irina A."},{"family":"Fernández","given":"Eva M."},{"family":"Clahsen","given":"Harald"}],"author":[{"family":"Fernald","given":"Anne E."},{"family":"Zangl","given":"Renate"},{"family":"Portillo","given":"Ana Luz"},{"family":"Marchman","given":"Virginia A."}],"accessed":{"date-parts":[["2025",6,5]]},"issued":{"date-parts":[["2008",1,9]]},"citation-key":"fernaldLookingListeningUsing2008"}},{"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id":949,"uris":["http://zotero.org/users/5937427/items/4F7LWEZU"],"itemData":{"id":949,"type":"article-journal","abstract":"Psychological scientists have become increasingly concerned with issues related to methodology and replicability, and infancy researchers in particular face specific challenges related to replicability: For example, high-powered studies are difficult to conduct, testing conditions vary across labs, and different labs have access to different infant populations. Addressing these concerns, we report on a large-scale, multisite study aimed at (a) assessing the overall replicability of a single theoretically important phenomenon and (b) examining methodological, cultural, and developmental moderators. We focus on infants’ preference for infant-directed speech (IDS) over adult-directed speech (ADS). Stimuli of mothers speaking to their infants and to an adult in North American English were created using seminaturalistic laboratory-based audio recordings. Infants’ relative preference for IDS and ADS was assessed across 67 laboratories in North America, Europe, Australia, and Asia using the three common methods for measuring infants’ discrimination (head-turn preference, central fixation, and eye tracking). The overall meta-analytic effect size (Cohen’s d) was 0.35, 95% confidence interval = [0.29, 0.42], which was reliably above zero but smaller than the meta-analytic mean computed from previous literature (0.67). The IDS preference was significantly stronger in older children, in those children for whom the stimuli matched their native language and dialect, and in data from labs using the head-turn preference procedure. Together, these findings replicate the IDS preference but suggest that its magnitude is modulated by development, native-language experience, and testing procedure.","container-title":"Advances in Methods and Practices in Psychological Science","DOI":"10.1177/2515245919900809","ISSN":"2515-2459","issue":"1","language":"en","note":"publisher: SAGE Publications Inc","page":"24-52","source":"SAGE Journals","title":"Quantifying Sources of Variability in Infancy Research Using the Infant-Directed-Speech Preference","URL":"https://doi.org/10.1177/2515245919900809","volume":"3","author":[{"family":"Frank","given":"Michael C."},{"family":"Alcock","given":"Katherine Jane"},{"family":"Arias-Trejo","given":"Natalia"},{"family":"Aschersleben","given":"Gisa"},{"family":"Baldwin","given":"Dare"},{"family":"Barbu","given":"Stéphanie"},{"family":"Bergelson","given":"Elika"},{"family":"Bergmann","given":"Christina"},{"family":"Black","given":"Alexis K."},{"family":"Blything","given":"Ryan"},{"family":"Böhland","given":"Maximilian P."},{"family":"Bolitho","given":"Petra"},{"family":"Borovsky","given":"Arielle"},{"family":"Brady","given":"Shannon M."},{"family":"Braun","given":"Bettina"},{"family":"Brown","given":"Anna"},{"family":"Byers-Heinlein","given":"Krista"},{"family":"Campbell","given":"Linda E."},{"family":"Cashon","given":"Cara"},{"family":"Choi","given":"Mihye"},{"family":"Christodoulou","given":"Joan"},{"family":"Cirelli","given":"Laura K."},{"family":"Conte","given":"Stefania"},{"family":"Cordes","given":"Sara"},{"family":"Cox","given":"Christopher"},{"family":"Cristia","given":"Alejandrina"},{"family":"Cusack","given":"Rhodri"},{"family":"Davies","given":"Catherine"},{"family":"Klerk","given":"Maartje","non-dropping-particle":"de"},{"family":"Delle Luche","given":"Claire"},{"family":"Ruiter","given":"Laura","dropping-particle":"de"},{"family":"Dinakar","given":"Dhanya"},{"family":"Dixon","given":"Kate C."},{"family":"Durier","given":"Virginie"},{"family":"Durrant","given":"Samantha"},{"family":"Fennell","given":"Christopher"},{"family":"Ferguson","given":"Brock"},{"family":"Ferry","given":"Alissa"},{"family":"Fikkert","given":"Paula"},{"family":"Flanagan","given":"Teresa"},{"family":"Floccia","given":"Caroline"},{"family":"Foley","given":"Megan"},{"family":"Fritzsche","given":"Tom"},{"family":"Frost","given":"Rebecca L. A."},{"family":"Gampe","given":"Anja"},{"family":"Gervain","given":"Judit"},{"family":"Gonzalez-Gomez","given":"Nayeli"},{"family":"Gupta","given":"Anna"},{"family":"Hahn","given":"Laura E."},{"family":"Kiley Hamlin","given":"J."},{"family":"Hannon","given":"Erin E."},{"family":"Havron","given":"Naomi"},{"family":"Hay","given":"Jessica"},{"family":"Hernik","given":"Mikołaj"},{"family":"Höhle","given":"Barbara"},{"family":"Houston","given":"Derek M."},{"family":"Howard","given":"Lauren H."},{"family":"Ishikawa","given":"Mitsuhiko"},{"family":"Itakura","given":"Shoji"},{"family":"Jackson","given":"Iain"},{"family":"Jakobsen","given":"Krisztina V."},{"family":"Jarto","given":"Marianna"},{"family":"Johnson","given":"Scott P."},{"family":"Junge","given":"Caroline"},{"family":"Karadag","given":"Didar"},{"family":"Kartushina","given":"Natalia"},{"family":"Kellier","given":"Danielle J."},{"family":"Keren-Portnoy","given":"Tamar"},{"family":"Klassen","given":"Kelsey"},{"family":"Kline","given":"Melissa"},{"family":"Ko","given":"Eon-Suk"},{"family":"Kominsky","given":"Jonathan F."},{"family":"Kosie","given":"Jessica E."},{"family":"Kragness","given":"Haley E."},{"family":"Krieger","given":"Andrea A. R."},{"family":"Krieger","given":"Florian"},{"family":"Lany","given":"Jill"},{"family":"Lazo","given":"Roberto J."},{"family":"Lee","given":"Michelle"},{"family":"Leservoisier","given":"Chloé"},{"family":"Levelt","given":"Claartje"},{"family":"Lew-Williams","given":"Casey"},{"family":"Lippold","given":"Matthias"},{"family":"Liszkowski","given":"Ulf"},{"family":"Liu","given":"Liquan"},{"family":"Luke","given":"Steven G."},{"family":"Lundwall","given":"Rebecca A."},{"family":"Macchi Cassia","given":"Viola"},{"family":"Mani","given":"Nivedita"},{"family":"Marino","given":"Caterina"},{"family":"Martin","given":"Alia"},{"family":"Mastroberardino","given":"Meghan"},{"family":"Mateu","given":"Victoria"},{"family":"Mayor","given":"Julien"},{"family":"Menn","given":"Katharina"},{"family":"Michel","given":"Christine"},{"family":"Moriguchi","given":"Yusuke"},{"family":"Morris","given":"Benjamin"},{"family":"Nave","given":"Karli M."},{"family":"Nazzi","given":"Thierry"},{"family":"Noble","given":"Claire"},{"family":"Novack","given":"Miriam A."},{"family":"Olesen","given":"Nonah M."},{"family":"John Orena","given":"Adriel"},{"family":"Ota","given":"Mitsuhiko"},{"family":"Panneton","given":"Robin"},{"family":"Esfahani","given":"Sara Parvanezadeh"},{"family":"Paulus","given":"Markus"},{"family":"Pletti","given":"Carolina"},{"family":"Polka","given":"Linda"},{"family":"Potter","given":"Christine"},{"family":"Rabagliati","given":"Hugh"},{"family":"Ramachandran","given":"Shruthilaya"},{"family":"Rennels","given":"Jennifer L."},{"family":"Reynolds","given":"Greg D."},{"family":"Roth","given":"Kelly C."},{"family":"Rothwell","given":"Charlotte"},{"family":"Rubez","given":"Doroteja"},{"family":"Ryjova","given":"Yana"},{"family":"Saffran","given":"Jenny"},{"family":"Sato","given":"Ayumi"},{"family":"Savelkouls","given":"Sophie"},{"family":"Schachner","given":"Adena"},{"family":"Schafer","given":"Graham"},{"family":"Schreiner","given":"Melanie S."},{"family":"Seidl","given":"Amanda"},{"family":"Shukla","given":"Mohinish"},{"family":"Simpson","given":"Elizabeth A."},{"family":"Singh","given":"Leher"},{"family":"Skarabela","given":"Barbora"},{"family":"Soley","given":"Gaye"},{"family":"Sundara","given":"Megha"},{"family":"Theakston","given":"Anna"},{"family":"Thompson","given":"Abbie"},{"family":"Trainor","given":"Laurel J."},{"family":"Trehub","given":"Sandra E."},{"family":"Trøan","given":"Anna S."},{"family":"Tsui","given":"Angeline Sin-Mei"},{"family":"Twomey","given":"Katherine"},{"family":"Von Holzen","given":"Katie"},{"family":"Wang","given":"Yuanyuan"},{"family":"Waxman","given":"Sandra"},{"family":"Werker","given":"Janet F."},{"family":"Wermelinger","given":"Stephanie"},{"family":"Woolard","given":"Alix"},{"family":"Yurovsky","given":"Daniel"},{"family":"Zahner","given":"Katharina"},{"family":"Zettersten","given":"Martin"},{"family":"Soderstrom","given":"Melanie"}],"accessed":{"date-parts":[["2023",5,21]]},"issued":{"date-parts":[["2020",3,1]]},"citation-key":"frankQuantifyingSourcesVariability2020"}},{"id":5648,"uris":["http://zotero.org/users/5937427/items/7ZUFP7GH"],"itemData":{"id":5648,"type":"article-journal","abstract":"The mechanisms by which infant-directed (ID) speech and song support language development in infancy are poorly understood, with most prior investigations focused on the auditory components of these signals. However, the visual components of ID communication are also of fundamental importance for language learning: over the first year of life, infants’ visual attention to caregivers’ faces during ID speech switches from a focus on the eyes to a focus on the mouth, which provides synchronous visual cues that support speech and language development. Caregivers’ facial displays during ID song are highly effective for sustaining infants’ attention. Here we investigate if ID song specifically enhances infants’ attention to caregivers’ mouths. 299 typically developing infants watched clips of female actors engaging them with ID song and speech longitudinally at six time points from 3 to 12 months of age while eye-tracking data was collected. Infants’ mouth-looking significantly increased over the first year of life with a significantly greater increase during ID song versus speech. This difference was early-emerging (evident in the first 6 months of age) and sustained over the first year. Follow-up analyses indicated specific properties inherent to ID song (e.g., slower tempo, reduced rhythmic variability) in part contribute to infants’ increased mouth-looking, with effects increasing with age. The exaggerated and expressive facial features that naturally accompany ID song may make it a particularly effective context for modulating infants’ visual attention and supporting speech and language development in both typically developing infants and those with or at risk for communication challenges. A video abstract of this article can be viewed at https://youtu.be/SZ8xQW8h93A. Research Highlights Infants’ visual attention to adults’ mouths during infant-directed speech has been found to support speech and language development. Infant-directed (ID) song promotes mouth-looking by infants to a greater extent than does ID speech across the first year of life. Features characteristic of ID song such as slower tempo, increased rhythmicity, increased audiovisual synchrony, and increased positive affect, all increase infants’ attention to the mouth. The effects of song on infants’ attention to the mouth are more prominent during the second half of the first year of life.","container-title":"Developmental Science","DOI":"10.1111/desc.13359","ISSN":"1467-7687","issue":"5","language":"en","license":"© 2022 John Wiley &amp; Sons Ltd.","note":"_eprint: https://onlinelibrary.wiley.com/doi/pdf/10.1111/desc.13359","page":"e13359","source":"Wiley Online Library","title":"Infant-directed song potentiates infants’ selective attention to adults’ mouths over the first year of life","URL":"https://onlinelibrary.wiley.com/doi/abs/10.1111/desc.13359","volume":"26","author":[{"family":"Alviar","given":"Camila"},{"family":"Sahoo","given":"Manash"},{"family":"Edwards","given":"Laura A."},{"family":"Jones","given":"Warren"},{"family":"Klin","given":"Ami"},{"family":"Lense","given":"Miriam"}],"accessed":{"date-parts":[["2025",6,5]]},"issued":{"date-parts":[["2023"]]},"citation-key":"alviarInfantdirectedSongPotentiates2023"}},{"id":953,"uris":["http://zotero.org/users/5937427/items/7N7VC8ZU"],"itemData":{"id":953,"type":"article-journal","abstract":"This study measured changes in switches of attention between 1 and 9 months of age in 67 typically developing infants. Remote eye-tracking (Tobii X120) was used to measure saccadic latencies, related to switches of fixation, as a measure of shifts of attention, from a central stimulus to a peripheral visual target, measured in the Fixation Shift Paradigm. Fixation shifts occur later if the central fixation stimulus stays visible when the peripheral target appears (competition condition), than if the central stimulus disappears as the peripheral target appears (non-competition condition). This difference decreases with age. Our results show significantly faster disengagement in infants over 4 months than in the younger group, and provide more precise measures of fixation shifts, than behavioural observation with the same paradigm. Reduced saccadic latencies in the course of a test session indicate a novel learning effect. The Fixation Shift Paradigm combined with remote eye-tracking measures showed improved temporal and spatial accuracy compared to direct observation by a trained observer, and allowed an increased number of trials in a short testing time. This makes it an infant-friendly non-invasive procedure, involving minimal observational training, suitable for use in future studies of clinical populations to detect early attentional abnormalities in the first few months of life.","container-title":"PLOS ONE","DOI":"10.1371/journal.pone.0142505","ISSN":"1932-6203","issue":"12","journalAbbreviation":"PLOS ONE","language":"en","note":"publisher: Public Library of Science","page":"e0142505","source":"PLoS Journals","title":"Automatic Detection of Attention Shifts in Infancy: Eye Tracking in the Fixation Shift Paradigm","title-short":"Automatic Detection of Attention Shifts in Infancy","URL":"https://journals.plos.org/plosone/article?id=10.1371/journal.pone.0142505","volume":"10","author":[{"family":"Kulke","given":"Louisa"},{"family":"Atkinson","given":"Janette"},{"family":"Braddick","given":"Oliver"}],"accessed":{"date-parts":[["2023",5,21]]},"issued":{"date-parts":[["2015",12,1]]},"citation-key":"kulkeAutomaticDetectionAttention2015"}},{"id":952,"uris":["http://zotero.org/users/5937427/items/APHVQQ9R"],"itemData":{"id":952,"type":"article-journal","abstract":"When teaching infants new actions, parents tend to modify their movements. Infants prefer these infant-directed actions (IDAs) over adult-directed actions and learn well from them. Yet, it remains unclear how parents’ action modulations capture infants’ attention. Typically, making movements larger than usual is thought to draw attention. Recent findings, however, suggest that parents might exploit movement variability to highlight actions. We hypothesized that variability in movement amplitude rather than higher amplitude is capturing infants’ attention during IDAs. Using EEG, we measured 15-month-olds’ brain activity while they were observing action demonstrations with normal, high, or variable amplitude movements. Infants’ theta power (4–5 Hz) in fronto-central channels was compared between conditions. Frontal theta was significantly higher, indicating stronger attentional engagement, in the variable compared to the other conditions. Computational modelling showed that infants’ frontal theta power was predicted best by how surprising each movement was. Thus, surprise induced by variability in movements rather than large movements alone engages infants’ attention during IDAs. Infants with higher theta power for variable movements were more likely to perform actions successfully and to explore objects novel in the context of the given goal. This highlights the brain mechanisms by which IDAs enhance infants’ attention, learning, and exploration.","container-title":"Developmental Science","DOI":"10.1111/desc.13259","ISSN":"1467-7687","issue":"1","language":"en","note":"_eprint: https://onlinelibrary.wiley.com/doi/pdf/10.1111/desc.13259","page":"e13259","source":"Wiley Online Library","title":"How infant-directed actions enhance infants’ attention, learning, and exploration: Evidence from EEG and computational modeling","title-short":"How infant-directed actions enhance infants’ attention, learning, and exploration","URL":"https://onlinelibrary.wiley.com/doi/abs/10.1111/desc.13259","volume":"26","author":[{"family":"Meyer","given":"Marlene"},{"family":"Schaik","given":"Johanna E.","non-dropping-particle":"van"},{"family":"Poli","given":"Francesco"},{"family":"Hunnius","given":"Sabine"}],"accessed":{"date-parts":[["2023",5,21]]},"issued":{"date-parts":[["2023"]]},"citation-key":"meyerHowInfantdirectedActions2023"}}],"schema":"https://github.com/citation-style-language/schema/raw/master/csl-citation.json"} </w:instrText>
            </w:r>
            <w:r w:rsidR="00CC3158" w:rsidRPr="0B44BD26">
              <w:fldChar w:fldCharType="separate"/>
            </w:r>
            <w:r w:rsidR="00892B9B" w:rsidRPr="00892B9B">
              <w:rPr>
                <w:rFonts w:ascii="Avenir Next LT Pro" w:hAnsi="Avenir Next LT Pro" w:cs="Times New Roman"/>
                <w:vertAlign w:val="superscript"/>
              </w:rPr>
              <w:t>13,14,22,62,134–137</w:t>
            </w:r>
            <w:r w:rsidR="00CC3158" w:rsidRPr="0B44BD26">
              <w:fldChar w:fldCharType="end"/>
            </w:r>
            <w:r w:rsidRPr="0B44BD26">
              <w:rPr>
                <w:rFonts w:ascii="Avenir Next LT Pro" w:eastAsia="Avenir Next LT Pro" w:hAnsi="Avenir Next LT Pro" w:cs="Avenir Next LT Pro"/>
              </w:rPr>
              <w:t>.</w:t>
            </w:r>
          </w:p>
          <w:p w14:paraId="300DA2A9" w14:textId="54FE17C8" w:rsidR="00E16041" w:rsidRDefault="718C179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procedimiento incluye observar estímulos visuales y auditivos en una pantalla. Se utilizará un sistema de rastreo ocular de escritorio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 completamente no invasivo, para registrar la atención visual. Además, se analizarán expresiones emocionales y reacciones fisiológicas mediante algoritmos de inteligencia artificial aplicados a grabaciones de video, sin requerir contacto físico con el bebé. Estos métodos se han validado en la literatura y son ampliamente utilizados en estudios similares</w:t>
            </w:r>
            <w:r w:rsidR="00EF122F" w:rsidRPr="0B44BD26">
              <w:fldChar w:fldCharType="begin"/>
            </w:r>
            <w:r w:rsidR="00EF122F" w:rsidRPr="0B44BD26">
              <w:instrText xml:space="preserve"> ADDIN ZOTERO_ITEM CSL_CITATION {"citationID":"FqE5quHQ","properties":{"formattedCitation":"\\super 136,137\\nosupersub{}","plainCitation":"136,137","noteIndex":0},"citationItems":[{"id":953,"uris":["http://zotero.org/users/5937427/items/7N7VC8ZU"],"itemData":{"id":953,"type":"article-journal","abstract":"This study measured changes in switches of attention between 1 and 9 months of age in 67 typically developing infants. Remote eye-tracking (Tobii X120) was used to measure saccadic latencies, related to switches of fixation, as a measure of shifts of attention, from a central stimulus to a peripheral visual target, measured in the Fixation Shift Paradigm. Fixation shifts occur later if the central fixation stimulus stays visible when the peripheral target appears (competition condition), than if the central stimulus disappears as the peripheral target appears (non-competition condition). This difference decreases with age. Our results show significantly faster disengagement in infants over 4 months than in the younger group, and provide more precise measures of fixation shifts, than behavioural observation with the same paradigm. Reduced saccadic latencies in the course of a test session indicate a novel learning effect. The Fixation Shift Paradigm combined with remote eye-tracking measures showed improved temporal and spatial accuracy compared to direct observation by a trained observer, and allowed an increased number of trials in a short testing time. This makes it an infant-friendly non-invasive procedure, involving minimal observational training, suitable for use in future studies of clinical populations to detect early attentional abnormalities in the first few months of life.","container-title":"PLOS ONE","DOI":"10.1371/journal.pone.0142505","ISSN":"1932-6203","issue":"12","journalAbbreviation":"PLOS ONE","language":"en","note":"publisher: Public Library of Science","page":"e0142505","source":"PLoS Journals","title":"Automatic Detection of Attention Shifts in Infancy: Eye Tracking in the Fixation Shift Paradigm","title-short":"Automatic Detection of Attention Shifts in Infancy","URL":"https://journals.plos.org/plosone/article?id=10.1371/journal.pone.0142505","volume":"10","author":[{"family":"Kulke","given":"Louisa"},{"family":"Atkinson","given":"Janette"},{"family":"Braddick","given":"Oliver"}],"accessed":{"date-parts":[["2023",5,21]]},"issued":{"date-parts":[["2015",12,1]]},"citation-key":"kulkeAutomaticDetectionAttention2015"}},{"id":952,"uris":["http://zotero.org/users/5937427/items/APHVQQ9R"],"itemData":{"id":952,"type":"article-journal","abstract":"When teaching infants new actions, parents tend to modify their movements. Infants prefer these infant-directed actions (IDAs) over adult-directed actions and learn well from them. Yet, it remains unclear how parents’ action modulations capture infants’ attention. Typically, making movements larger than usual is thought to draw attention. Recent findings, however, suggest that parents might exploit movement variability to highlight actions. We hypothesized that variability in movement amplitude rather than higher amplitude is capturing infants’ attention during IDAs. Using EEG, we measured 15-month-olds’ brain activity while they were observing action demonstrations with normal, high, or variable amplitude movements. Infants’ theta power (4–5 Hz) in fronto-central channels was compared between conditions. Frontal theta was significantly higher, indicating stronger attentional engagement, in the variable compared to the other conditions. Computational modelling showed that infants’ frontal theta power was predicted best by how surprising each movement was. Thus, surprise induced by variability in movements rather than large movements alone engages infants’ attention during IDAs. Infants with higher theta power for variable movements were more likely to perform actions successfully and to explore objects novel in the context of the given goal. This highlights the brain mechanisms by which IDAs enhance infants’ attention, learning, and exploration.","container-title":"Developmental Science","DOI":"10.1111/desc.13259","ISSN":"1467-7687","issue":"1","language":"en","note":"_eprint: https://onlinelibrary.wiley.com/doi/pdf/10.1111/desc.13259","page":"e13259","source":"Wiley Online Library","title":"How infant-directed actions enhance infants’ attention, learning, and exploration: Evidence from EEG and computational modeling","title-short":"How infant-directed actions enhance infants’ attention, learning, and exploration","URL":"https://onlinelibrary.wiley.com/doi/abs/10.1111/desc.13259","volume":"26","author":[{"family":"Meyer","given":"Marlene"},{"family":"Schaik","given":"Johanna E.","non-dropping-particle":"van"},{"family":"Poli","given":"Francesco"},{"family":"Hunnius","given":"Sabine"}],"accessed":{"date-parts":[["2023",5,21]]},"issued":{"date-parts":[["2023"]]},"citation-key":"meyerHowInfantdirectedActions2023"}}],"schema":"https://github.com/citation-style-language/schema/raw/master/csl-citation.json"} </w:instrText>
            </w:r>
            <w:r w:rsidR="00EF122F" w:rsidRPr="0B44BD26">
              <w:fldChar w:fldCharType="separate"/>
            </w:r>
            <w:r w:rsidR="00892B9B" w:rsidRPr="00892B9B">
              <w:rPr>
                <w:rFonts w:ascii="Avenir Next LT Pro" w:hAnsi="Avenir Next LT Pro" w:cs="Times New Roman"/>
                <w:vertAlign w:val="superscript"/>
              </w:rPr>
              <w:t>136,137</w:t>
            </w:r>
            <w:r w:rsidR="00EF122F" w:rsidRPr="0B44BD26">
              <w:fldChar w:fldCharType="end"/>
            </w:r>
            <w:r w:rsidRPr="0B44BD26">
              <w:rPr>
                <w:rFonts w:ascii="Avenir Next LT Pro" w:eastAsia="Avenir Next LT Pro" w:hAnsi="Avenir Next LT Pro" w:cs="Avenir Next LT Pro"/>
              </w:rPr>
              <w:t>.</w:t>
            </w:r>
          </w:p>
          <w:p w14:paraId="005F0876" w14:textId="436B1DAD" w:rsidR="00885F98" w:rsidRDefault="430428DB"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Para facilitar la participación y promover la inclusión de familias con distintas condiciones socioeconómicas, se ofrecerá a las personas participantes un subsidio de transporte, como reconocimiento a las dificultades logísticas que implica asistir con un bebé.</w:t>
            </w:r>
            <w:r w:rsidR="2B1FB6ED" w:rsidRPr="0B44BD26">
              <w:rPr>
                <w:rFonts w:ascii="Avenir Next LT Pro" w:eastAsia="Avenir Next LT Pro" w:hAnsi="Avenir Next LT Pro" w:cs="Avenir Next LT Pro"/>
              </w:rPr>
              <w:t xml:space="preserve"> Con esto buscamos, además, garantizar una muestra suficiente y de la que puedan hacer parte personas con diferentes condiciones.</w:t>
            </w:r>
          </w:p>
          <w:p w14:paraId="120141B9" w14:textId="409062DC" w:rsidR="00885F98" w:rsidRDefault="0E590F9A" w:rsidP="0B44BD26">
            <w:pPr>
              <w:pStyle w:val="ListParagraph"/>
              <w:numPr>
                <w:ilvl w:val="0"/>
                <w:numId w:val="10"/>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Efectos del IDS en habilidades lingüísticas y musicales posteriores (Estudio 2)</w:t>
            </w:r>
          </w:p>
          <w:p w14:paraId="6A590E85" w14:textId="695C0C50" w:rsidR="00847551" w:rsidRPr="00847551" w:rsidRDefault="137D94A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el Estudio 2 se analizarán datos recolectados mediante encuestas o pruebas en línea</w:t>
            </w:r>
            <w:r w:rsidR="6D956F5A" w:rsidRPr="0B44BD26">
              <w:rPr>
                <w:rFonts w:ascii="Avenir Next LT Pro" w:eastAsia="Avenir Next LT Pro" w:hAnsi="Avenir Next LT Pro" w:cs="Avenir Next LT Pro"/>
              </w:rPr>
              <w:t>, proveídos por madres de niños o niñas con edades entre 16 y 23 meses</w:t>
            </w:r>
            <w:r w:rsidRPr="0B44BD26">
              <w:rPr>
                <w:rFonts w:ascii="Avenir Next LT Pro" w:eastAsia="Avenir Next LT Pro" w:hAnsi="Avenir Next LT Pro" w:cs="Avenir Next LT Pro"/>
              </w:rPr>
              <w:t xml:space="preserve">. La participación será voluntaria, anónima, y no se recopilará información personal sensible. Los datos serán analizados de forma agregada y únicamente con fines científicos. Para proteger la </w:t>
            </w:r>
            <w:r w:rsidRPr="0B44BD26">
              <w:rPr>
                <w:rFonts w:ascii="Avenir Next LT Pro" w:eastAsia="Avenir Next LT Pro" w:hAnsi="Avenir Next LT Pro" w:cs="Avenir Next LT Pro"/>
              </w:rPr>
              <w:lastRenderedPageBreak/>
              <w:t>calidad de los datos, se excluirán respuestas repetidas desde una misma dirección IP, manteniéndose únicamente la primera entrada válida por participante.</w:t>
            </w:r>
          </w:p>
          <w:p w14:paraId="45A7BFE0" w14:textId="44811C62" w:rsidR="00CB132E" w:rsidRPr="00847B5F" w:rsidRDefault="137D94A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estudio no presenta riesgos físicos ni psicológicos para las personas participantes y se ajusta a la clasificación de investigación sin riesgo, de acuerdo con la Resolución 8430 de 1993.</w:t>
            </w:r>
          </w:p>
        </w:tc>
      </w:tr>
    </w:tbl>
    <w:p w14:paraId="66C2DA37" w14:textId="7CD1F285"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10. IMPACTO SOCIAL Y RESOLUCIÓN DEL RETO PROPUESTO</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D009DB" w:rsidRPr="00847B5F" w14:paraId="43936A6F" w14:textId="77777777" w:rsidTr="3FF8FB8C">
        <w:trPr>
          <w:trHeight w:val="204"/>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vAlign w:val="center"/>
          </w:tcPr>
          <w:p w14:paraId="5C3A4C71" w14:textId="1FA0BC19" w:rsidR="00D009DB" w:rsidRPr="00D009DB" w:rsidRDefault="586F2FDC" w:rsidP="00B8609F">
            <w:pPr>
              <w:shd w:val="clear" w:color="auto" w:fill="2D8F8D"/>
              <w:spacing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10. IMPACTO SOCIAL Y RESOLUCIÓN DEL RETO PROPUESTO</w:t>
            </w:r>
          </w:p>
        </w:tc>
      </w:tr>
      <w:tr w:rsidR="00D009DB" w:rsidRPr="00847B5F" w14:paraId="723FAA24"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227E9B" w14:textId="7EA3471A" w:rsidR="00766CB1" w:rsidRPr="00766CB1" w:rsidRDefault="5563A6D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se alinea con el Reto 4 del Ministerio de Ciencia, Tecnología e Innovación: "Garantizar la seguridad sanitaria, la salud y el bienestar de la población en el territorio nacional", al abordar un proceso crítico para el desarrollo temprano: la comunicación vocal entre madres y bebés en etapas prelingüísticas. En particular, busca comprender cómo las características acústicas del habla dirigida a bebés (IDS) influyen en la atención social y predicen el desarrollo lingüístico y musical en la infancia, elementos fundamentales para el bienestar emocional, social y cognitivo.</w:t>
            </w:r>
          </w:p>
          <w:p w14:paraId="5A85DDE2" w14:textId="353914E4" w:rsidR="00766CB1" w:rsidRPr="00766CB1" w:rsidRDefault="3CAFEAF7"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A nivel institucional, se alinea principalmente con el reto de "Diseñar e implementar estrategias de prevención, diagnóstico y tratamiento de enfermedades transmisibles y no transmisibles", al generar evidencia científica que podrá ser utilizada para diseñar estrategias de prevención e intervención en salud materno-infantil, con posibles aplicaciones en contextos clínicos (como la depresión p</w:t>
            </w:r>
            <w:r w:rsidR="49CE88EB" w:rsidRPr="3FF8FB8C">
              <w:rPr>
                <w:rFonts w:ascii="Avenir Next LT Pro" w:eastAsia="Avenir Next LT Pro" w:hAnsi="Avenir Next LT Pro" w:cs="Avenir Next LT Pro"/>
              </w:rPr>
              <w:t>ostparto</w:t>
            </w:r>
            <w:r w:rsidRPr="3FF8FB8C">
              <w:rPr>
                <w:rFonts w:ascii="Avenir Next LT Pro" w:eastAsia="Avenir Next LT Pro" w:hAnsi="Avenir Next LT Pro" w:cs="Avenir Next LT Pro"/>
              </w:rPr>
              <w:t xml:space="preserve"> o el riesgo de retraso en el lenguaje) y educativos (como la estimulación temprana del lenguaje y la musicalidad).</w:t>
            </w:r>
          </w:p>
          <w:p w14:paraId="346BD12A" w14:textId="6DEC8F6E" w:rsidR="00766CB1" w:rsidRPr="00766CB1" w:rsidRDefault="3CAFEAF7"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Además, el proyecto contribuye de forma transversal al reto de "fomentar la integración de tecnologías emergentes y la colaboración entre actores del ecosistema de salud", mediante el uso de herramientas innovadoras como el </w:t>
            </w:r>
            <w:r w:rsidRPr="3FF8FB8C">
              <w:rPr>
                <w:rFonts w:ascii="Avenir Next LT Pro" w:eastAsia="Avenir Next LT Pro" w:hAnsi="Avenir Next LT Pro" w:cs="Avenir Next LT Pro"/>
                <w:i/>
                <w:iCs/>
              </w:rPr>
              <w:t>eye-tracking</w:t>
            </w:r>
            <w:r w:rsidRPr="3FF8FB8C">
              <w:rPr>
                <w:rFonts w:ascii="Avenir Next LT Pro" w:eastAsia="Avenir Next LT Pro" w:hAnsi="Avenir Next LT Pro" w:cs="Avenir Next LT Pro"/>
              </w:rPr>
              <w:t xml:space="preserve"> y la inteligencia artificial para el análisis de la atención, las emociones y las respuestas fisiológicas de bebés en estudios no invasivos. Estas tecnologías, junto con el enfoque transdisciplinar del proyecto, abren la posibilidad de colaboración futura con instituciones de salud, desarrollo infantil, diseño interactivo y comunicación científica.</w:t>
            </w:r>
          </w:p>
          <w:p w14:paraId="1ADB8310" w14:textId="78E1D40A" w:rsidR="00D009DB" w:rsidRPr="00847B5F" w:rsidRDefault="5563A6D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cuanto a su impacto social y posibilidad de transferencia, los hallazgos permitirán fortalecer el conocimiento sobre el desarrollo temprano del lenguaje, visibilizando el papel clave de la interacción vocal madre-bebé en la salud y bienestar infantil. Los resultados podrán ser transferidos mediante estrategias de divulgación, talleres con cuidadores, guías prácticas para personal de salud y educación inicial, así como insumos para políticas públicas orientadas a la primera infancia. A mediano plazo, podrían contribuir a desarrollar herramientas de cribado o programas de intervención adaptados a contextos locales, especialmente en poblaciones vulnerables.</w:t>
            </w:r>
          </w:p>
        </w:tc>
      </w:tr>
    </w:tbl>
    <w:p w14:paraId="35A4ADF1" w14:textId="130753EA"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11. CONTINUIDAD EN EL CICLO DE I+D+I</w:t>
      </w:r>
    </w:p>
    <w:tbl>
      <w:tblPr>
        <w:tblStyle w:val="afffffffff1"/>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04FC04D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09B1CC6C"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11. CONTINUIDAD EN EL CICLO DE I+D+I</w:t>
            </w:r>
          </w:p>
        </w:tc>
      </w:tr>
      <w:tr w:rsidR="00844492" w:rsidRPr="00847B5F" w14:paraId="1029D9D4"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DD2A0" w14:textId="05FD5AF9"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 xml:space="preserve">El proyecto se encuentra actualmente en un nivel SRL/TRL 1–3, al desarrollar y validar experimentalmente un modelo de laboratorio para analizar el impacto del IDS en la atención y el desarrollo infantil. En este bloque, los productos se concretarán principalmente en artículos científicos (incluyendo </w:t>
            </w:r>
            <w:proofErr w:type="spellStart"/>
            <w:r w:rsidRPr="004E6CC3">
              <w:rPr>
                <w:rFonts w:ascii="Avenir Next LT Pro" w:eastAsia="Avenir Next LT Pro" w:hAnsi="Avenir Next LT Pro" w:cs="Avenir Next LT Pro"/>
                <w:i/>
                <w:iCs/>
                <w:color w:val="000000"/>
                <w:lang w:val="es-CO"/>
              </w:rPr>
              <w:t>Registered</w:t>
            </w:r>
            <w:proofErr w:type="spellEnd"/>
            <w:r w:rsidRPr="004E6CC3">
              <w:rPr>
                <w:rFonts w:ascii="Avenir Next LT Pro" w:eastAsia="Avenir Next LT Pro" w:hAnsi="Avenir Next LT Pro" w:cs="Avenir Next LT Pro"/>
                <w:i/>
                <w:iCs/>
                <w:color w:val="000000"/>
                <w:lang w:val="es-CO"/>
              </w:rPr>
              <w:t xml:space="preserve"> </w:t>
            </w:r>
            <w:proofErr w:type="spellStart"/>
            <w:r w:rsidRPr="004E6CC3">
              <w:rPr>
                <w:rFonts w:ascii="Avenir Next LT Pro" w:eastAsia="Avenir Next LT Pro" w:hAnsi="Avenir Next LT Pro" w:cs="Avenir Next LT Pro"/>
                <w:i/>
                <w:iCs/>
                <w:color w:val="000000"/>
                <w:lang w:val="es-CO"/>
              </w:rPr>
              <w:t>Reports</w:t>
            </w:r>
            <w:proofErr w:type="spellEnd"/>
            <w:r w:rsidR="00D841C8" w:rsidRPr="00BC286D">
              <w:rPr>
                <w:rStyle w:val="FootnoteReference"/>
              </w:rPr>
              <w:footnoteReference w:id="2"/>
            </w:r>
            <w:r w:rsidRPr="004E6CC3">
              <w:rPr>
                <w:rFonts w:ascii="Avenir Next LT Pro" w:eastAsia="Avenir Next LT Pro" w:hAnsi="Avenir Next LT Pro" w:cs="Avenir Next LT Pro"/>
                <w:color w:val="000000"/>
                <w:lang w:val="es-CO"/>
              </w:rPr>
              <w:t xml:space="preserve"> en revistas Q1), así como en la consolidación de bases conceptuales y metodológicas para fases posteriores.</w:t>
            </w:r>
          </w:p>
          <w:p w14:paraId="41B6235C" w14:textId="072E5D40"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Durante los 30 meses de ejecución, se espera avanzar hacia un nivel SRL/TRL 4–5. En esta etapa, se materiales aplicados para cuidadores/profesionales y estrategias de divulgación pública (sitio web, videos, podcasts). También se socializarán resultados en eventos nacionales e internacionales, y se fortalecerá la formación de recurso humano mediante dirección de trabajos de grado y vinculación de semilleros.</w:t>
            </w:r>
          </w:p>
          <w:p w14:paraId="03775518" w14:textId="77777777"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 xml:space="preserve">Adicionalmente, el proyecto permitirá avanzar en el eje tecnológico mediante la continuación del desarrollo y validación de un prototipo funcional de eye-tracker basado en cámara web y software de código abierto. La validación frente a sistemas de escritorio de alta precisión permitirá establecer su viabilidad y escalabilidad para estudios remotos </w:t>
            </w:r>
            <w:r w:rsidRPr="004E6CC3">
              <w:rPr>
                <w:rFonts w:ascii="Avenir Next LT Pro" w:eastAsia="Avenir Next LT Pro" w:hAnsi="Avenir Next LT Pro" w:cs="Avenir Next LT Pro"/>
                <w:color w:val="000000"/>
                <w:lang w:val="es-CO"/>
              </w:rPr>
              <w:lastRenderedPageBreak/>
              <w:t>en entornos naturales, lo que constituye un producto alineado con los niveles TRL 4–5 (validación de componentes y pruebas en entornos controlados).</w:t>
            </w:r>
          </w:p>
          <w:p w14:paraId="3E5E594B" w14:textId="77777777" w:rsidR="004E6CC3" w:rsidRDefault="004E6CC3" w:rsidP="004F1E5F">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Aunque en esta fase no se alcanzarán productos tecnológicos o sociales de implementación masiva (niveles 6–9), el proyecto sentará las bases conceptuales, metodológicas y técnicas para fases posteriores. A mediano plazo, los hallazgos podrán apoyar estrategias de estimulación temprana, detección de riesgos en el desarrollo comunicativo e intervenciones en salud perinatal y educación inicial, así como la movilización de recursos externos y cooperación internacional para dar continuidad a la línea de investigación.</w:t>
            </w:r>
          </w:p>
          <w:p w14:paraId="6A659589" w14:textId="77777777" w:rsidR="00F935CC" w:rsidRPr="00F935CC" w:rsidRDefault="00F935CC" w:rsidP="00F935CC">
            <w:pPr>
              <w:ind w:left="0" w:firstLineChars="0" w:firstLine="0"/>
              <w:rPr>
                <w:rFonts w:ascii="Avenir Next LT Pro" w:eastAsia="Avenir Next LT Pro" w:hAnsi="Avenir Next LT Pro" w:cs="Avenir Next LT Pro"/>
                <w:b/>
                <w:bCs/>
                <w:color w:val="000000"/>
                <w:lang w:val="es-CO"/>
              </w:rPr>
            </w:pPr>
            <w:r w:rsidRPr="00F935CC">
              <w:rPr>
                <w:rFonts w:ascii="Avenir Next LT Pro" w:eastAsia="Avenir Next LT Pro" w:hAnsi="Avenir Next LT Pro" w:cs="Avenir Next LT Pro"/>
                <w:b/>
                <w:bCs/>
                <w:color w:val="000000"/>
                <w:lang w:val="es-CO"/>
              </w:rPr>
              <w:t>Tabla 1</w:t>
            </w:r>
          </w:p>
          <w:p w14:paraId="0AD5B2C2" w14:textId="56269377" w:rsidR="005A3A17" w:rsidRPr="00F935CC" w:rsidRDefault="00F935CC" w:rsidP="00F935CC">
            <w:pPr>
              <w:ind w:left="0" w:firstLineChars="0" w:firstLine="0"/>
              <w:rPr>
                <w:rFonts w:ascii="Avenir Next LT Pro" w:eastAsia="Avenir Next LT Pro" w:hAnsi="Avenir Next LT Pro" w:cs="Avenir Next LT Pro"/>
                <w:i/>
                <w:iCs/>
                <w:color w:val="000000"/>
                <w:lang w:val="es-CO"/>
              </w:rPr>
            </w:pPr>
            <w:r w:rsidRPr="00F935CC">
              <w:rPr>
                <w:rFonts w:ascii="Avenir Next LT Pro" w:eastAsia="Avenir Next LT Pro" w:hAnsi="Avenir Next LT Pro" w:cs="Avenir Next LT Pro"/>
                <w:i/>
                <w:iCs/>
                <w:color w:val="000000"/>
                <w:lang w:val="es-CO"/>
              </w:rPr>
              <w:t>Continuidad del proyecto en el ciclo de I+D+I: estado actual y meta en términos de niveles SRL/TRL y productos comprometidos</w:t>
            </w:r>
          </w:p>
          <w:tbl>
            <w:tblPr>
              <w:tblStyle w:val="TableGrid"/>
              <w:tblW w:w="9931" w:type="dxa"/>
              <w:tblLook w:val="04A0" w:firstRow="1" w:lastRow="0" w:firstColumn="1" w:lastColumn="0" w:noHBand="0" w:noVBand="1"/>
            </w:tblPr>
            <w:tblGrid>
              <w:gridCol w:w="2471"/>
              <w:gridCol w:w="2471"/>
              <w:gridCol w:w="4989"/>
            </w:tblGrid>
            <w:tr w:rsidR="00355847" w14:paraId="78093C0A" w14:textId="77777777" w:rsidTr="00355847">
              <w:tc>
                <w:tcPr>
                  <w:tcW w:w="2471" w:type="dxa"/>
                </w:tcPr>
                <w:p w14:paraId="17212111" w14:textId="4B997E98" w:rsidR="00682C70" w:rsidRPr="006042E5" w:rsidRDefault="00682C70">
                  <w:pPr>
                    <w:pBdr>
                      <w:top w:val="none" w:sz="0" w:space="0" w:color="auto"/>
                      <w:left w:val="none" w:sz="0" w:space="0" w:color="auto"/>
                      <w:bottom w:val="none" w:sz="0" w:space="0" w:color="auto"/>
                      <w:right w:val="none" w:sz="0" w:space="0" w:color="auto"/>
                      <w:between w:val="none" w:sz="0" w:space="0" w:color="auto"/>
                    </w:pBdr>
                    <w:spacing w:after="0" w:line="240" w:lineRule="auto"/>
                    <w:ind w:left="-2" w:firstLineChars="0" w:firstLine="0"/>
                    <w:outlineLvl w:val="9"/>
                    <w:rPr>
                      <w:rFonts w:ascii="Times New Roman" w:eastAsia="Times New Roman" w:hAnsi="Times New Roman" w:cs="Times New Roman"/>
                      <w:b/>
                      <w:bCs/>
                      <w:color w:val="auto"/>
                      <w:sz w:val="24"/>
                      <w:szCs w:val="24"/>
                      <w:lang w:val="en-GB" w:eastAsia="en-GB"/>
                    </w:rPr>
                  </w:pPr>
                  <w:r>
                    <w:rPr>
                      <w:rStyle w:val="Strong"/>
                    </w:rPr>
                    <w:t>Nivel SRL/TRL</w:t>
                  </w:r>
                </w:p>
              </w:tc>
              <w:tc>
                <w:tcPr>
                  <w:tcW w:w="2471" w:type="dxa"/>
                </w:tcPr>
                <w:p w14:paraId="6CFE3A1A" w14:textId="4022AE4C"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color w:val="000000"/>
                      <w:lang w:val="es-CO"/>
                    </w:rPr>
                  </w:pPr>
                  <w:r>
                    <w:rPr>
                      <w:rFonts w:ascii="Avenir Next LT Pro" w:eastAsia="Avenir Next LT Pro" w:hAnsi="Avenir Next LT Pro" w:cs="Avenir Next LT Pro"/>
                      <w:color w:val="000000"/>
                      <w:lang w:val="es-CO"/>
                    </w:rPr>
                    <w:t>Estado/Meta</w:t>
                  </w:r>
                </w:p>
              </w:tc>
              <w:tc>
                <w:tcPr>
                  <w:tcW w:w="4989" w:type="dxa"/>
                </w:tcPr>
                <w:p w14:paraId="7A7866B6" w14:textId="10AF4EC9"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Productos del proyecto (</w:t>
                  </w:r>
                  <w:hyperlink w:anchor="_13._PRODUCTOS" w:history="1">
                    <w:r w:rsidRPr="00C50633">
                      <w:rPr>
                        <w:rStyle w:val="Hyperlink"/>
                        <w:rFonts w:ascii="Avenir Next LT Pro" w:eastAsia="Avenir Next LT Pro" w:hAnsi="Avenir Next LT Pro" w:cs="Avenir Next LT Pro"/>
                        <w:position w:val="0"/>
                      </w:rPr>
                      <w:t>sección 13</w:t>
                    </w:r>
                  </w:hyperlink>
                  <w:r w:rsidRPr="006F04E7">
                    <w:rPr>
                      <w:rFonts w:ascii="Avenir Next LT Pro" w:eastAsia="Avenir Next LT Pro" w:hAnsi="Avenir Next LT Pro" w:cs="Avenir Next LT Pro"/>
                      <w:color w:val="000000"/>
                    </w:rPr>
                    <w:t>)</w:t>
                  </w:r>
                </w:p>
              </w:tc>
            </w:tr>
            <w:tr w:rsidR="00355847" w14:paraId="6227B6CD" w14:textId="77777777" w:rsidTr="00355847">
              <w:tc>
                <w:tcPr>
                  <w:tcW w:w="2471" w:type="dxa"/>
                  <w:vAlign w:val="center"/>
                </w:tcPr>
                <w:p w14:paraId="15514971" w14:textId="40A65AFC"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1–3 (actual)</w:t>
                  </w:r>
                </w:p>
              </w:tc>
              <w:tc>
                <w:tcPr>
                  <w:tcW w:w="2471" w:type="dxa"/>
                  <w:vAlign w:val="center"/>
                </w:tcPr>
                <w:p w14:paraId="6A7B26A0" w14:textId="71471D58"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Desarrollo y validación experimental de un modelo en laboratorio para analizar el impacto del IDS en la atención y desarrollo infantil.</w:t>
                  </w:r>
                </w:p>
              </w:tc>
              <w:tc>
                <w:tcPr>
                  <w:tcW w:w="4989" w:type="dxa"/>
                  <w:vAlign w:val="center"/>
                </w:tcPr>
                <w:p w14:paraId="777BC030" w14:textId="446A0319"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2 artículos científicos en revistas Q1 (</w:t>
                  </w:r>
                  <w:r w:rsidR="004D31B9" w:rsidRPr="004D31B9">
                    <w:rPr>
                      <w:rFonts w:ascii="Avenir Next LT Pro" w:eastAsia="Avenir Next LT Pro" w:hAnsi="Avenir Next LT Pro" w:cs="Avenir Next LT Pro"/>
                      <w:color w:val="000000"/>
                    </w:rPr>
                    <w:t xml:space="preserve">publicados bajo el modelo de reporte </w:t>
                  </w:r>
                  <w:proofErr w:type="spellStart"/>
                  <w:r w:rsidR="004D31B9" w:rsidRPr="004D31B9">
                    <w:rPr>
                      <w:rFonts w:ascii="Avenir Next LT Pro" w:eastAsia="Avenir Next LT Pro" w:hAnsi="Avenir Next LT Pro" w:cs="Avenir Next LT Pro"/>
                      <w:color w:val="000000"/>
                    </w:rPr>
                    <w:t>registrado</w:t>
                  </w:r>
                  <w:r w:rsidR="00486742">
                    <w:rPr>
                      <w:rFonts w:ascii="Avenir Next LT Pro" w:eastAsia="Avenir Next LT Pro" w:hAnsi="Avenir Next LT Pro" w:cs="Avenir Next LT Pro"/>
                      <w:color w:val="000000"/>
                    </w:rPr>
                    <w:fldChar w:fldCharType="begin"/>
                  </w:r>
                  <w:r w:rsidR="00486742">
                    <w:rPr>
                      <w:rFonts w:ascii="Avenir Next LT Pro" w:eastAsia="Avenir Next LT Pro" w:hAnsi="Avenir Next LT Pro" w:cs="Avenir Next LT Pro"/>
                      <w:color w:val="000000"/>
                    </w:rPr>
                    <w:instrText xml:space="preserve"> ADDIN ZOTERO_ITEM CSL_CITATION {"citationID":"I3dVcASO","properties":{"formattedCitation":"\\super e.g., 138,139\\nosupersub{}","plainCitation":"e.g., 138,139","noteIndex":0},"citationItems":[{"id":962,"uris":["http://zotero.org/users/5937427/items/8QDYCQVX"],"itemData":{"id":962,"type":"article-journal","abstract":"Registered Reports are a form of empirical publication in which study proposals are peer reviewed and pre-accepted before research is undertaken. By deciding which articles are published based on the question, theory and methods, Registered Reports offer a remedy for a range of reporting and publication biases. Here, we reflect on the history, progress and future prospects of the Registered Reports initiative and offer practical guidance for authors, reviewers and editors. We review early evidence that Registered Reports are working as intended, while at the same time acknowledging that they are not a universal solution for irreproducibility. We also consider how the policies and practices surrounding Registered Reports are changing, or must change in the future, to address limitations and adapt to new challenges. We conclude that Registered Reports are promoting reproducibility, transparency and self-correction across disciplines and may help reshape how society evaluates research and researchers.","container-title":"Nature Human Behaviour","DOI":"10.1038/s41562-021-01193-7","ISSN":"2397-3374","issue":"1","journalAbbreviation":"Nat Hum Behav","language":"en","license":"2021 Springer Nature Limited","note":"number: 1\npublisher: Nature Publishing Group","page":"29-42","source":"www.nature.com","title":"The past, present and future of Registered Reports","URL":"https://www.nature.com/articles/s41562-021-01193-7","volume":"6","author":[{"family":"Chambers","given":"Christopher D."},{"family":"Tzavella","given":"Loukia"}],"accessed":{"date-parts":[["2023",5,16]]},"issued":{"date-parts":[["2022",1]]},"citation-key":"chambersPresentFutureRegistered2022"},"prefix":"e.g., "},{"id":5839,"uris":["http://zotero.org/users/5937427/items/Y4K5MK9Q"],"itemData":{"id":5839,"type":"article-journal","container-title":"Trends in Neurosciences","DOI":"10.1016/j.tins.2019.07.003","ISSN":"0166-2236, 1878-108X","issue":"9","journalAbbreviation":"Trends in Neurosciences","language":"English","note":"publisher: Elsevier\nPMID: 31470913","page":"568-572","source":"www.cell.com","title":"Practical Considerations for Navigating Registered Reports","URL":"https://www.cell.com/trends/neurosciences/abstract/S0166-2236(19)30124-9","volume":"42","author":[{"family":"Kiyonaga","given":"Anastasia"},{"family":"Scimeca","given":"Jason M."}],"accessed":{"date-parts":[["2025",8,31]]},"issued":{"date-parts":[["2019",9,1]]},"citation-key":"kiyonagaPracticalConsiderationsNavigating2019"}}],"schema":"https://github.com/citation-style-language/schema/raw/master/csl-citation.json"} </w:instrText>
                  </w:r>
                  <w:r w:rsidR="00486742">
                    <w:rPr>
                      <w:rFonts w:ascii="Avenir Next LT Pro" w:eastAsia="Avenir Next LT Pro" w:hAnsi="Avenir Next LT Pro" w:cs="Avenir Next LT Pro"/>
                      <w:color w:val="000000"/>
                    </w:rPr>
                    <w:fldChar w:fldCharType="separate"/>
                  </w:r>
                  <w:r w:rsidR="00486742" w:rsidRPr="00486742">
                    <w:rPr>
                      <w:rFonts w:ascii="Avenir Next LT Pro" w:hAnsi="Avenir Next LT Pro" w:cs="Times New Roman"/>
                      <w:vertAlign w:val="superscript"/>
                    </w:rPr>
                    <w:t>e.g</w:t>
                  </w:r>
                  <w:proofErr w:type="spellEnd"/>
                  <w:r w:rsidR="00486742" w:rsidRPr="00486742">
                    <w:rPr>
                      <w:rFonts w:ascii="Avenir Next LT Pro" w:hAnsi="Avenir Next LT Pro" w:cs="Times New Roman"/>
                      <w:vertAlign w:val="superscript"/>
                    </w:rPr>
                    <w:t>., 138,139</w:t>
                  </w:r>
                  <w:r w:rsidR="00486742">
                    <w:rPr>
                      <w:rFonts w:ascii="Avenir Next LT Pro" w:eastAsia="Avenir Next LT Pro" w:hAnsi="Avenir Next LT Pro" w:cs="Avenir Next LT Pro"/>
                      <w:color w:val="000000"/>
                    </w:rPr>
                    <w:fldChar w:fldCharType="end"/>
                  </w:r>
                  <w:r w:rsidRPr="00B16B63">
                    <w:rPr>
                      <w:rFonts w:ascii="Avenir Next LT Pro" w:eastAsia="Avenir Next LT Pro" w:hAnsi="Avenir Next LT Pro" w:cs="Avenir Next LT Pro"/>
                      <w:color w:val="000000"/>
                    </w:rPr>
                    <w:t>).</w:t>
                  </w:r>
                </w:p>
                <w:p w14:paraId="3592D0D9" w14:textId="77777777"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Consolidación de bases conceptuales y metodológicas.</w:t>
                  </w:r>
                </w:p>
                <w:p w14:paraId="2FC203E1" w14:textId="77777777"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Dirección de trabajos de grado de pregrado y posgrado.</w:t>
                  </w:r>
                </w:p>
                <w:p w14:paraId="52214A2E" w14:textId="1227DA71"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lang w:val="es-CO"/>
                    </w:rPr>
                  </w:pPr>
                  <w:r w:rsidRPr="00B16B63">
                    <w:rPr>
                      <w:rFonts w:ascii="Avenir Next LT Pro" w:eastAsia="Avenir Next LT Pro" w:hAnsi="Avenir Next LT Pro" w:cs="Avenir Next LT Pro"/>
                      <w:color w:val="000000"/>
                    </w:rPr>
                    <w:t>Vinculación de 3 semilleros.</w:t>
                  </w:r>
                </w:p>
              </w:tc>
            </w:tr>
            <w:tr w:rsidR="00355847" w14:paraId="416CC2C1" w14:textId="77777777" w:rsidTr="00355847">
              <w:tc>
                <w:tcPr>
                  <w:tcW w:w="2471" w:type="dxa"/>
                  <w:vAlign w:val="center"/>
                </w:tcPr>
                <w:p w14:paraId="289CCC7D" w14:textId="0B20C980"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4–5 (meta en 30 meses)</w:t>
                  </w:r>
                </w:p>
              </w:tc>
              <w:tc>
                <w:tcPr>
                  <w:tcW w:w="2471" w:type="dxa"/>
                  <w:vAlign w:val="center"/>
                </w:tcPr>
                <w:p w14:paraId="225D8E1C" w14:textId="44CB1D13"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2F5BA1">
                    <w:rPr>
                      <w:rFonts w:ascii="Avenir Next LT Pro" w:eastAsia="Avenir Next LT Pro" w:hAnsi="Avenir Next LT Pro" w:cs="Avenir Next LT Pro"/>
                      <w:color w:val="000000"/>
                    </w:rPr>
                    <w:t>Validación con actores clave (madres, cuidadores, profesionales) y pruebas en entornos controlados. Validación de prototipo de eye-tracker basado en webcam frente a sistemas de escritorio.</w:t>
                  </w:r>
                </w:p>
              </w:tc>
              <w:tc>
                <w:tcPr>
                  <w:tcW w:w="4989" w:type="dxa"/>
                  <w:vAlign w:val="center"/>
                </w:tcPr>
                <w:p w14:paraId="65840858" w14:textId="77777777"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Materiales aplicados (sitio web, videos/podcasts para cuidadores y profesionales).</w:t>
                  </w:r>
                </w:p>
                <w:p w14:paraId="45E08088" w14:textId="77777777"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Socialización de resultados (2 eventos internacionales + 1 nacional).</w:t>
                  </w:r>
                </w:p>
                <w:p w14:paraId="094E3A37" w14:textId="77777777"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Propuesta de cooperación internacional (</w:t>
                  </w:r>
                  <w:proofErr w:type="spellStart"/>
                  <w:r w:rsidRPr="00B16B63">
                    <w:rPr>
                      <w:rFonts w:ascii="Avenir Next LT Pro" w:eastAsia="Avenir Next LT Pro" w:hAnsi="Avenir Next LT Pro" w:cs="Avenir Next LT Pro"/>
                      <w:color w:val="000000"/>
                    </w:rPr>
                    <w:t>BEELab</w:t>
                  </w:r>
                  <w:proofErr w:type="spellEnd"/>
                  <w:r w:rsidRPr="00B16B63">
                    <w:rPr>
                      <w:rFonts w:ascii="Avenir Next LT Pro" w:eastAsia="Avenir Next LT Pro" w:hAnsi="Avenir Next LT Pro" w:cs="Avenir Next LT Pro"/>
                      <w:color w:val="000000"/>
                    </w:rPr>
                    <w:t xml:space="preserve">, Penn </w:t>
                  </w:r>
                  <w:proofErr w:type="spellStart"/>
                  <w:r w:rsidRPr="00B16B63">
                    <w:rPr>
                      <w:rFonts w:ascii="Avenir Next LT Pro" w:eastAsia="Avenir Next LT Pro" w:hAnsi="Avenir Next LT Pro" w:cs="Avenir Next LT Pro"/>
                      <w:color w:val="000000"/>
                    </w:rPr>
                    <w:t>State</w:t>
                  </w:r>
                  <w:proofErr w:type="spellEnd"/>
                  <w:r w:rsidRPr="00B16B63">
                    <w:rPr>
                      <w:rFonts w:ascii="Avenir Next LT Pro" w:eastAsia="Avenir Next LT Pro" w:hAnsi="Avenir Next LT Pro" w:cs="Avenir Next LT Pro"/>
                      <w:color w:val="000000"/>
                    </w:rPr>
                    <w:t>).</w:t>
                  </w:r>
                </w:p>
                <w:p w14:paraId="64D55D96" w14:textId="2ABAC2EF"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682C70">
                    <w:rPr>
                      <w:rFonts w:ascii="Avenir Next LT Pro" w:eastAsia="Avenir Next LT Pro" w:hAnsi="Avenir Next LT Pro" w:cs="Avenir Next LT Pro"/>
                      <w:color w:val="000000"/>
                    </w:rPr>
                    <w:t>Sometimiento de una propuesta a agencia externa, con el fin de asegurar recursos para dar continuidad a la línea de investigación, ampliar el alcance de las muestras (incluyendo diversidad cultural y geográfica) y avanzar hacia fases de implementación (SRL/TRL 6–7) en salud materno-infantil y educación inicial.</w:t>
                  </w:r>
                </w:p>
                <w:p w14:paraId="7500F966" w14:textId="1396F871"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lang w:val="es-CO"/>
                    </w:rPr>
                  </w:pPr>
                  <w:r w:rsidRPr="00B16B63">
                    <w:rPr>
                      <w:rFonts w:ascii="Avenir Next LT Pro" w:eastAsia="Avenir Next LT Pro" w:hAnsi="Avenir Next LT Pro" w:cs="Avenir Next LT Pro"/>
                      <w:color w:val="000000"/>
                    </w:rPr>
                    <w:t>Validación piloto del prototipo de eye-tracking por webcam (TRL 4–5).</w:t>
                  </w:r>
                </w:p>
              </w:tc>
            </w:tr>
          </w:tbl>
          <w:p w14:paraId="76CF778A" w14:textId="06531337" w:rsidR="00200628" w:rsidRPr="004F1E5F" w:rsidRDefault="00200628" w:rsidP="005A3A17">
            <w:pPr>
              <w:ind w:left="0" w:firstLineChars="0" w:firstLine="0"/>
              <w:rPr>
                <w:rFonts w:ascii="Avenir Next LT Pro" w:eastAsia="Avenir Next LT Pro" w:hAnsi="Avenir Next LT Pro" w:cs="Avenir Next LT Pro"/>
                <w:color w:val="000000"/>
                <w:lang w:val="es-CO"/>
              </w:rPr>
            </w:pPr>
          </w:p>
        </w:tc>
      </w:tr>
    </w:tbl>
    <w:p w14:paraId="309654B0" w14:textId="3CEE4759"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12. REDES O ALIADOS NACIONALES E INTERNACIONALES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77204F"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23BA00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12. REDES O ALIADOS NACIONALES E INTERNACIONALES</w:t>
            </w:r>
          </w:p>
        </w:tc>
      </w:tr>
      <w:tr w:rsidR="00844492" w:rsidRPr="00847B5F" w14:paraId="5BB50860"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32386" w14:textId="38D8B5B5" w:rsidR="00FF4D41" w:rsidRPr="00F007AB" w:rsidRDefault="00F007AB" w:rsidP="00FF4D41">
            <w:pPr>
              <w:ind w:left="0" w:firstLineChars="0" w:firstLine="0"/>
              <w:rPr>
                <w:rFonts w:ascii="Avenir Next LT Pro" w:eastAsia="Avenir Next LT Pro" w:hAnsi="Avenir Next LT Pro" w:cs="Avenir Next LT Pro"/>
              </w:rPr>
            </w:pPr>
            <w:r w:rsidRPr="00F007AB">
              <w:rPr>
                <w:rFonts w:ascii="Avenir Next LT Pro" w:eastAsia="Avenir Next LT Pro" w:hAnsi="Avenir Next LT Pro" w:cs="Avenir Next LT Pro"/>
                <w:b/>
                <w:bCs/>
              </w:rPr>
              <w:t>Nota:</w:t>
            </w:r>
            <w:r w:rsidRPr="00F007AB">
              <w:rPr>
                <w:rFonts w:ascii="Avenir Next LT Pro" w:eastAsia="Avenir Next LT Pro" w:hAnsi="Avenir Next LT Pro" w:cs="Avenir Next LT Pro"/>
              </w:rPr>
              <w:t xml:space="preserve"> El proyecto cuenta con colaboradores nacionales e internacionales. Estas colaboraciones corresponden a vínculos científicos individuales y no constituyen, en este momento, alianzas interinstitucionales formales. No obstante, en el marco del proyecto se buscará concretar al menos una propuesta de colaboración institucional, tal como se plantea en la sección de productos.</w:t>
            </w:r>
            <w:r w:rsidR="00FF4D41" w:rsidRPr="00F007AB">
              <w:rPr>
                <w:rFonts w:ascii="Avenir Next LT Pro" w:eastAsia="Avenir Next LT Pro" w:hAnsi="Avenir Next LT Pro" w:cs="Avenir Next LT Pro"/>
              </w:rPr>
              <w:t xml:space="preserve"> </w:t>
            </w:r>
          </w:p>
          <w:p w14:paraId="68B8C980" w14:textId="101F6C1C" w:rsidR="00A26B07" w:rsidRDefault="536B716B" w:rsidP="0B44BD26">
            <w:pPr>
              <w:ind w:firstLine="309"/>
              <w:rPr>
                <w:rFonts w:ascii="Avenir Next LT Pro" w:eastAsia="Avenir Next LT Pro" w:hAnsi="Avenir Next LT Pro" w:cs="Avenir Next LT Pro"/>
                <w:color w:val="000000"/>
              </w:rPr>
            </w:pPr>
            <w:r w:rsidRPr="365890A1">
              <w:rPr>
                <w:rFonts w:ascii="Avenir Next LT Pro" w:eastAsia="Avenir Next LT Pro" w:hAnsi="Avenir Next LT Pro" w:cs="Avenir Next LT Pro"/>
                <w:b/>
                <w:bCs/>
              </w:rPr>
              <w:t xml:space="preserve">David A. </w:t>
            </w:r>
            <w:proofErr w:type="spellStart"/>
            <w:r w:rsidRPr="365890A1">
              <w:rPr>
                <w:rFonts w:ascii="Avenir Next LT Pro" w:eastAsia="Avenir Next LT Pro" w:hAnsi="Avenir Next LT Pro" w:cs="Avenir Next LT Pro"/>
                <w:b/>
                <w:bCs/>
              </w:rPr>
              <w:t>Puts</w:t>
            </w:r>
            <w:proofErr w:type="spellEnd"/>
            <w:r w:rsidRPr="365890A1">
              <w:rPr>
                <w:rFonts w:ascii="Avenir Next LT Pro" w:eastAsia="Avenir Next LT Pro" w:hAnsi="Avenir Next LT Pro" w:cs="Avenir Next LT Pro"/>
              </w:rPr>
              <w:t xml:space="preserve"> (Estados Unidos): profesor </w:t>
            </w:r>
            <w:r w:rsidR="5B812010" w:rsidRPr="365890A1">
              <w:rPr>
                <w:rFonts w:ascii="Avenir Next LT Pro" w:eastAsia="Avenir Next LT Pro" w:hAnsi="Avenir Next LT Pro" w:cs="Avenir Next LT Pro"/>
              </w:rPr>
              <w:t xml:space="preserve">titular </w:t>
            </w:r>
            <w:r w:rsidRPr="365890A1">
              <w:rPr>
                <w:rFonts w:ascii="Avenir Next LT Pro" w:eastAsia="Avenir Next LT Pro" w:hAnsi="Avenir Next LT Pro" w:cs="Avenir Next LT Pro"/>
              </w:rPr>
              <w:t xml:space="preserve">en la Pennsylvania </w:t>
            </w:r>
            <w:proofErr w:type="spellStart"/>
            <w:r w:rsidRPr="365890A1">
              <w:rPr>
                <w:rFonts w:ascii="Avenir Next LT Pro" w:eastAsia="Avenir Next LT Pro" w:hAnsi="Avenir Next LT Pro" w:cs="Avenir Next LT Pro"/>
              </w:rPr>
              <w:t>State</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University</w:t>
            </w:r>
            <w:proofErr w:type="spellEnd"/>
            <w:r w:rsidRPr="365890A1">
              <w:rPr>
                <w:rFonts w:ascii="Avenir Next LT Pro" w:eastAsia="Avenir Next LT Pro" w:hAnsi="Avenir Next LT Pro" w:cs="Avenir Next LT Pro"/>
              </w:rPr>
              <w:t xml:space="preserve"> y codirector del Centro de Evolución y Diversidad Humanas (</w:t>
            </w:r>
            <w:hyperlink r:id="rId22">
              <w:r w:rsidRPr="365890A1">
                <w:rPr>
                  <w:rStyle w:val="Hyperlink"/>
                  <w:rFonts w:ascii="Avenir Next LT Pro" w:eastAsia="Avenir Next LT Pro" w:hAnsi="Avenir Next LT Pro" w:cs="Avenir Next LT Pro"/>
                </w:rPr>
                <w:t>https://ched.la.psu.edu/</w:t>
              </w:r>
            </w:hyperlink>
            <w:r w:rsidRPr="365890A1">
              <w:rPr>
                <w:rFonts w:ascii="Avenir Next LT Pro" w:eastAsia="Avenir Next LT Pro" w:hAnsi="Avenir Next LT Pro" w:cs="Avenir Next LT Pro"/>
              </w:rPr>
              <w:t xml:space="preserve">). Es coeditor de la revista </w:t>
            </w:r>
            <w:proofErr w:type="spellStart"/>
            <w:r w:rsidRPr="365890A1">
              <w:rPr>
                <w:rFonts w:ascii="Avenir Next LT Pro" w:eastAsia="Avenir Next LT Pro" w:hAnsi="Avenir Next LT Pro" w:cs="Avenir Next LT Pro"/>
              </w:rPr>
              <w:t>Evolutionary</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Psychology</w:t>
            </w:r>
            <w:proofErr w:type="spellEnd"/>
            <w:r w:rsidRPr="365890A1">
              <w:rPr>
                <w:rFonts w:ascii="Avenir Next LT Pro" w:eastAsia="Avenir Next LT Pro" w:hAnsi="Avenir Next LT Pro" w:cs="Avenir Next LT Pro"/>
              </w:rPr>
              <w:t xml:space="preserve">, editor de </w:t>
            </w:r>
            <w:proofErr w:type="spellStart"/>
            <w:r w:rsidRPr="365890A1">
              <w:rPr>
                <w:rFonts w:ascii="Avenir Next LT Pro" w:eastAsia="Avenir Next LT Pro" w:hAnsi="Avenir Next LT Pro" w:cs="Avenir Next LT Pro"/>
              </w:rPr>
              <w:t>Evolution</w:t>
            </w:r>
            <w:proofErr w:type="spellEnd"/>
            <w:r w:rsidRPr="365890A1">
              <w:rPr>
                <w:rFonts w:ascii="Avenir Next LT Pro" w:eastAsia="Avenir Next LT Pro" w:hAnsi="Avenir Next LT Pro" w:cs="Avenir Next LT Pro"/>
              </w:rPr>
              <w:t xml:space="preserve"> and Human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y editor asociado de las revistas Adaptive Human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and </w:t>
            </w:r>
            <w:proofErr w:type="spellStart"/>
            <w:r w:rsidRPr="365890A1">
              <w:rPr>
                <w:rFonts w:ascii="Avenir Next LT Pro" w:eastAsia="Avenir Next LT Pro" w:hAnsi="Avenir Next LT Pro" w:cs="Avenir Next LT Pro"/>
              </w:rPr>
              <w:t>Physiology</w:t>
            </w:r>
            <w:proofErr w:type="spellEnd"/>
            <w:r w:rsidRPr="365890A1">
              <w:rPr>
                <w:rFonts w:ascii="Avenir Next LT Pro" w:eastAsia="Avenir Next LT Pro" w:hAnsi="Avenir Next LT Pro" w:cs="Avenir Next LT Pro"/>
              </w:rPr>
              <w:t xml:space="preserve"> y Archives </w:t>
            </w:r>
            <w:proofErr w:type="spellStart"/>
            <w:r w:rsidRPr="365890A1">
              <w:rPr>
                <w:rFonts w:ascii="Avenir Next LT Pro" w:eastAsia="Avenir Next LT Pro" w:hAnsi="Avenir Next LT Pro" w:cs="Avenir Next LT Pro"/>
              </w:rPr>
              <w:t>of</w:t>
            </w:r>
            <w:proofErr w:type="spellEnd"/>
            <w:r w:rsidRPr="365890A1">
              <w:rPr>
                <w:rFonts w:ascii="Avenir Next LT Pro" w:eastAsia="Avenir Next LT Pro" w:hAnsi="Avenir Next LT Pro" w:cs="Avenir Next LT Pro"/>
              </w:rPr>
              <w:t xml:space="preserve"> Sexual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Se licenció en Antropología con especialización en Matemáticas en el Kenyon </w:t>
            </w:r>
            <w:proofErr w:type="spellStart"/>
            <w:r w:rsidRPr="365890A1">
              <w:rPr>
                <w:rFonts w:ascii="Avenir Next LT Pro" w:eastAsia="Avenir Next LT Pro" w:hAnsi="Avenir Next LT Pro" w:cs="Avenir Next LT Pro"/>
              </w:rPr>
              <w:t>College</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Gambier</w:t>
            </w:r>
            <w:proofErr w:type="spellEnd"/>
            <w:r w:rsidRPr="365890A1">
              <w:rPr>
                <w:rFonts w:ascii="Avenir Next LT Pro" w:eastAsia="Avenir Next LT Pro" w:hAnsi="Avenir Next LT Pro" w:cs="Avenir Next LT Pro"/>
              </w:rPr>
              <w:t xml:space="preserve">, EEUU; 1995), obtuvo un máster (1998) y un doctorado en Antropología Biológica en la Universidad de Pittsburgh (Pittsburgh, EEUU; 2004) y realizó un postdoctorado en Neurociencias en la Universidad Estatal de Michigan (Michigan, EEUU; 2004-2007). Su trabajo se ha centrado en el estudio de las hormonas sexuales y sus efectos en el desarrollo psicológico y conductual humano. A partir del estudio de las influencias de las hormonas en la voz, ha sido una figura central en el estudio de las voces humanas durante las últimas décadas; sus investigaciones incluyen estudios sobre el dimorfismo </w:t>
            </w:r>
            <w:r w:rsidRPr="365890A1">
              <w:rPr>
                <w:rFonts w:ascii="Avenir Next LT Pro" w:eastAsia="Avenir Next LT Pro" w:hAnsi="Avenir Next LT Pro" w:cs="Avenir Next LT Pro"/>
              </w:rPr>
              <w:lastRenderedPageBreak/>
              <w:t>sexual en la voz humana (p. ej. [41, 42]), la voz y el comportamiento social (p. ej. [43-45]), y las modulaciones vocales (p. ej. [97]).</w:t>
            </w:r>
            <w:r w:rsidR="4DE46F5E" w:rsidRPr="365890A1">
              <w:rPr>
                <w:rFonts w:ascii="Avenir Next LT Pro" w:eastAsia="Avenir Next LT Pro" w:hAnsi="Avenir Next LT Pro" w:cs="Avenir Next LT Pro"/>
              </w:rPr>
              <w:t xml:space="preserve"> Como investigador </w:t>
            </w:r>
            <w:r w:rsidR="4DE46F5E" w:rsidRPr="365890A1">
              <w:rPr>
                <w:rFonts w:ascii="Avenir Next LT Pro" w:eastAsia="Avenir Next LT Pro" w:hAnsi="Avenir Next LT Pro" w:cs="Avenir Next LT Pro"/>
                <w:i/>
                <w:iCs/>
              </w:rPr>
              <w:t xml:space="preserve">senior </w:t>
            </w:r>
            <w:r w:rsidR="4DE46F5E" w:rsidRPr="365890A1">
              <w:rPr>
                <w:rFonts w:ascii="Avenir Next LT Pro" w:eastAsia="Avenir Next LT Pro" w:hAnsi="Avenir Next LT Pro" w:cs="Avenir Next LT Pro"/>
              </w:rPr>
              <w:t xml:space="preserve">del equipo, su función será apoyar </w:t>
            </w:r>
            <w:r w:rsidR="5C32B1CA" w:rsidRPr="365890A1">
              <w:rPr>
                <w:rFonts w:ascii="Avenir Next LT Pro" w:eastAsia="Avenir Next LT Pro" w:hAnsi="Avenir Next LT Pro" w:cs="Avenir Next LT Pro"/>
              </w:rPr>
              <w:t>los elementos de diseño de manipulación</w:t>
            </w:r>
            <w:r w:rsidR="4DE46F5E" w:rsidRPr="365890A1">
              <w:rPr>
                <w:rFonts w:ascii="Avenir Next LT Pro" w:eastAsia="Avenir Next LT Pro" w:hAnsi="Avenir Next LT Pro" w:cs="Avenir Next LT Pro"/>
              </w:rPr>
              <w:t xml:space="preserve"> acústica y efectos perceptuales de modulaciones vocales</w:t>
            </w:r>
            <w:r w:rsidR="49C626C3" w:rsidRPr="365890A1">
              <w:rPr>
                <w:rFonts w:ascii="Avenir Next LT Pro" w:eastAsia="Avenir Next LT Pro" w:hAnsi="Avenir Next LT Pro" w:cs="Avenir Next LT Pro"/>
              </w:rPr>
              <w:t>, apoyar el diseño de los estudios, el análisis y manipulación acústica</w:t>
            </w:r>
            <w:r w:rsidR="42C02170" w:rsidRPr="365890A1">
              <w:rPr>
                <w:rFonts w:ascii="Avenir Next LT Pro" w:eastAsia="Avenir Next LT Pro" w:hAnsi="Avenir Next LT Pro" w:cs="Avenir Next LT Pro"/>
              </w:rPr>
              <w:t>, y el modelado y análisis estadístico.</w:t>
            </w:r>
          </w:p>
          <w:p w14:paraId="6720E4D5" w14:textId="44760E7F" w:rsidR="00A26B07" w:rsidRDefault="672E8C59" w:rsidP="0B44BD26">
            <w:pPr>
              <w:ind w:firstLine="309"/>
              <w:rPr>
                <w:rFonts w:ascii="Avenir Next LT Pro" w:eastAsia="Avenir Next LT Pro" w:hAnsi="Avenir Next LT Pro" w:cs="Avenir Next LT Pro"/>
                <w:color w:val="000000"/>
              </w:rPr>
            </w:pPr>
            <w:r w:rsidRPr="0B44BD26">
              <w:rPr>
                <w:rFonts w:ascii="Avenir Next LT Pro" w:eastAsia="Avenir Next LT Pro" w:hAnsi="Avenir Next LT Pro" w:cs="Avenir Next LT Pro"/>
                <w:b/>
                <w:bCs/>
              </w:rPr>
              <w:t>Natalia Moreno-Buitrago</w:t>
            </w:r>
            <w:r w:rsidRPr="0B44BD26">
              <w:rPr>
                <w:rFonts w:ascii="Avenir Next LT Pro" w:eastAsia="Avenir Next LT Pro" w:hAnsi="Avenir Next LT Pro" w:cs="Avenir Next LT Pro"/>
              </w:rPr>
              <w:t xml:space="preserve"> (Estados Unidos): </w:t>
            </w:r>
            <w:r w:rsidR="3ADAC16C" w:rsidRPr="0B44BD26">
              <w:rPr>
                <w:rFonts w:ascii="Avenir Next LT Pro" w:eastAsia="Avenir Next LT Pro" w:hAnsi="Avenir Next LT Pro" w:cs="Avenir Next LT Pro"/>
              </w:rPr>
              <w:t xml:space="preserve">candidata doctoral </w:t>
            </w:r>
            <w:r w:rsidR="681A806E" w:rsidRPr="0B44BD26">
              <w:rPr>
                <w:rFonts w:ascii="Avenir Next LT Pro" w:eastAsia="Avenir Next LT Pro" w:hAnsi="Avenir Next LT Pro" w:cs="Avenir Next LT Pro"/>
              </w:rPr>
              <w:t xml:space="preserve">de la Ohio </w:t>
            </w:r>
            <w:proofErr w:type="spellStart"/>
            <w:r w:rsidR="681A806E" w:rsidRPr="0B44BD26">
              <w:rPr>
                <w:rFonts w:ascii="Avenir Next LT Pro" w:eastAsia="Avenir Next LT Pro" w:hAnsi="Avenir Next LT Pro" w:cs="Avenir Next LT Pro"/>
              </w:rPr>
              <w:t>State</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University</w:t>
            </w:r>
            <w:proofErr w:type="spellEnd"/>
            <w:r w:rsidR="681A806E" w:rsidRPr="0B44BD26">
              <w:rPr>
                <w:rFonts w:ascii="Avenir Next LT Pro" w:eastAsia="Avenir Next LT Pro" w:hAnsi="Avenir Next LT Pro" w:cs="Avenir Next LT Pro"/>
              </w:rPr>
              <w:t xml:space="preserve">, y cuenta con una maestría en Music </w:t>
            </w:r>
            <w:proofErr w:type="spellStart"/>
            <w:r w:rsidR="681A806E" w:rsidRPr="0B44BD26">
              <w:rPr>
                <w:rFonts w:ascii="Avenir Next LT Pro" w:eastAsia="Avenir Next LT Pro" w:hAnsi="Avenir Next LT Pro" w:cs="Avenir Next LT Pro"/>
              </w:rPr>
              <w:t>Mind</w:t>
            </w:r>
            <w:proofErr w:type="spellEnd"/>
            <w:r w:rsidR="681A806E" w:rsidRPr="0B44BD26">
              <w:rPr>
                <w:rFonts w:ascii="Avenir Next LT Pro" w:eastAsia="Avenir Next LT Pro" w:hAnsi="Avenir Next LT Pro" w:cs="Avenir Next LT Pro"/>
              </w:rPr>
              <w:t xml:space="preserve"> and </w:t>
            </w:r>
            <w:proofErr w:type="spellStart"/>
            <w:r w:rsidR="681A806E" w:rsidRPr="0B44BD26">
              <w:rPr>
                <w:rFonts w:ascii="Avenir Next LT Pro" w:eastAsia="Avenir Next LT Pro" w:hAnsi="Avenir Next LT Pro" w:cs="Avenir Next LT Pro"/>
              </w:rPr>
              <w:t>Brain</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Goldsmiths</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University</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of</w:t>
            </w:r>
            <w:proofErr w:type="spellEnd"/>
            <w:r w:rsidR="681A806E" w:rsidRPr="0B44BD26">
              <w:rPr>
                <w:rFonts w:ascii="Avenir Next LT Pro" w:eastAsia="Avenir Next LT Pro" w:hAnsi="Avenir Next LT Pro" w:cs="Avenir Next LT Pro"/>
              </w:rPr>
              <w:t xml:space="preserve"> London, Reino Unido), y es bióloga (UNAL) y pedagoga musical (UPN). En su doctorado estudia el desarrollo de los comportamientos musicales y cómo se moldean desde la infancia</w:t>
            </w:r>
            <w:r w:rsidR="76DC3EA3" w:rsidRPr="0B44BD26">
              <w:rPr>
                <w:rFonts w:ascii="Avenir Next LT Pro" w:eastAsia="Avenir Next LT Pro" w:hAnsi="Avenir Next LT Pro" w:cs="Avenir Next LT Pro"/>
              </w:rPr>
              <w:t>. Apoya la selección de escalas de medición de musicalidad y habilidades lingüísticas para el Estudio 2.</w:t>
            </w:r>
          </w:p>
          <w:p w14:paraId="096751AD" w14:textId="7213D26E" w:rsidR="001E6B6F" w:rsidRPr="00847B5F" w:rsidRDefault="4B0BB9E5" w:rsidP="365890A1">
            <w:pPr>
              <w:ind w:firstLineChars="0" w:firstLine="309"/>
              <w:rPr>
                <w:rFonts w:ascii="Avenir Next LT Pro" w:eastAsia="Avenir Next LT Pro" w:hAnsi="Avenir Next LT Pro" w:cs="Avenir Next LT Pro"/>
              </w:rPr>
            </w:pPr>
            <w:r w:rsidRPr="365890A1">
              <w:rPr>
                <w:rFonts w:ascii="Avenir Next LT Pro" w:eastAsia="Avenir Next LT Pro" w:hAnsi="Avenir Next LT Pro" w:cs="Avenir Next LT Pro"/>
                <w:b/>
                <w:bCs/>
              </w:rPr>
              <w:t xml:space="preserve">Daniel Toro Ávila </w:t>
            </w:r>
            <w:r w:rsidR="7FF5803C" w:rsidRPr="365890A1">
              <w:rPr>
                <w:rFonts w:ascii="Avenir Next LT Pro" w:eastAsia="Avenir Next LT Pro" w:hAnsi="Avenir Next LT Pro" w:cs="Avenir Next LT Pro"/>
              </w:rPr>
              <w:t xml:space="preserve">(Colombia): </w:t>
            </w:r>
            <w:r w:rsidR="280C3D30" w:rsidRPr="365890A1">
              <w:rPr>
                <w:rFonts w:ascii="Avenir Next LT Pro" w:eastAsia="Avenir Next LT Pro" w:hAnsi="Avenir Next LT Pro" w:cs="Avenir Next LT Pro"/>
              </w:rPr>
              <w:t xml:space="preserve">pediatra con experiencia en neumología pediátrica y alimentación infantil, radicado en Bogotá. Es </w:t>
            </w:r>
            <w:proofErr w:type="spellStart"/>
            <w:r w:rsidR="280C3D30" w:rsidRPr="365890A1">
              <w:rPr>
                <w:rFonts w:ascii="Avenir Next LT Pro" w:eastAsia="Avenir Next LT Pro" w:hAnsi="Avenir Next LT Pro" w:cs="Avenir Next LT Pro"/>
              </w:rPr>
              <w:t>Fellow</w:t>
            </w:r>
            <w:proofErr w:type="spellEnd"/>
            <w:r w:rsidR="280C3D30" w:rsidRPr="365890A1">
              <w:rPr>
                <w:rFonts w:ascii="Avenir Next LT Pro" w:eastAsia="Avenir Next LT Pro" w:hAnsi="Avenir Next LT Pro" w:cs="Avenir Next LT Pro"/>
              </w:rPr>
              <w:t xml:space="preserve"> de la American </w:t>
            </w:r>
            <w:proofErr w:type="spellStart"/>
            <w:r w:rsidR="280C3D30" w:rsidRPr="365890A1">
              <w:rPr>
                <w:rFonts w:ascii="Avenir Next LT Pro" w:eastAsia="Avenir Next LT Pro" w:hAnsi="Avenir Next LT Pro" w:cs="Avenir Next LT Pro"/>
              </w:rPr>
              <w:t>Academy</w:t>
            </w:r>
            <w:proofErr w:type="spellEnd"/>
            <w:r w:rsidR="280C3D30" w:rsidRPr="365890A1">
              <w:rPr>
                <w:rFonts w:ascii="Avenir Next LT Pro" w:eastAsia="Avenir Next LT Pro" w:hAnsi="Avenir Next LT Pro" w:cs="Avenir Next LT Pro"/>
              </w:rPr>
              <w:t xml:space="preserve"> </w:t>
            </w:r>
            <w:proofErr w:type="spellStart"/>
            <w:r w:rsidR="280C3D30" w:rsidRPr="365890A1">
              <w:rPr>
                <w:rFonts w:ascii="Avenir Next LT Pro" w:eastAsia="Avenir Next LT Pro" w:hAnsi="Avenir Next LT Pro" w:cs="Avenir Next LT Pro"/>
              </w:rPr>
              <w:t>of</w:t>
            </w:r>
            <w:proofErr w:type="spellEnd"/>
            <w:r w:rsidR="280C3D30" w:rsidRPr="365890A1">
              <w:rPr>
                <w:rFonts w:ascii="Avenir Next LT Pro" w:eastAsia="Avenir Next LT Pro" w:hAnsi="Avenir Next LT Pro" w:cs="Avenir Next LT Pro"/>
              </w:rPr>
              <w:t xml:space="preserve"> </w:t>
            </w:r>
            <w:proofErr w:type="spellStart"/>
            <w:r w:rsidR="280C3D30" w:rsidRPr="365890A1">
              <w:rPr>
                <w:rFonts w:ascii="Avenir Next LT Pro" w:eastAsia="Avenir Next LT Pro" w:hAnsi="Avenir Next LT Pro" w:cs="Avenir Next LT Pro"/>
              </w:rPr>
              <w:t>Pediatrics</w:t>
            </w:r>
            <w:proofErr w:type="spellEnd"/>
            <w:r w:rsidR="280C3D30" w:rsidRPr="365890A1">
              <w:rPr>
                <w:rFonts w:ascii="Avenir Next LT Pro" w:eastAsia="Avenir Next LT Pro" w:hAnsi="Avenir Next LT Pro" w:cs="Avenir Next LT Pro"/>
              </w:rPr>
              <w:t xml:space="preserve"> (AAP) y ha participado en programas internacionales de formación clínica como </w:t>
            </w:r>
            <w:proofErr w:type="spellStart"/>
            <w:r w:rsidR="280C3D30" w:rsidRPr="365890A1">
              <w:rPr>
                <w:rFonts w:ascii="Avenir Next LT Pro" w:eastAsia="Avenir Next LT Pro" w:hAnsi="Avenir Next LT Pro" w:cs="Avenir Next LT Pro"/>
              </w:rPr>
              <w:t>ICCPfizer</w:t>
            </w:r>
            <w:proofErr w:type="spellEnd"/>
            <w:r w:rsidR="280C3D30" w:rsidRPr="365890A1">
              <w:rPr>
                <w:rFonts w:ascii="Avenir Next LT Pro" w:eastAsia="Avenir Next LT Pro" w:hAnsi="Avenir Next LT Pro" w:cs="Avenir Next LT Pro"/>
              </w:rPr>
              <w:t xml:space="preserve"> y Dana‑Farber. En este proyecto, apoyará el diseño de protocolos adecuados para el trabajo con lactantes, la interpretación de implicaciones clínicas, la escritura de artículos científicos, y colaborará activamente en el reclutamiento de participantes para los estudios 1 y 2 a través de su práctica médica y redes profesionales.</w:t>
            </w:r>
          </w:p>
        </w:tc>
      </w:tr>
    </w:tbl>
    <w:p w14:paraId="2397FD43" w14:textId="359305DA" w:rsidR="00844492" w:rsidRPr="00847B5F" w:rsidRDefault="36E56080" w:rsidP="0B44BD26">
      <w:pPr>
        <w:pStyle w:val="Heading1"/>
        <w:ind w:left="0" w:firstLine="308"/>
        <w:rPr>
          <w:rFonts w:ascii="Avenir Next LT Pro" w:eastAsia="Avenir Next LT Pro" w:hAnsi="Avenir Next LT Pro" w:cs="Avenir Next LT Pro"/>
        </w:rPr>
      </w:pPr>
      <w:bookmarkStart w:id="2" w:name="_13._PRODUCTOS"/>
      <w:bookmarkEnd w:id="2"/>
      <w:r w:rsidRPr="0B44BD26">
        <w:rPr>
          <w:rFonts w:ascii="Avenir Next LT Pro" w:eastAsia="Avenir Next LT Pro" w:hAnsi="Avenir Next LT Pro" w:cs="Avenir Next LT Pro"/>
        </w:rPr>
        <w:lastRenderedPageBreak/>
        <w:t>13. PRODUCTOS</w:t>
      </w:r>
    </w:p>
    <w:tbl>
      <w:tblPr>
        <w:tblW w:w="10060" w:type="dxa"/>
        <w:tblLayout w:type="fixed"/>
        <w:tblCellMar>
          <w:top w:w="15" w:type="dxa"/>
          <w:left w:w="15" w:type="dxa"/>
          <w:bottom w:w="15" w:type="dxa"/>
          <w:right w:w="15" w:type="dxa"/>
        </w:tblCellMar>
        <w:tblLook w:val="0400" w:firstRow="0" w:lastRow="0" w:firstColumn="0" w:lastColumn="0" w:noHBand="0" w:noVBand="1"/>
      </w:tblPr>
      <w:tblGrid>
        <w:gridCol w:w="1691"/>
        <w:gridCol w:w="2552"/>
        <w:gridCol w:w="3402"/>
        <w:gridCol w:w="2415"/>
      </w:tblGrid>
      <w:tr w:rsidR="00844492" w:rsidRPr="00847B5F" w14:paraId="3DE90E1B" w14:textId="77777777" w:rsidTr="365890A1">
        <w:trPr>
          <w:trHeight w:val="216"/>
        </w:trPr>
        <w:tc>
          <w:tcPr>
            <w:tcW w:w="100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9999"/>
            <w:tcMar>
              <w:top w:w="20" w:type="dxa"/>
              <w:left w:w="20" w:type="dxa"/>
              <w:bottom w:w="140" w:type="dxa"/>
              <w:right w:w="20" w:type="dxa"/>
            </w:tcMar>
            <w:vAlign w:val="center"/>
          </w:tcPr>
          <w:p w14:paraId="18DBA8D7" w14:textId="77777777" w:rsidR="00844492" w:rsidRPr="00847B5F" w:rsidRDefault="4D36987D" w:rsidP="00A960E8">
            <w:pPr>
              <w:snapToGrid w:val="0"/>
              <w:spacing w:after="0"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13. PRODUCTOS</w:t>
            </w:r>
          </w:p>
        </w:tc>
      </w:tr>
      <w:tr w:rsidR="00844492" w:rsidRPr="00847B5F" w14:paraId="44644268" w14:textId="77777777" w:rsidTr="365890A1">
        <w:trPr>
          <w:trHeight w:val="237"/>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95C4D4A" w14:textId="77777777" w:rsidR="00844492" w:rsidRPr="00847B5F" w:rsidRDefault="4D36987D" w:rsidP="00A960E8">
            <w:pPr>
              <w:snapToGrid w:val="0"/>
              <w:spacing w:after="0" w:line="240" w:lineRule="auto"/>
              <w:ind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Productos mínimos a comprometer</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50DEEF8" w14:textId="77777777" w:rsidR="00844492" w:rsidRPr="00847B5F" w:rsidRDefault="4D36987D" w:rsidP="00A960E8">
            <w:pPr>
              <w:snapToGrid w:val="0"/>
              <w:spacing w:after="0" w:line="240" w:lineRule="auto"/>
              <w:ind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Descripción</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29566D4" w14:textId="77777777" w:rsidR="00844492" w:rsidRPr="00847B5F" w:rsidRDefault="4D36987D" w:rsidP="00A960E8">
            <w:pPr>
              <w:snapToGrid w:val="0"/>
              <w:spacing w:after="0" w:line="240" w:lineRule="auto"/>
              <w:ind w:left="0"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Entregable</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969879" w14:textId="06AC368A" w:rsidR="00844492" w:rsidRPr="00847B5F" w:rsidRDefault="4D36987D" w:rsidP="00A960E8">
            <w:pPr>
              <w:snapToGrid w:val="0"/>
              <w:spacing w:after="0" w:line="240" w:lineRule="auto"/>
              <w:ind w:left="0" w:firstLine="240"/>
              <w:jc w:val="center"/>
              <w:rPr>
                <w:rFonts w:ascii="Avenir Next LT Pro" w:eastAsia="Avenir Next LT Pro" w:hAnsi="Avenir Next LT Pro" w:cs="Avenir Next LT Pro"/>
                <w:b/>
                <w:bCs/>
                <w:color w:val="000000"/>
                <w:sz w:val="14"/>
                <w:szCs w:val="14"/>
              </w:rPr>
            </w:pPr>
            <w:r w:rsidRPr="0B44BD26">
              <w:rPr>
                <w:rFonts w:ascii="Avenir Next LT Pro" w:eastAsia="Avenir Next LT Pro" w:hAnsi="Avenir Next LT Pro" w:cs="Avenir Next LT Pro"/>
                <w:b/>
                <w:bCs/>
                <w:sz w:val="14"/>
                <w:szCs w:val="14"/>
              </w:rPr>
              <w:t>Cantidad de productos a comprometer (</w:t>
            </w:r>
            <w:proofErr w:type="spellStart"/>
            <w:r w:rsidRPr="0B44BD26">
              <w:rPr>
                <w:rFonts w:ascii="Avenir Next LT Pro" w:eastAsia="Avenir Next LT Pro" w:hAnsi="Avenir Next LT Pro" w:cs="Avenir Next LT Pro"/>
                <w:b/>
                <w:bCs/>
                <w:sz w:val="14"/>
                <w:szCs w:val="14"/>
              </w:rPr>
              <w:t>N°</w:t>
            </w:r>
            <w:proofErr w:type="spellEnd"/>
            <w:r w:rsidR="06530CD3" w:rsidRPr="0B44BD26">
              <w:rPr>
                <w:rFonts w:ascii="Avenir Next LT Pro" w:eastAsia="Avenir Next LT Pro" w:hAnsi="Avenir Next LT Pro" w:cs="Avenir Next LT Pro"/>
                <w:b/>
                <w:bCs/>
                <w:sz w:val="14"/>
                <w:szCs w:val="14"/>
              </w:rPr>
              <w:t xml:space="preserve"> </w:t>
            </w:r>
            <w:r w:rsidRPr="0B44BD26">
              <w:rPr>
                <w:rFonts w:ascii="Avenir Next LT Pro" w:eastAsia="Avenir Next LT Pro" w:hAnsi="Avenir Next LT Pro" w:cs="Avenir Next LT Pro"/>
                <w:b/>
                <w:bCs/>
                <w:sz w:val="14"/>
                <w:szCs w:val="14"/>
              </w:rPr>
              <w:t>y descripción)</w:t>
            </w:r>
          </w:p>
        </w:tc>
      </w:tr>
      <w:tr w:rsidR="00844492" w:rsidRPr="00847B5F" w14:paraId="62AD6115"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554719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Nuevo Conocimiento o Desarrollo Tecnológico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8DEB620" w14:textId="5AB7F3E1"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2 producto de nuevo conocimiento o desarrollo tecnológico tipo TOP (2 aceptados)</w:t>
            </w:r>
          </w:p>
          <w:p w14:paraId="6AB6AF9E" w14:textId="103347C8"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color w:val="000000"/>
                <w:sz w:val="14"/>
                <w:szCs w:val="14"/>
              </w:rPr>
            </w:pPr>
            <w:proofErr w:type="spellStart"/>
            <w:r w:rsidRPr="0B44BD26">
              <w:rPr>
                <w:rFonts w:ascii="Avenir Next LT Pro" w:eastAsia="Avenir Next LT Pro" w:hAnsi="Avenir Next LT Pro" w:cs="Avenir Next LT Pro"/>
                <w:sz w:val="14"/>
                <w:szCs w:val="14"/>
              </w:rPr>
              <w:t>ó</w:t>
            </w:r>
            <w:proofErr w:type="spellEnd"/>
          </w:p>
          <w:p w14:paraId="4172825F" w14:textId="14A8967D"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3 productos de nuevo conocimiento o desarrollo tecnológico tipo A o B (2 aceptados y 1 sometido)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A7BB4E8" w14:textId="2F3DAEFD"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TOP:</w:t>
            </w:r>
            <w:r w:rsidR="06530CD3" w:rsidRPr="0B44BD26">
              <w:rPr>
                <w:rFonts w:ascii="Avenir Next LT Pro" w:eastAsia="Avenir Next LT Pro" w:hAnsi="Avenir Next LT Pro" w:cs="Avenir Next LT Pro"/>
                <w:sz w:val="14"/>
                <w:szCs w:val="14"/>
              </w:rPr>
              <w:t xml:space="preserve"> </w:t>
            </w:r>
            <w:r w:rsidRPr="0B44BD26">
              <w:rPr>
                <w:rFonts w:ascii="Avenir Next LT Pro" w:eastAsia="Avenir Next LT Pro" w:hAnsi="Avenir Next LT Pro" w:cs="Avenir Next LT Pro"/>
                <w:sz w:val="14"/>
                <w:szCs w:val="14"/>
              </w:rPr>
              <w:t>Artículos científicos en revistas indexadas Q1 y Q2; Libros de investigación o capítulos de libro de investigación; Patentes.</w:t>
            </w:r>
          </w:p>
          <w:p w14:paraId="7638438E" w14:textId="3A960C58"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A o B:</w:t>
            </w:r>
            <w:r w:rsidR="06530CD3" w:rsidRPr="0B44BD26">
              <w:rPr>
                <w:rFonts w:ascii="Avenir Next LT Pro" w:eastAsia="Avenir Next LT Pro" w:hAnsi="Avenir Next LT Pro" w:cs="Avenir Next LT Pro"/>
                <w:sz w:val="14"/>
                <w:szCs w:val="14"/>
              </w:rPr>
              <w:t xml:space="preserve"> </w:t>
            </w:r>
            <w:r w:rsidRPr="0B44BD26">
              <w:rPr>
                <w:rFonts w:ascii="Avenir Next LT Pro" w:eastAsia="Avenir Next LT Pro" w:hAnsi="Avenir Next LT Pro" w:cs="Avenir Next LT Pro"/>
                <w:sz w:val="14"/>
                <w:szCs w:val="14"/>
              </w:rPr>
              <w:t>Artículos científicos en revistas indexadas Q3 y Q4; Certificado de creación de empresas de Base Tecnológica (</w:t>
            </w:r>
            <w:r w:rsidRPr="0B44BD26">
              <w:rPr>
                <w:rFonts w:ascii="Avenir Next LT Pro" w:eastAsia="Avenir Next LT Pro" w:hAnsi="Avenir Next LT Pro" w:cs="Avenir Next LT Pro"/>
                <w:i/>
                <w:iCs/>
                <w:sz w:val="14"/>
                <w:szCs w:val="14"/>
              </w:rPr>
              <w:t xml:space="preserve">spin-off o </w:t>
            </w:r>
            <w:proofErr w:type="spellStart"/>
            <w:r w:rsidRPr="0B44BD26">
              <w:rPr>
                <w:rFonts w:ascii="Avenir Next LT Pro" w:eastAsia="Avenir Next LT Pro" w:hAnsi="Avenir Next LT Pro" w:cs="Avenir Next LT Pro"/>
                <w:i/>
                <w:iCs/>
                <w:sz w:val="14"/>
                <w:szCs w:val="14"/>
              </w:rPr>
              <w:t>start</w:t>
            </w:r>
            <w:proofErr w:type="spellEnd"/>
            <w:r w:rsidRPr="0B44BD26">
              <w:rPr>
                <w:rFonts w:ascii="Avenir Next LT Pro" w:eastAsia="Avenir Next LT Pro" w:hAnsi="Avenir Next LT Pro" w:cs="Avenir Next LT Pro"/>
                <w:i/>
                <w:iCs/>
                <w:sz w:val="14"/>
                <w:szCs w:val="14"/>
              </w:rPr>
              <w:t>-up</w:t>
            </w:r>
            <w:r w:rsidRPr="0B44BD26">
              <w:rPr>
                <w:rFonts w:ascii="Avenir Next LT Pro" w:eastAsia="Avenir Next LT Pro" w:hAnsi="Avenir Next LT Pro" w:cs="Avenir Next LT Pro"/>
                <w:sz w:val="14"/>
                <w:szCs w:val="14"/>
              </w:rPr>
              <w:t>), Certificados de Productos de Arte, Arquitectura o Diseño (AAD), demás productos de desarrollo tecnológico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8489F5" w14:textId="23A14C2E" w:rsidR="00844492" w:rsidRPr="002344C4" w:rsidRDefault="3C001AC4" w:rsidP="365890A1">
            <w:pPr>
              <w:snapToGrid w:val="0"/>
              <w:spacing w:after="0" w:line="240" w:lineRule="auto"/>
              <w:ind w:left="0" w:firstLine="239"/>
              <w:jc w:val="center"/>
              <w:rPr>
                <w:rFonts w:ascii="Avenir Next LT Pro" w:eastAsia="Avenir Next LT Pro" w:hAnsi="Avenir Next LT Pro" w:cs="Avenir Next LT Pro"/>
                <w:sz w:val="14"/>
                <w:szCs w:val="14"/>
              </w:rPr>
            </w:pPr>
            <w:r w:rsidRPr="365890A1">
              <w:rPr>
                <w:rFonts w:ascii="Avenir Next LT Pro" w:eastAsia="Avenir Next LT Pro" w:hAnsi="Avenir Next LT Pro" w:cs="Avenir Next LT Pro"/>
                <w:sz w:val="14"/>
                <w:szCs w:val="14"/>
              </w:rPr>
              <w:t xml:space="preserve">Un mínimo de </w:t>
            </w:r>
            <w:r w:rsidR="1A747383" w:rsidRPr="365890A1">
              <w:rPr>
                <w:rFonts w:ascii="Avenir Next LT Pro" w:eastAsia="Avenir Next LT Pro" w:hAnsi="Avenir Next LT Pro" w:cs="Avenir Next LT Pro"/>
                <w:sz w:val="14"/>
                <w:szCs w:val="14"/>
              </w:rPr>
              <w:t>2 artículo</w:t>
            </w:r>
            <w:r w:rsidR="6017FED6" w:rsidRPr="365890A1">
              <w:rPr>
                <w:rFonts w:ascii="Avenir Next LT Pro" w:eastAsia="Avenir Next LT Pro" w:hAnsi="Avenir Next LT Pro" w:cs="Avenir Next LT Pro"/>
                <w:sz w:val="14"/>
                <w:szCs w:val="14"/>
              </w:rPr>
              <w:t>s</w:t>
            </w:r>
            <w:r w:rsidR="1A747383" w:rsidRPr="365890A1">
              <w:rPr>
                <w:rFonts w:ascii="Avenir Next LT Pro" w:eastAsia="Avenir Next LT Pro" w:hAnsi="Avenir Next LT Pro" w:cs="Avenir Next LT Pro"/>
                <w:sz w:val="14"/>
                <w:szCs w:val="14"/>
              </w:rPr>
              <w:t xml:space="preserve"> revista </w:t>
            </w:r>
            <w:r w:rsidR="07CE2D51" w:rsidRPr="365890A1">
              <w:rPr>
                <w:rFonts w:ascii="Avenir Next LT Pro" w:eastAsia="Avenir Next LT Pro" w:hAnsi="Avenir Next LT Pro" w:cs="Avenir Next LT Pro"/>
                <w:sz w:val="14"/>
                <w:szCs w:val="14"/>
              </w:rPr>
              <w:t>TOP (</w:t>
            </w:r>
            <w:r w:rsidR="1A747383" w:rsidRPr="365890A1">
              <w:rPr>
                <w:rFonts w:ascii="Avenir Next LT Pro" w:eastAsia="Avenir Next LT Pro" w:hAnsi="Avenir Next LT Pro" w:cs="Avenir Next LT Pro"/>
                <w:sz w:val="14"/>
                <w:szCs w:val="14"/>
              </w:rPr>
              <w:t>Q1</w:t>
            </w:r>
            <w:r w:rsidR="6B3F70A5" w:rsidRPr="365890A1">
              <w:rPr>
                <w:rFonts w:ascii="Avenir Next LT Pro" w:eastAsia="Avenir Next LT Pro" w:hAnsi="Avenir Next LT Pro" w:cs="Avenir Next LT Pro"/>
                <w:sz w:val="14"/>
                <w:szCs w:val="14"/>
              </w:rPr>
              <w:t>)</w:t>
            </w:r>
            <w:r w:rsidR="5320BBB0" w:rsidRPr="365890A1">
              <w:rPr>
                <w:rFonts w:ascii="Avenir Next LT Pro" w:eastAsia="Avenir Next LT Pro" w:hAnsi="Avenir Next LT Pro" w:cs="Avenir Next LT Pro"/>
                <w:sz w:val="14"/>
                <w:szCs w:val="14"/>
              </w:rPr>
              <w:t xml:space="preserve"> </w:t>
            </w:r>
            <w:r w:rsidR="001054B3">
              <w:rPr>
                <w:rFonts w:ascii="Avenir Next LT Pro" w:eastAsia="Avenir Next LT Pro" w:hAnsi="Avenir Next LT Pro" w:cs="Avenir Next LT Pro"/>
                <w:sz w:val="14"/>
                <w:szCs w:val="14"/>
              </w:rPr>
              <w:t>aceptados</w:t>
            </w:r>
            <w:r w:rsidR="5320BBB0" w:rsidRPr="365890A1">
              <w:rPr>
                <w:rFonts w:ascii="Avenir Next LT Pro" w:eastAsia="Avenir Next LT Pro" w:hAnsi="Avenir Next LT Pro" w:cs="Avenir Next LT Pro"/>
                <w:sz w:val="14"/>
                <w:szCs w:val="14"/>
              </w:rPr>
              <w:t xml:space="preserve"> bajo el modelo de reporte registrado.</w:t>
            </w:r>
          </w:p>
        </w:tc>
      </w:tr>
      <w:tr w:rsidR="001E6B6F" w:rsidRPr="00847B5F" w14:paraId="1F9A4204"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0723DBE"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Estrategia de divulgación pública de la ciencia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9B77712"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2 estrategia de divulgación implementada</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E5FA73B"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Contenido digital o contenido </w:t>
            </w:r>
            <w:proofErr w:type="spellStart"/>
            <w:r w:rsidRPr="0B44BD26">
              <w:rPr>
                <w:rFonts w:ascii="Avenir Next LT Pro" w:eastAsia="Avenir Next LT Pro" w:hAnsi="Avenir Next LT Pro" w:cs="Avenir Next LT Pro"/>
                <w:sz w:val="14"/>
                <w:szCs w:val="14"/>
              </w:rPr>
              <w:t>transmedia</w:t>
            </w:r>
            <w:proofErr w:type="spellEnd"/>
            <w:r w:rsidRPr="0B44BD26">
              <w:rPr>
                <w:rFonts w:ascii="Avenir Next LT Pro" w:eastAsia="Avenir Next LT Pro" w:hAnsi="Avenir Next LT Pro" w:cs="Avenir Next LT Pro"/>
                <w:sz w:val="14"/>
                <w:szCs w:val="14"/>
              </w:rPr>
              <w:t xml:space="preserve"> en circulación</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9F7D64" w14:textId="02540962" w:rsidR="001E6B6F" w:rsidRPr="009C08F3" w:rsidRDefault="760E5E41" w:rsidP="00A960E8">
            <w:pPr>
              <w:snapToGrid w:val="0"/>
              <w:spacing w:after="0" w:line="240" w:lineRule="auto"/>
              <w:ind w:left="0" w:firstLine="239"/>
              <w:jc w:val="center"/>
              <w:rPr>
                <w:rFonts w:ascii="Avenir Next LT Pro" w:eastAsia="Avenir Next LT Pro" w:hAnsi="Avenir Next LT Pro" w:cs="Avenir Next LT Pro"/>
                <w:sz w:val="14"/>
                <w:szCs w:val="14"/>
              </w:rPr>
            </w:pPr>
            <w:r w:rsidRPr="365890A1">
              <w:rPr>
                <w:rFonts w:ascii="Avenir Next LT Pro" w:eastAsia="Avenir Next LT Pro" w:hAnsi="Avenir Next LT Pro" w:cs="Avenir Next LT Pro"/>
                <w:sz w:val="14"/>
                <w:szCs w:val="14"/>
              </w:rPr>
              <w:t>1 sitio web</w:t>
            </w:r>
            <w:r w:rsidR="1EF291FC" w:rsidRPr="365890A1">
              <w:rPr>
                <w:rFonts w:ascii="Avenir Next LT Pro" w:eastAsia="Avenir Next LT Pro" w:hAnsi="Avenir Next LT Pro" w:cs="Avenir Next LT Pro"/>
                <w:sz w:val="14"/>
                <w:szCs w:val="14"/>
              </w:rPr>
              <w:t xml:space="preserve"> con información sobre IDS para madres, padres</w:t>
            </w:r>
            <w:r w:rsidR="1835B362" w:rsidRPr="365890A1">
              <w:rPr>
                <w:rFonts w:ascii="Avenir Next LT Pro" w:eastAsia="Avenir Next LT Pro" w:hAnsi="Avenir Next LT Pro" w:cs="Avenir Next LT Pro"/>
                <w:sz w:val="14"/>
                <w:szCs w:val="14"/>
              </w:rPr>
              <w:t>, cuidadores y personal de salud</w:t>
            </w:r>
            <w:r w:rsidR="668569FF" w:rsidRPr="365890A1">
              <w:rPr>
                <w:rFonts w:ascii="Avenir Next LT Pro" w:eastAsia="Avenir Next LT Pro" w:hAnsi="Avenir Next LT Pro" w:cs="Avenir Next LT Pro"/>
                <w:sz w:val="14"/>
                <w:szCs w:val="14"/>
              </w:rPr>
              <w:t>. 1</w:t>
            </w:r>
            <w:r w:rsidR="151F99E7" w:rsidRPr="365890A1">
              <w:rPr>
                <w:rFonts w:ascii="Avenir Next LT Pro" w:eastAsia="Avenir Next LT Pro" w:hAnsi="Avenir Next LT Pro" w:cs="Avenir Next LT Pro"/>
                <w:sz w:val="14"/>
                <w:szCs w:val="14"/>
              </w:rPr>
              <w:t xml:space="preserve"> o 2</w:t>
            </w:r>
            <w:r w:rsidR="668569FF" w:rsidRPr="365890A1">
              <w:rPr>
                <w:rFonts w:ascii="Avenir Next LT Pro" w:eastAsia="Avenir Next LT Pro" w:hAnsi="Avenir Next LT Pro" w:cs="Avenir Next LT Pro"/>
                <w:sz w:val="14"/>
                <w:szCs w:val="14"/>
              </w:rPr>
              <w:t xml:space="preserve"> video</w:t>
            </w:r>
            <w:r w:rsidR="3A0B7648" w:rsidRPr="365890A1">
              <w:rPr>
                <w:rFonts w:ascii="Avenir Next LT Pro" w:eastAsia="Avenir Next LT Pro" w:hAnsi="Avenir Next LT Pro" w:cs="Avenir Next LT Pro"/>
                <w:sz w:val="14"/>
                <w:szCs w:val="14"/>
              </w:rPr>
              <w:t>s</w:t>
            </w:r>
            <w:r w:rsidR="668569FF" w:rsidRPr="365890A1">
              <w:rPr>
                <w:rFonts w:ascii="Avenir Next LT Pro" w:eastAsia="Avenir Next LT Pro" w:hAnsi="Avenir Next LT Pro" w:cs="Avenir Next LT Pro"/>
                <w:sz w:val="14"/>
                <w:szCs w:val="14"/>
              </w:rPr>
              <w:t>/podcast sobre</w:t>
            </w:r>
            <w:r w:rsidR="25E33656" w:rsidRPr="365890A1">
              <w:rPr>
                <w:rFonts w:ascii="Avenir Next LT Pro" w:eastAsia="Avenir Next LT Pro" w:hAnsi="Avenir Next LT Pro" w:cs="Avenir Next LT Pro"/>
                <w:sz w:val="14"/>
                <w:szCs w:val="14"/>
              </w:rPr>
              <w:t xml:space="preserve"> </w:t>
            </w:r>
            <w:r w:rsidR="5507CDE6" w:rsidRPr="365890A1">
              <w:rPr>
                <w:rFonts w:ascii="Avenir Next LT Pro" w:eastAsia="Avenir Next LT Pro" w:hAnsi="Avenir Next LT Pro" w:cs="Avenir Next LT Pro"/>
                <w:sz w:val="14"/>
                <w:szCs w:val="14"/>
              </w:rPr>
              <w:t xml:space="preserve">el vínculo afectivo y la IDS, las formas de la IDS y la pertinencia de </w:t>
            </w:r>
            <w:r w:rsidR="36216067" w:rsidRPr="365890A1">
              <w:rPr>
                <w:rFonts w:ascii="Avenir Next LT Pro" w:eastAsia="Avenir Next LT Pro" w:hAnsi="Avenir Next LT Pro" w:cs="Avenir Next LT Pro"/>
                <w:sz w:val="14"/>
                <w:szCs w:val="14"/>
              </w:rPr>
              <w:t xml:space="preserve">abordaje desde el contexto familiar. </w:t>
            </w:r>
          </w:p>
        </w:tc>
      </w:tr>
      <w:tr w:rsidR="00844492" w:rsidRPr="00847B5F" w14:paraId="10477918" w14:textId="77777777" w:rsidTr="365890A1">
        <w:trPr>
          <w:trHeight w:val="32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BE3616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Apropiación social del conocimiento - APSC</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2EDF997" w14:textId="749355E0"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1 actividad de APSC, la cual promueva encuentros, interacciones y procesos de </w:t>
            </w:r>
            <w:proofErr w:type="spellStart"/>
            <w:r w:rsidRPr="0B44BD26">
              <w:rPr>
                <w:rFonts w:ascii="Avenir Next LT Pro" w:eastAsia="Avenir Next LT Pro" w:hAnsi="Avenir Next LT Pro" w:cs="Avenir Next LT Pro"/>
                <w:sz w:val="14"/>
                <w:szCs w:val="14"/>
              </w:rPr>
              <w:t>co-creación</w:t>
            </w:r>
            <w:proofErr w:type="spellEnd"/>
            <w:r w:rsidRPr="0B44BD26">
              <w:rPr>
                <w:rFonts w:ascii="Avenir Next LT Pro" w:eastAsia="Avenir Next LT Pro" w:hAnsi="Avenir Next LT Pro" w:cs="Avenir Next LT Pro"/>
                <w:sz w:val="14"/>
                <w:szCs w:val="14"/>
              </w:rPr>
              <w:t xml:space="preserve"> entre diversos actores sociales, con el objetivo de construir conjuntamente.</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2C56F86" w14:textId="535261DE"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Documento descriptivo que expone el proceso de APSC, acompañado de evidencias que permiten identificar las actividades realizadas y los resultados obtenidos a través del trabajo colaborativo.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5468DC" w14:textId="5739BF86" w:rsidR="00844492" w:rsidRPr="00847B5F" w:rsidRDefault="26FDCBD9" w:rsidP="00A960E8">
            <w:pPr>
              <w:snapToGrid w:val="0"/>
              <w:spacing w:after="0" w:line="240" w:lineRule="auto"/>
              <w:ind w:firstLine="239"/>
              <w:jc w:val="center"/>
              <w:rPr>
                <w:rFonts w:ascii="Avenir Next LT Pro" w:eastAsia="Avenir Next LT Pro" w:hAnsi="Avenir Next LT Pro" w:cs="Avenir Next LT Pro"/>
                <w:sz w:val="14"/>
                <w:szCs w:val="14"/>
                <w:lang w:val="es-CO"/>
              </w:rPr>
            </w:pPr>
            <w:r w:rsidRPr="0B44BD26">
              <w:rPr>
                <w:rFonts w:ascii="Avenir Next LT Pro" w:eastAsia="Avenir Next LT Pro" w:hAnsi="Avenir Next LT Pro" w:cs="Avenir Next LT Pro"/>
                <w:sz w:val="14"/>
                <w:szCs w:val="14"/>
                <w:lang w:val="es-CO"/>
              </w:rPr>
              <w:t>1 proceso de APSC con familias participantes del estudio (madres y cuidadores de bebés)</w:t>
            </w:r>
          </w:p>
        </w:tc>
      </w:tr>
      <w:tr w:rsidR="00844492" w:rsidRPr="00847B5F" w14:paraId="3BF08F53"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FD57E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Difusión del conocimiento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221E5A7" w14:textId="60BE6319"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3 socializaciones de resultados en eventos especializados, de los cuales 1 deberá ser en el Congreso Institucional de Investigaciones</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973FC0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Memorias de participación como ponente en evento científico o artísticos</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977F04" w14:textId="0949487D" w:rsidR="00844492" w:rsidRPr="00847B5F" w:rsidRDefault="429BFA63" w:rsidP="00A960E8">
            <w:pPr>
              <w:spacing w:after="0" w:line="240" w:lineRule="auto"/>
              <w:ind w:left="-1" w:firstLine="239"/>
              <w:jc w:val="center"/>
              <w:rPr>
                <w:rFonts w:ascii="Avenir Next LT Pro" w:eastAsia="Avenir Next LT Pro" w:hAnsi="Avenir Next LT Pro" w:cs="Avenir Next LT Pro"/>
                <w:color w:val="auto"/>
                <w:sz w:val="14"/>
                <w:szCs w:val="14"/>
              </w:rPr>
            </w:pPr>
            <w:r w:rsidRPr="0B44BD26">
              <w:rPr>
                <w:rFonts w:ascii="Avenir Next LT Pro" w:eastAsia="Avenir Next LT Pro" w:hAnsi="Avenir Next LT Pro" w:cs="Avenir Next LT Pro"/>
                <w:color w:val="auto"/>
                <w:sz w:val="14"/>
                <w:szCs w:val="14"/>
              </w:rPr>
              <w:t>2</w:t>
            </w:r>
            <w:r w:rsidR="43A8B2ED" w:rsidRPr="0B44BD26">
              <w:rPr>
                <w:rFonts w:ascii="Avenir Next LT Pro" w:eastAsia="Avenir Next LT Pro" w:hAnsi="Avenir Next LT Pro" w:cs="Avenir Next LT Pro"/>
                <w:color w:val="auto"/>
                <w:sz w:val="14"/>
                <w:szCs w:val="14"/>
              </w:rPr>
              <w:t xml:space="preserve"> participaciones como ponente en evento </w:t>
            </w:r>
            <w:r w:rsidR="5580E69A" w:rsidRPr="0B44BD26">
              <w:rPr>
                <w:rFonts w:ascii="Avenir Next LT Pro" w:eastAsia="Avenir Next LT Pro" w:hAnsi="Avenir Next LT Pro" w:cs="Avenir Next LT Pro"/>
                <w:color w:val="auto"/>
                <w:sz w:val="14"/>
                <w:szCs w:val="14"/>
              </w:rPr>
              <w:t>inter</w:t>
            </w:r>
            <w:r w:rsidR="43A8B2ED" w:rsidRPr="0B44BD26">
              <w:rPr>
                <w:rFonts w:ascii="Avenir Next LT Pro" w:eastAsia="Avenir Next LT Pro" w:hAnsi="Avenir Next LT Pro" w:cs="Avenir Next LT Pro"/>
                <w:color w:val="auto"/>
                <w:sz w:val="14"/>
                <w:szCs w:val="14"/>
              </w:rPr>
              <w:t>nacional</w:t>
            </w:r>
            <w:r w:rsidR="7F4A5EED" w:rsidRPr="0B44BD26">
              <w:rPr>
                <w:rFonts w:ascii="Avenir Next LT Pro" w:eastAsia="Avenir Next LT Pro" w:hAnsi="Avenir Next LT Pro" w:cs="Avenir Next LT Pro"/>
                <w:color w:val="auto"/>
                <w:sz w:val="14"/>
                <w:szCs w:val="14"/>
              </w:rPr>
              <w:t>; 1 participación como ponente en evento nacional</w:t>
            </w:r>
          </w:p>
        </w:tc>
      </w:tr>
      <w:tr w:rsidR="00844492" w:rsidRPr="00847B5F" w14:paraId="66DBD4B5"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6B738F3"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Formación de recurso humano de la Universidad El Bosque</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E1074EF" w14:textId="42BEDF3C"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2 formaciones de estudiantes de grado de maestría o especialidades </w:t>
            </w:r>
            <w:r w:rsidR="633C9857" w:rsidRPr="0B44BD26">
              <w:rPr>
                <w:rFonts w:ascii="Avenir Next LT Pro" w:eastAsia="Avenir Next LT Pro" w:hAnsi="Avenir Next LT Pro" w:cs="Avenir Next LT Pro"/>
                <w:sz w:val="14"/>
                <w:szCs w:val="14"/>
              </w:rPr>
              <w:t>médico-quirúrgicas</w:t>
            </w:r>
            <w:r w:rsidRPr="0B44BD26">
              <w:rPr>
                <w:rFonts w:ascii="Avenir Next LT Pro" w:eastAsia="Avenir Next LT Pro" w:hAnsi="Avenir Next LT Pro" w:cs="Avenir Next LT Pro"/>
                <w:sz w:val="14"/>
                <w:szCs w:val="14"/>
              </w:rPr>
              <w:t xml:space="preserve"> y odontológicas de la UEB</w:t>
            </w:r>
          </w:p>
          <w:p w14:paraId="2862A03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o</w:t>
            </w:r>
          </w:p>
          <w:p w14:paraId="6AA8F19C"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4 formación de pregrado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E49DE23"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Direcciones de trabajos de grado de maestría o de pregrado de la Universidad El Bosque (acta de grado o acta de sustentación del trabajo de grado en línea con el proyecto financiado)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DBD735" w14:textId="2EB38312" w:rsidR="00844492" w:rsidRPr="00847B5F" w:rsidRDefault="6F269F63" w:rsidP="00A960E8">
            <w:pPr>
              <w:spacing w:after="0" w:line="240" w:lineRule="auto"/>
              <w:ind w:left="-1" w:firstLine="239"/>
              <w:jc w:val="center"/>
              <w:rPr>
                <w:rFonts w:ascii="Avenir Next LT Pro" w:eastAsia="Avenir Next LT Pro" w:hAnsi="Avenir Next LT Pro" w:cs="Avenir Next LT Pro"/>
                <w:color w:val="auto"/>
                <w:sz w:val="14"/>
                <w:szCs w:val="14"/>
              </w:rPr>
            </w:pPr>
            <w:r w:rsidRPr="365890A1">
              <w:rPr>
                <w:rFonts w:ascii="Avenir Next LT Pro" w:eastAsia="Avenir Next LT Pro" w:hAnsi="Avenir Next LT Pro" w:cs="Avenir Next LT Pro"/>
                <w:color w:val="auto"/>
                <w:sz w:val="14"/>
                <w:szCs w:val="14"/>
              </w:rPr>
              <w:t>5</w:t>
            </w:r>
            <w:r w:rsidR="1151BC68" w:rsidRPr="365890A1">
              <w:rPr>
                <w:rFonts w:ascii="Avenir Next LT Pro" w:eastAsia="Avenir Next LT Pro" w:hAnsi="Avenir Next LT Pro" w:cs="Avenir Next LT Pro"/>
                <w:color w:val="auto"/>
                <w:sz w:val="14"/>
                <w:szCs w:val="14"/>
              </w:rPr>
              <w:t xml:space="preserve"> trabajos de grado estudiantes de pregrado</w:t>
            </w:r>
            <w:r w:rsidR="74AECC39" w:rsidRPr="365890A1">
              <w:rPr>
                <w:rFonts w:ascii="Avenir Next LT Pro" w:eastAsia="Avenir Next LT Pro" w:hAnsi="Avenir Next LT Pro" w:cs="Avenir Next LT Pro"/>
                <w:color w:val="auto"/>
                <w:sz w:val="14"/>
                <w:szCs w:val="14"/>
              </w:rPr>
              <w:t xml:space="preserve"> (psicología; al menos 4 traba</w:t>
            </w:r>
            <w:r w:rsidR="000F002B">
              <w:rPr>
                <w:rFonts w:ascii="Avenir Next LT Pro" w:eastAsia="Avenir Next LT Pro" w:hAnsi="Avenir Next LT Pro" w:cs="Avenir Next LT Pro"/>
                <w:color w:val="auto"/>
                <w:sz w:val="14"/>
                <w:szCs w:val="14"/>
              </w:rPr>
              <w:t>j</w:t>
            </w:r>
            <w:r w:rsidR="74AECC39" w:rsidRPr="365890A1">
              <w:rPr>
                <w:rFonts w:ascii="Avenir Next LT Pro" w:eastAsia="Avenir Next LT Pro" w:hAnsi="Avenir Next LT Pro" w:cs="Avenir Next LT Pro"/>
                <w:color w:val="auto"/>
                <w:sz w:val="14"/>
                <w:szCs w:val="14"/>
              </w:rPr>
              <w:t>o en análisis acústicos e implicaciones evolutivas, y 1 trab</w:t>
            </w:r>
            <w:r w:rsidR="000F002B">
              <w:rPr>
                <w:rFonts w:ascii="Avenir Next LT Pro" w:eastAsia="Avenir Next LT Pro" w:hAnsi="Avenir Next LT Pro" w:cs="Avenir Next LT Pro"/>
                <w:color w:val="auto"/>
                <w:sz w:val="14"/>
                <w:szCs w:val="14"/>
              </w:rPr>
              <w:t>aj</w:t>
            </w:r>
            <w:r w:rsidR="74AECC39" w:rsidRPr="365890A1">
              <w:rPr>
                <w:rFonts w:ascii="Avenir Next LT Pro" w:eastAsia="Avenir Next LT Pro" w:hAnsi="Avenir Next LT Pro" w:cs="Avenir Next LT Pro"/>
                <w:color w:val="auto"/>
                <w:sz w:val="14"/>
                <w:szCs w:val="14"/>
              </w:rPr>
              <w:t>o en eye-tracking)</w:t>
            </w:r>
            <w:r w:rsidR="1151BC68" w:rsidRPr="365890A1">
              <w:rPr>
                <w:rFonts w:ascii="Avenir Next LT Pro" w:eastAsia="Avenir Next LT Pro" w:hAnsi="Avenir Next LT Pro" w:cs="Avenir Next LT Pro"/>
                <w:color w:val="auto"/>
                <w:sz w:val="14"/>
                <w:szCs w:val="14"/>
              </w:rPr>
              <w:t>; 1 trabajos de grado de estudiante de maestría</w:t>
            </w:r>
            <w:r w:rsidR="0ED2B0A2" w:rsidRPr="365890A1">
              <w:rPr>
                <w:rFonts w:ascii="Avenir Next LT Pro" w:eastAsia="Avenir Next LT Pro" w:hAnsi="Avenir Next LT Pro" w:cs="Avenir Next LT Pro"/>
                <w:color w:val="auto"/>
                <w:sz w:val="14"/>
                <w:szCs w:val="14"/>
              </w:rPr>
              <w:t xml:space="preserve"> (</w:t>
            </w:r>
            <w:r w:rsidR="75D7FE0E" w:rsidRPr="365890A1">
              <w:rPr>
                <w:rFonts w:ascii="Avenir Next LT Pro" w:eastAsia="Avenir Next LT Pro" w:hAnsi="Avenir Next LT Pro" w:cs="Avenir Next LT Pro"/>
                <w:color w:val="auto"/>
                <w:sz w:val="14"/>
                <w:szCs w:val="14"/>
              </w:rPr>
              <w:t>Maestría en Educación</w:t>
            </w:r>
            <w:r w:rsidR="0ED2B0A2" w:rsidRPr="365890A1">
              <w:rPr>
                <w:rFonts w:ascii="Avenir Next LT Pro" w:eastAsia="Avenir Next LT Pro" w:hAnsi="Avenir Next LT Pro" w:cs="Avenir Next LT Pro"/>
                <w:color w:val="auto"/>
                <w:sz w:val="14"/>
                <w:szCs w:val="14"/>
              </w:rPr>
              <w:t>); 1 trabajo de especialización (Psicología Clínica y Desarrollo Infantil)</w:t>
            </w:r>
          </w:p>
        </w:tc>
      </w:tr>
      <w:tr w:rsidR="00844492" w:rsidRPr="00847B5F" w14:paraId="7DEEC8A0"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A7C166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Iniciación científica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573F716" w14:textId="02ECA3EE"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Vinculación de estudiantes de pregrado de mínimo tres semilleros de investigación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1ECBCA1" w14:textId="008AFC8B" w:rsidR="00844492" w:rsidRPr="00D271B3" w:rsidRDefault="4D36987D" w:rsidP="00A960E8">
            <w:pPr>
              <w:snapToGrid w:val="0"/>
              <w:spacing w:after="0" w:line="240" w:lineRule="auto"/>
              <w:ind w:firstLine="239"/>
              <w:jc w:val="center"/>
              <w:rPr>
                <w:rFonts w:ascii="Avenir Next LT Pro" w:eastAsia="Avenir Next LT Pro" w:hAnsi="Avenir Next LT Pro" w:cs="Avenir Next LT Pro"/>
                <w:color w:val="000000"/>
                <w:sz w:val="14"/>
                <w:szCs w:val="14"/>
              </w:rPr>
            </w:pPr>
            <w:r w:rsidRPr="0B44BD26">
              <w:rPr>
                <w:rFonts w:ascii="Avenir Next LT Pro" w:eastAsia="Avenir Next LT Pro" w:hAnsi="Avenir Next LT Pro" w:cs="Avenir Next LT Pro"/>
                <w:sz w:val="14"/>
                <w:szCs w:val="14"/>
              </w:rPr>
              <w:t>Informe aprobado la coordinación de investigaciones de la unidad académica a la cual se encuentra adscrito el semillero de investigación</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0D291A" w14:textId="6B0FAF42" w:rsidR="00844492" w:rsidRPr="00847B5F" w:rsidRDefault="1A747383" w:rsidP="00A960E8">
            <w:pPr>
              <w:snapToGrid w:val="0"/>
              <w:spacing w:after="0" w:line="240" w:lineRule="auto"/>
              <w:ind w:firstLine="239"/>
              <w:jc w:val="center"/>
              <w:rPr>
                <w:rFonts w:ascii="Avenir Next LT Pro" w:eastAsia="Avenir Next LT Pro" w:hAnsi="Avenir Next LT Pro" w:cs="Avenir Next LT Pro"/>
                <w:color w:val="auto"/>
                <w:sz w:val="14"/>
                <w:szCs w:val="14"/>
              </w:rPr>
            </w:pPr>
            <w:r w:rsidRPr="365890A1">
              <w:rPr>
                <w:rFonts w:ascii="Avenir Next LT Pro" w:eastAsia="Avenir Next LT Pro" w:hAnsi="Avenir Next LT Pro" w:cs="Avenir Next LT Pro"/>
                <w:color w:val="auto"/>
                <w:sz w:val="14"/>
                <w:szCs w:val="14"/>
              </w:rPr>
              <w:t>3 semilleros vinculado</w:t>
            </w:r>
            <w:r w:rsidR="73372E9E" w:rsidRPr="365890A1">
              <w:rPr>
                <w:rFonts w:ascii="Avenir Next LT Pro" w:eastAsia="Avenir Next LT Pro" w:hAnsi="Avenir Next LT Pro" w:cs="Avenir Next LT Pro"/>
                <w:color w:val="auto"/>
                <w:sz w:val="14"/>
                <w:szCs w:val="14"/>
              </w:rPr>
              <w:t>s</w:t>
            </w:r>
            <w:r w:rsidR="4FFFC542" w:rsidRPr="365890A1">
              <w:rPr>
                <w:rFonts w:ascii="Avenir Next LT Pro" w:eastAsia="Avenir Next LT Pro" w:hAnsi="Avenir Next LT Pro" w:cs="Avenir Next LT Pro"/>
                <w:color w:val="auto"/>
                <w:sz w:val="14"/>
                <w:szCs w:val="14"/>
              </w:rPr>
              <w:t xml:space="preserve">: Música y Psicología; </w:t>
            </w:r>
            <w:proofErr w:type="spellStart"/>
            <w:r w:rsidR="4FFFC542" w:rsidRPr="365890A1">
              <w:rPr>
                <w:rFonts w:ascii="Avenir Next LT Pro" w:eastAsia="Avenir Next LT Pro" w:hAnsi="Avenir Next LT Pro" w:cs="Avenir Next LT Pro"/>
                <w:color w:val="auto"/>
                <w:sz w:val="14"/>
                <w:szCs w:val="14"/>
              </w:rPr>
              <w:t>SexCog</w:t>
            </w:r>
            <w:proofErr w:type="spellEnd"/>
            <w:r w:rsidR="4FFFC542" w:rsidRPr="365890A1">
              <w:rPr>
                <w:rFonts w:ascii="Avenir Next LT Pro" w:eastAsia="Avenir Next LT Pro" w:hAnsi="Avenir Next LT Pro" w:cs="Avenir Next LT Pro"/>
                <w:color w:val="auto"/>
                <w:sz w:val="14"/>
                <w:szCs w:val="14"/>
              </w:rPr>
              <w:t xml:space="preserve">: Sexualidad y afectividad humana desde una perspectiva neurocognitiva; y </w:t>
            </w:r>
            <w:proofErr w:type="spellStart"/>
            <w:r w:rsidR="3BF1559F" w:rsidRPr="365890A1">
              <w:rPr>
                <w:rFonts w:ascii="Avenir Next LT Pro" w:eastAsia="Avenir Next LT Pro" w:hAnsi="Avenir Next LT Pro" w:cs="Avenir Next LT Pro"/>
                <w:color w:val="auto"/>
                <w:sz w:val="14"/>
                <w:szCs w:val="14"/>
              </w:rPr>
              <w:t>MetaCiencia</w:t>
            </w:r>
            <w:proofErr w:type="spellEnd"/>
            <w:r w:rsidR="3BF1559F" w:rsidRPr="365890A1">
              <w:rPr>
                <w:rFonts w:ascii="Avenir Next LT Pro" w:eastAsia="Avenir Next LT Pro" w:hAnsi="Avenir Next LT Pro" w:cs="Avenir Next LT Pro"/>
                <w:color w:val="auto"/>
                <w:sz w:val="14"/>
                <w:szCs w:val="14"/>
              </w:rPr>
              <w:t>.</w:t>
            </w:r>
          </w:p>
        </w:tc>
      </w:tr>
      <w:tr w:rsidR="00844492" w:rsidRPr="00847B5F" w14:paraId="7FD82953"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C938E65"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lastRenderedPageBreak/>
              <w:t>Cooperación internacional</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3CAA4AA"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de actividades de cooperación con un aliado internacional</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1BDDC9" w14:textId="6F071FE2"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Plan de relacionamiento con aliado(s) internacional(les) o carta de intención del aliado internacional de participar en la ejecución en fases futuras</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181B32" w14:textId="43FBE3DB" w:rsidR="00844492" w:rsidRPr="00847B5F" w:rsidRDefault="0DBF2462" w:rsidP="00A960E8">
            <w:pPr>
              <w:snapToGrid w:val="0"/>
              <w:spacing w:after="0" w:line="240" w:lineRule="auto"/>
              <w:ind w:firstLine="239"/>
              <w:jc w:val="center"/>
              <w:rPr>
                <w:rFonts w:ascii="Avenir Next LT Pro" w:eastAsia="Avenir Next LT Pro" w:hAnsi="Avenir Next LT Pro" w:cs="Avenir Next LT Pro"/>
                <w:sz w:val="14"/>
                <w:szCs w:val="14"/>
                <w:lang w:val="es-CO"/>
              </w:rPr>
            </w:pPr>
            <w:r w:rsidRPr="0B44BD26">
              <w:rPr>
                <w:rFonts w:ascii="Avenir Next LT Pro" w:eastAsia="Avenir Next LT Pro" w:hAnsi="Avenir Next LT Pro" w:cs="Avenir Next LT Pro"/>
                <w:sz w:val="14"/>
                <w:szCs w:val="14"/>
                <w:lang w:val="es-CO"/>
              </w:rPr>
              <w:t xml:space="preserve">1 propuesta de colaboración con el </w:t>
            </w:r>
            <w:proofErr w:type="spellStart"/>
            <w:r w:rsidRPr="0B44BD26">
              <w:rPr>
                <w:rFonts w:ascii="Avenir Next LT Pro" w:eastAsia="Avenir Next LT Pro" w:hAnsi="Avenir Next LT Pro" w:cs="Avenir Next LT Pro"/>
                <w:sz w:val="14"/>
                <w:szCs w:val="14"/>
                <w:lang w:val="es-CO"/>
              </w:rPr>
              <w:t>Behavioral</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Endocrinology</w:t>
            </w:r>
            <w:proofErr w:type="spellEnd"/>
            <w:r w:rsidRPr="0B44BD26">
              <w:rPr>
                <w:rFonts w:ascii="Avenir Next LT Pro" w:eastAsia="Avenir Next LT Pro" w:hAnsi="Avenir Next LT Pro" w:cs="Avenir Next LT Pro"/>
                <w:sz w:val="14"/>
                <w:szCs w:val="14"/>
                <w:lang w:val="es-CO"/>
              </w:rPr>
              <w:t xml:space="preserve"> and </w:t>
            </w:r>
            <w:proofErr w:type="spellStart"/>
            <w:r w:rsidRPr="0B44BD26">
              <w:rPr>
                <w:rFonts w:ascii="Avenir Next LT Pro" w:eastAsia="Avenir Next LT Pro" w:hAnsi="Avenir Next LT Pro" w:cs="Avenir Next LT Pro"/>
                <w:sz w:val="14"/>
                <w:szCs w:val="14"/>
                <w:lang w:val="es-CO"/>
              </w:rPr>
              <w:t>Evolution</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Lab</w:t>
            </w:r>
            <w:proofErr w:type="spellEnd"/>
            <w:r w:rsidRPr="0B44BD26">
              <w:rPr>
                <w:rFonts w:ascii="Avenir Next LT Pro" w:eastAsia="Avenir Next LT Pro" w:hAnsi="Avenir Next LT Pro" w:cs="Avenir Next LT Pro"/>
                <w:sz w:val="14"/>
                <w:szCs w:val="14"/>
                <w:lang w:val="es-CO"/>
              </w:rPr>
              <w:t xml:space="preserve"> (Pennsylvania </w:t>
            </w:r>
            <w:proofErr w:type="spellStart"/>
            <w:r w:rsidRPr="0B44BD26">
              <w:rPr>
                <w:rFonts w:ascii="Avenir Next LT Pro" w:eastAsia="Avenir Next LT Pro" w:hAnsi="Avenir Next LT Pro" w:cs="Avenir Next LT Pro"/>
                <w:sz w:val="14"/>
                <w:szCs w:val="14"/>
                <w:lang w:val="es-CO"/>
              </w:rPr>
              <w:t>State</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University</w:t>
            </w:r>
            <w:proofErr w:type="spellEnd"/>
            <w:r w:rsidRPr="0B44BD26">
              <w:rPr>
                <w:rFonts w:ascii="Avenir Next LT Pro" w:eastAsia="Avenir Next LT Pro" w:hAnsi="Avenir Next LT Pro" w:cs="Avenir Next LT Pro"/>
                <w:sz w:val="14"/>
                <w:szCs w:val="14"/>
                <w:lang w:val="es-CO"/>
              </w:rPr>
              <w:t xml:space="preserve">, EE. UU.), liderado por el Dr. David A. </w:t>
            </w:r>
            <w:proofErr w:type="spellStart"/>
            <w:r w:rsidRPr="0B44BD26">
              <w:rPr>
                <w:rFonts w:ascii="Avenir Next LT Pro" w:eastAsia="Avenir Next LT Pro" w:hAnsi="Avenir Next LT Pro" w:cs="Avenir Next LT Pro"/>
                <w:sz w:val="14"/>
                <w:szCs w:val="14"/>
                <w:lang w:val="es-CO"/>
              </w:rPr>
              <w:t>Puts</w:t>
            </w:r>
            <w:proofErr w:type="spellEnd"/>
            <w:r w:rsidRPr="0B44BD26">
              <w:rPr>
                <w:rFonts w:ascii="Avenir Next LT Pro" w:eastAsia="Avenir Next LT Pro" w:hAnsi="Avenir Next LT Pro" w:cs="Avenir Next LT Pro"/>
                <w:sz w:val="14"/>
                <w:szCs w:val="14"/>
                <w:lang w:val="es-CO"/>
              </w:rPr>
              <w:t>, coinvestigador del proyecto. Se presentará un plan de relacionamiento y una carta de intención para futuras fases de cooperación científica en el análisis comparativo de vocalizaciones dirigidas a bebés.</w:t>
            </w:r>
          </w:p>
        </w:tc>
      </w:tr>
      <w:tr w:rsidR="00844492" w:rsidRPr="00847B5F" w14:paraId="0079373D"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2B63F07"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Movilización de recursos externos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49CBC58"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potencial sometida agencia externa por un monto igual o superior al solicitado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BF25CC7"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Soporte de sometimiento de propuesta de investigación a agencia externa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DE0BD8" w14:textId="454511DE" w:rsidR="00844492" w:rsidRPr="00365648" w:rsidRDefault="43A8B2ED" w:rsidP="00A960E8">
            <w:pPr>
              <w:snapToGrid w:val="0"/>
              <w:spacing w:after="0" w:line="240" w:lineRule="auto"/>
              <w:ind w:left="0"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a someter a agencia externa</w:t>
            </w:r>
          </w:p>
        </w:tc>
      </w:tr>
      <w:tr w:rsidR="00844492" w:rsidRPr="00847B5F" w14:paraId="18933382"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548C38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Otros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380E304"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nota técnica sobre el aporte a la solución del reto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291C367" w14:textId="7485F8A3"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Nota técnica (de acuerdo con el formato definido)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02340A" w14:textId="14DAC073" w:rsidR="00844492" w:rsidRPr="00847B5F" w:rsidRDefault="43A8B2ED" w:rsidP="00A960E8">
            <w:pPr>
              <w:snapToGrid w:val="0"/>
              <w:spacing w:after="0" w:line="240" w:lineRule="auto"/>
              <w:ind w:firstLine="239"/>
              <w:jc w:val="center"/>
              <w:rPr>
                <w:rFonts w:ascii="Avenir Next LT Pro" w:eastAsia="Avenir Next LT Pro" w:hAnsi="Avenir Next LT Pro" w:cs="Avenir Next LT Pro"/>
                <w:color w:val="auto"/>
                <w:sz w:val="14"/>
                <w:szCs w:val="14"/>
              </w:rPr>
            </w:pPr>
            <w:r w:rsidRPr="0B44BD26">
              <w:rPr>
                <w:rFonts w:ascii="Avenir Next LT Pro" w:eastAsia="Avenir Next LT Pro" w:hAnsi="Avenir Next LT Pro" w:cs="Avenir Next LT Pro"/>
                <w:color w:val="auto"/>
                <w:sz w:val="14"/>
                <w:szCs w:val="14"/>
              </w:rPr>
              <w:t>1 nota técnica sobre el aporte a la solución del reto</w:t>
            </w:r>
          </w:p>
        </w:tc>
      </w:tr>
    </w:tbl>
    <w:p w14:paraId="2D19DE4B" w14:textId="1241C3FD" w:rsidR="00344065"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14. CRONOGRAMA</w:t>
      </w:r>
    </w:p>
    <w:tbl>
      <w:tblPr>
        <w:tblW w:w="100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0035"/>
      </w:tblGrid>
      <w:tr w:rsidR="00844492" w:rsidRPr="00847B5F" w14:paraId="1E3B8486" w14:textId="77777777" w:rsidTr="0B44BD26">
        <w:trPr>
          <w:trHeight w:val="300"/>
        </w:trPr>
        <w:tc>
          <w:tcPr>
            <w:tcW w:w="10035" w:type="dxa"/>
            <w:shd w:val="clear" w:color="auto" w:fill="009999"/>
          </w:tcPr>
          <w:p w14:paraId="22EDF778" w14:textId="77777777" w:rsidR="00844492" w:rsidRPr="00847B5F" w:rsidRDefault="4D36987D" w:rsidP="0B44BD26">
            <w:pPr>
              <w:spacing w:after="0"/>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14. CRONOGRAMA</w:t>
            </w:r>
          </w:p>
        </w:tc>
      </w:tr>
      <w:tr w:rsidR="00844492" w:rsidRPr="00847B5F" w14:paraId="04D33A5A" w14:textId="77777777" w:rsidTr="0B44BD26">
        <w:trPr>
          <w:trHeight w:val="300"/>
        </w:trPr>
        <w:tc>
          <w:tcPr>
            <w:tcW w:w="10035" w:type="dxa"/>
          </w:tcPr>
          <w:p w14:paraId="31E411DF" w14:textId="32D813D6" w:rsidR="00844492" w:rsidRPr="00847B5F" w:rsidRDefault="130118CF" w:rsidP="0B44BD26">
            <w:pPr>
              <w:spacing w:after="0"/>
              <w:ind w:left="-2"/>
              <w:jc w:val="center"/>
              <w:rPr>
                <w:rFonts w:ascii="Avenir Next LT Pro" w:eastAsia="Avenir Next LT Pro" w:hAnsi="Avenir Next LT Pro" w:cs="Avenir Next LT Pro"/>
              </w:rPr>
            </w:pPr>
            <w:r>
              <w:rPr>
                <w:noProof/>
              </w:rPr>
              <w:drawing>
                <wp:inline distT="0" distB="0" distL="0" distR="0" wp14:anchorId="6CF6DDC5" wp14:editId="71352B64">
                  <wp:extent cx="5950077" cy="1980372"/>
                  <wp:effectExtent l="0" t="0" r="0" b="0"/>
                  <wp:docPr id="197886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75" name=""/>
                          <pic:cNvPicPr/>
                        </pic:nvPicPr>
                        <pic:blipFill>
                          <a:blip r:embed="rId23">
                            <a:extLst>
                              <a:ext uri="{28A0092B-C50C-407E-A947-70E740481C1C}">
                                <a14:useLocalDpi xmlns:a14="http://schemas.microsoft.com/office/drawing/2010/main"/>
                              </a:ext>
                            </a:extLst>
                          </a:blip>
                          <a:stretch>
                            <a:fillRect/>
                          </a:stretch>
                        </pic:blipFill>
                        <pic:spPr>
                          <a:xfrm>
                            <a:off x="0" y="0"/>
                            <a:ext cx="5950077" cy="1980372"/>
                          </a:xfrm>
                          <a:prstGeom prst="rect">
                            <a:avLst/>
                          </a:prstGeom>
                        </pic:spPr>
                      </pic:pic>
                    </a:graphicData>
                  </a:graphic>
                </wp:inline>
              </w:drawing>
            </w:r>
          </w:p>
        </w:tc>
      </w:tr>
    </w:tbl>
    <w:p w14:paraId="59053C49" w14:textId="14067C25"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15. PRESUPUESTO GENERAL</w:t>
      </w:r>
    </w:p>
    <w:tbl>
      <w:tblPr>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018BFCA8" w14:textId="77777777" w:rsidTr="365890A1">
        <w:trPr>
          <w:trHeight w:val="152"/>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005CC205" w14:textId="2E2CCEB9" w:rsidR="00844492" w:rsidRPr="00847B5F" w:rsidRDefault="4D36987D" w:rsidP="0B44BD26">
            <w:pPr>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15. PRESUPUESTO GENERAL </w:t>
            </w:r>
          </w:p>
        </w:tc>
      </w:tr>
      <w:tr w:rsidR="00844492" w:rsidRPr="00847B5F" w14:paraId="6946AA9F" w14:textId="77777777" w:rsidTr="365890A1">
        <w:trPr>
          <w:trHeight w:val="397"/>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B39D7" w14:textId="74576F0B" w:rsidR="00844492" w:rsidRPr="00847B5F" w:rsidRDefault="073ADA54" w:rsidP="00B0660F">
            <w:pPr>
              <w:spacing w:line="240" w:lineRule="auto"/>
              <w:ind w:left="0" w:firstLineChars="0" w:firstLine="0"/>
            </w:pPr>
            <w:r>
              <w:rPr>
                <w:noProof/>
              </w:rPr>
              <w:drawing>
                <wp:inline distT="0" distB="0" distL="0" distR="0" wp14:anchorId="6B012188" wp14:editId="12312215">
                  <wp:extent cx="6334125" cy="2009775"/>
                  <wp:effectExtent l="0" t="0" r="0" b="0"/>
                  <wp:docPr id="1154579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7917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4125" cy="2009775"/>
                          </a:xfrm>
                          <a:prstGeom prst="rect">
                            <a:avLst/>
                          </a:prstGeom>
                        </pic:spPr>
                      </pic:pic>
                    </a:graphicData>
                  </a:graphic>
                </wp:inline>
              </w:drawing>
            </w:r>
          </w:p>
        </w:tc>
      </w:tr>
    </w:tbl>
    <w:p w14:paraId="22C3C1AF" w14:textId="3033840A"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16. REFERENCIAS BIBLIOGRÁFICAS</w:t>
      </w:r>
    </w:p>
    <w:tbl>
      <w:tblPr>
        <w:tblStyle w:val="afffffffff6"/>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1179106A" w14:textId="77777777" w:rsidTr="365890A1">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4AEA16CA" w14:textId="00958911" w:rsidR="00844492" w:rsidRPr="00847B5F" w:rsidRDefault="7D77F52D" w:rsidP="0B44BD26">
            <w:pPr>
              <w:spacing w:after="0" w:line="240" w:lineRule="auto"/>
              <w:ind w:left="0" w:firstLine="309"/>
              <w:jc w:val="center"/>
              <w:rPr>
                <w:rFonts w:ascii="Avenir Next LT Pro" w:eastAsia="Avenir Next LT Pro" w:hAnsi="Avenir Next LT Pro" w:cs="Avenir Next LT Pro"/>
                <w:color w:val="FFFFFF"/>
              </w:rPr>
            </w:pPr>
            <w:r w:rsidRPr="365890A1">
              <w:rPr>
                <w:rFonts w:ascii="Avenir Next LT Pro" w:eastAsia="Avenir Next LT Pro" w:hAnsi="Avenir Next LT Pro" w:cs="Avenir Next LT Pro"/>
                <w:b/>
                <w:bCs/>
                <w:color w:val="FFFFFF" w:themeColor="background1"/>
              </w:rPr>
              <w:t xml:space="preserve">16. REFERENCIAS BIBLIOGRÁFICAS </w:t>
            </w:r>
          </w:p>
        </w:tc>
      </w:tr>
      <w:tr w:rsidR="00D271B3" w:rsidRPr="009A0E8D" w14:paraId="0AE2F1AB" w14:textId="77777777" w:rsidTr="365890A1">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EC6B1" w14:textId="77777777" w:rsidR="00202498" w:rsidRPr="00202498" w:rsidRDefault="00C568B2" w:rsidP="00202498">
            <w:pPr>
              <w:pStyle w:val="Bibliography"/>
              <w:ind w:firstLine="308"/>
              <w:rPr>
                <w:lang w:val="en-GB"/>
              </w:rPr>
            </w:pPr>
            <w:r>
              <w:lastRenderedPageBreak/>
              <w:fldChar w:fldCharType="begin"/>
            </w:r>
            <w:r w:rsidR="00202498">
              <w:rPr>
                <w:lang w:val="en-GB"/>
              </w:rPr>
              <w:instrText xml:space="preserve"> ADDIN ZOTERO_BIBL {"uncited":[],"omitted":[],"custom":[]} CSL_BIBLIOGRAPHY </w:instrText>
            </w:r>
            <w:r>
              <w:fldChar w:fldCharType="separate"/>
            </w:r>
            <w:r w:rsidR="00202498" w:rsidRPr="00202498">
              <w:rPr>
                <w:lang w:val="en-GB"/>
              </w:rPr>
              <w:t xml:space="preserve">1. Feldman, R., Weller, A., Zagoory-Sharon, O., &amp; Levine, A. (2007). Evidence for a neuroendocrinological foundation of human affiliation: Plasma oxytocin levels across pregnancy and the postpartum period predict mother-infant bonding. </w:t>
            </w:r>
            <w:r w:rsidR="00202498" w:rsidRPr="00202498">
              <w:rPr>
                <w:i/>
                <w:iCs/>
                <w:lang w:val="en-GB"/>
              </w:rPr>
              <w:t>Psychological Science</w:t>
            </w:r>
            <w:r w:rsidR="00202498" w:rsidRPr="00202498">
              <w:rPr>
                <w:lang w:val="en-GB"/>
              </w:rPr>
              <w:t xml:space="preserve">, </w:t>
            </w:r>
            <w:r w:rsidR="00202498" w:rsidRPr="00202498">
              <w:rPr>
                <w:i/>
                <w:iCs/>
                <w:lang w:val="en-GB"/>
              </w:rPr>
              <w:t>18</w:t>
            </w:r>
            <w:r w:rsidR="00202498" w:rsidRPr="00202498">
              <w:rPr>
                <w:lang w:val="en-GB"/>
              </w:rPr>
              <w:t>(11), 965–970. https://doi.org/10.1111/j.1467-9280.2007.02010.x</w:t>
            </w:r>
          </w:p>
          <w:p w14:paraId="175938A3" w14:textId="77777777" w:rsidR="00202498" w:rsidRPr="00202498" w:rsidRDefault="00202498" w:rsidP="00202498">
            <w:pPr>
              <w:pStyle w:val="Bibliography"/>
              <w:ind w:firstLine="308"/>
              <w:rPr>
                <w:lang w:val="en-GB"/>
              </w:rPr>
            </w:pPr>
            <w:r w:rsidRPr="00202498">
              <w:rPr>
                <w:lang w:val="en-GB"/>
              </w:rPr>
              <w:t xml:space="preserve">2. Weisman, O., Delaherche, E., Rondeau, M., Chetouani, M., Cohen, D., &amp; Feldman, R. (2013). Oxytocin shapes parental motion during father-infant interaction. </w:t>
            </w:r>
            <w:r w:rsidRPr="00202498">
              <w:rPr>
                <w:i/>
                <w:iCs/>
                <w:lang w:val="en-GB"/>
              </w:rPr>
              <w:t>Biology letters</w:t>
            </w:r>
            <w:r w:rsidRPr="00202498">
              <w:rPr>
                <w:lang w:val="en-GB"/>
              </w:rPr>
              <w:t xml:space="preserve">, </w:t>
            </w:r>
            <w:r w:rsidRPr="00202498">
              <w:rPr>
                <w:i/>
                <w:iCs/>
                <w:lang w:val="en-GB"/>
              </w:rPr>
              <w:t>9</w:t>
            </w:r>
            <w:r w:rsidRPr="00202498">
              <w:rPr>
                <w:lang w:val="en-GB"/>
              </w:rPr>
              <w:t>(6), 20130828. https://doi.org/10.1098/rsbl.2013.0828</w:t>
            </w:r>
          </w:p>
          <w:p w14:paraId="54DE91DE" w14:textId="77777777" w:rsidR="00202498" w:rsidRPr="00202498" w:rsidRDefault="00202498" w:rsidP="00202498">
            <w:pPr>
              <w:pStyle w:val="Bibliography"/>
              <w:ind w:firstLine="308"/>
              <w:rPr>
                <w:lang w:val="en-GB"/>
              </w:rPr>
            </w:pPr>
            <w:r w:rsidRPr="00202498">
              <w:rPr>
                <w:lang w:val="en-GB"/>
              </w:rPr>
              <w:t xml:space="preserve">3. Gordon, I., Zagoory-Sharon, O., Leckman, J. F., &amp; Feldman, R. (2010). Oxytocin and the development of parenting in humans. </w:t>
            </w:r>
            <w:r w:rsidRPr="00202498">
              <w:rPr>
                <w:i/>
                <w:iCs/>
                <w:lang w:val="en-GB"/>
              </w:rPr>
              <w:t>Biological Psychiatry</w:t>
            </w:r>
            <w:r w:rsidRPr="00202498">
              <w:rPr>
                <w:lang w:val="en-GB"/>
              </w:rPr>
              <w:t xml:space="preserve">, </w:t>
            </w:r>
            <w:r w:rsidRPr="00202498">
              <w:rPr>
                <w:i/>
                <w:iCs/>
                <w:lang w:val="en-GB"/>
              </w:rPr>
              <w:t>68</w:t>
            </w:r>
            <w:r w:rsidRPr="00202498">
              <w:rPr>
                <w:lang w:val="en-GB"/>
              </w:rPr>
              <w:t>(4), 377–382. https://doi.org/10.1016/j.biopsych.2010.02.005</w:t>
            </w:r>
          </w:p>
          <w:p w14:paraId="798EC484" w14:textId="77777777" w:rsidR="00202498" w:rsidRPr="00202498" w:rsidRDefault="00202498" w:rsidP="00202498">
            <w:pPr>
              <w:pStyle w:val="Bibliography"/>
              <w:ind w:firstLine="308"/>
              <w:rPr>
                <w:lang w:val="en-GB"/>
              </w:rPr>
            </w:pPr>
            <w:r w:rsidRPr="00202498">
              <w:rPr>
                <w:lang w:val="en-GB"/>
              </w:rPr>
              <w:t xml:space="preserve">4. Burnham, D., Kitamura, C., &amp; Vollmer-Conna, U. (2002). What’s new, pussycat? On talking to babies and animals. </w:t>
            </w:r>
            <w:r w:rsidRPr="00202498">
              <w:rPr>
                <w:i/>
                <w:iCs/>
                <w:lang w:val="en-GB"/>
              </w:rPr>
              <w:t>Science</w:t>
            </w:r>
            <w:r w:rsidRPr="00202498">
              <w:rPr>
                <w:lang w:val="en-GB"/>
              </w:rPr>
              <w:t xml:space="preserve">, </w:t>
            </w:r>
            <w:r w:rsidRPr="00202498">
              <w:rPr>
                <w:i/>
                <w:iCs/>
                <w:lang w:val="en-GB"/>
              </w:rPr>
              <w:t>296</w:t>
            </w:r>
            <w:r w:rsidRPr="00202498">
              <w:rPr>
                <w:lang w:val="en-GB"/>
              </w:rPr>
              <w:t>(5572), 1435. https://doi.org/10.1126/science.1069587</w:t>
            </w:r>
          </w:p>
          <w:p w14:paraId="7515F81B" w14:textId="77777777" w:rsidR="00202498" w:rsidRPr="00202498" w:rsidRDefault="00202498" w:rsidP="00202498">
            <w:pPr>
              <w:pStyle w:val="Bibliography"/>
              <w:ind w:firstLine="308"/>
              <w:rPr>
                <w:lang w:val="en-GB"/>
              </w:rPr>
            </w:pPr>
            <w:r w:rsidRPr="00202498">
              <w:rPr>
                <w:lang w:val="en-GB"/>
              </w:rPr>
              <w:t xml:space="preserve">5. Kuhl, P. K. (2000). A new view of language acquisition. </w:t>
            </w:r>
            <w:r w:rsidRPr="00202498">
              <w:rPr>
                <w:i/>
                <w:iCs/>
                <w:lang w:val="en-GB"/>
              </w:rPr>
              <w:t>Proceedings of the National Academy of Sciences</w:t>
            </w:r>
            <w:r w:rsidRPr="00202498">
              <w:rPr>
                <w:lang w:val="en-GB"/>
              </w:rPr>
              <w:t xml:space="preserve">, </w:t>
            </w:r>
            <w:r w:rsidRPr="00202498">
              <w:rPr>
                <w:i/>
                <w:iCs/>
                <w:lang w:val="en-GB"/>
              </w:rPr>
              <w:t>97</w:t>
            </w:r>
            <w:r w:rsidRPr="00202498">
              <w:rPr>
                <w:lang w:val="en-GB"/>
              </w:rPr>
              <w:t>(22), 11850–11857. https://doi.org/10.1073/pnas.97.22.11850</w:t>
            </w:r>
          </w:p>
          <w:p w14:paraId="66DC2342" w14:textId="77777777" w:rsidR="00202498" w:rsidRPr="00202498" w:rsidRDefault="00202498" w:rsidP="00202498">
            <w:pPr>
              <w:pStyle w:val="Bibliography"/>
              <w:ind w:firstLine="308"/>
              <w:rPr>
                <w:lang w:val="en-GB"/>
              </w:rPr>
            </w:pPr>
            <w:r w:rsidRPr="00202498">
              <w:rPr>
                <w:lang w:val="en-GB"/>
              </w:rPr>
              <w:t xml:space="preserve">6. Thiessen, E. D., Hill, E. A., &amp; Saffran, J. R. (2005). Infant-Directed Speech Facilitates Word Segmentation. </w:t>
            </w:r>
            <w:r w:rsidRPr="00202498">
              <w:rPr>
                <w:i/>
                <w:iCs/>
                <w:lang w:val="en-GB"/>
              </w:rPr>
              <w:t>Infancy</w:t>
            </w:r>
            <w:r w:rsidRPr="00202498">
              <w:rPr>
                <w:lang w:val="en-GB"/>
              </w:rPr>
              <w:t xml:space="preserve">, </w:t>
            </w:r>
            <w:r w:rsidRPr="00202498">
              <w:rPr>
                <w:i/>
                <w:iCs/>
                <w:lang w:val="en-GB"/>
              </w:rPr>
              <w:t>7</w:t>
            </w:r>
            <w:r w:rsidRPr="00202498">
              <w:rPr>
                <w:lang w:val="en-GB"/>
              </w:rPr>
              <w:t>(1), 53–71. https://doi.org/10.1207/s15327078in0701_5</w:t>
            </w:r>
          </w:p>
          <w:p w14:paraId="26419A22" w14:textId="77777777" w:rsidR="00202498" w:rsidRPr="00202498" w:rsidRDefault="00202498" w:rsidP="00202498">
            <w:pPr>
              <w:pStyle w:val="Bibliography"/>
              <w:ind w:firstLine="308"/>
              <w:rPr>
                <w:lang w:val="en-GB"/>
              </w:rPr>
            </w:pPr>
            <w:r w:rsidRPr="00202498">
              <w:rPr>
                <w:lang w:val="en-GB"/>
              </w:rPr>
              <w:t xml:space="preserve">7. Trainor, L. J., &amp; Desjardins, R. N. (2002). Pitch characteristics of infant-directed speech affect infants’ ability to discriminate vowels. </w:t>
            </w:r>
            <w:r w:rsidRPr="00202498">
              <w:rPr>
                <w:i/>
                <w:iCs/>
                <w:lang w:val="en-GB"/>
              </w:rPr>
              <w:t>Psychonomic Bulletin &amp; Review</w:t>
            </w:r>
            <w:r w:rsidRPr="00202498">
              <w:rPr>
                <w:lang w:val="en-GB"/>
              </w:rPr>
              <w:t xml:space="preserve">, </w:t>
            </w:r>
            <w:r w:rsidRPr="00202498">
              <w:rPr>
                <w:i/>
                <w:iCs/>
                <w:lang w:val="en-GB"/>
              </w:rPr>
              <w:t>9</w:t>
            </w:r>
            <w:r w:rsidRPr="00202498">
              <w:rPr>
                <w:lang w:val="en-GB"/>
              </w:rPr>
              <w:t>(2), 335–340. https://doi.org/10.3758/BF03196290</w:t>
            </w:r>
          </w:p>
          <w:p w14:paraId="3DC2C732" w14:textId="77777777" w:rsidR="00202498" w:rsidRPr="00202498" w:rsidRDefault="00202498" w:rsidP="00202498">
            <w:pPr>
              <w:pStyle w:val="Bibliography"/>
              <w:ind w:firstLine="308"/>
              <w:rPr>
                <w:lang w:val="en-GB"/>
              </w:rPr>
            </w:pPr>
            <w:r w:rsidRPr="00202498">
              <w:rPr>
                <w:lang w:val="en-GB"/>
              </w:rPr>
              <w:t xml:space="preserve">8. Golinkoff, R. M., Can, D. D., Soderstrom, M., &amp; Hirsh-Pasek, K. (2015). (Baby)Talk to Me: The Social Context of Infant-Directed Speech and Its Effects on Early Language Acquisition. </w:t>
            </w:r>
            <w:r w:rsidRPr="00202498">
              <w:rPr>
                <w:i/>
                <w:iCs/>
                <w:lang w:val="en-GB"/>
              </w:rPr>
              <w:t>Current Directions in Psychological Science</w:t>
            </w:r>
            <w:r w:rsidRPr="00202498">
              <w:rPr>
                <w:lang w:val="en-GB"/>
              </w:rPr>
              <w:t xml:space="preserve">, </w:t>
            </w:r>
            <w:r w:rsidRPr="00202498">
              <w:rPr>
                <w:i/>
                <w:iCs/>
                <w:lang w:val="en-GB"/>
              </w:rPr>
              <w:t>24</w:t>
            </w:r>
            <w:r w:rsidRPr="00202498">
              <w:rPr>
                <w:lang w:val="en-GB"/>
              </w:rPr>
              <w:t>(5), 339–344. https://doi.org/10.1177/0963721415595345</w:t>
            </w:r>
          </w:p>
          <w:p w14:paraId="74608F85" w14:textId="77777777" w:rsidR="00202498" w:rsidRPr="00202498" w:rsidRDefault="00202498" w:rsidP="00202498">
            <w:pPr>
              <w:pStyle w:val="Bibliography"/>
              <w:ind w:firstLine="308"/>
              <w:rPr>
                <w:lang w:val="en-GB"/>
              </w:rPr>
            </w:pPr>
            <w:r w:rsidRPr="00202498">
              <w:rPr>
                <w:lang w:val="en-GB"/>
              </w:rPr>
              <w:t xml:space="preserve">9. Ma, W., Fiveash, A., Margulis, E. H., Behrend, D., &amp; Thompson, W. F. (2020). Song and infant-directed speech facilitate word learning. </w:t>
            </w:r>
            <w:r w:rsidRPr="00202498">
              <w:rPr>
                <w:i/>
                <w:iCs/>
                <w:lang w:val="en-GB"/>
              </w:rPr>
              <w:t>Quarterly Journal of Experimental Psychology</w:t>
            </w:r>
            <w:r w:rsidRPr="00202498">
              <w:rPr>
                <w:lang w:val="en-GB"/>
              </w:rPr>
              <w:t xml:space="preserve">, </w:t>
            </w:r>
            <w:r w:rsidRPr="00202498">
              <w:rPr>
                <w:i/>
                <w:iCs/>
                <w:lang w:val="en-GB"/>
              </w:rPr>
              <w:t>73</w:t>
            </w:r>
            <w:r w:rsidRPr="00202498">
              <w:rPr>
                <w:lang w:val="en-GB"/>
              </w:rPr>
              <w:t>(7), 1036–1054. https://doi.org/10.1177/1747021819888982</w:t>
            </w:r>
          </w:p>
          <w:p w14:paraId="376ED0A9" w14:textId="77777777" w:rsidR="00202498" w:rsidRPr="00202498" w:rsidRDefault="00202498" w:rsidP="00202498">
            <w:pPr>
              <w:pStyle w:val="Bibliography"/>
              <w:ind w:firstLine="308"/>
              <w:rPr>
                <w:lang w:val="en-GB"/>
              </w:rPr>
            </w:pPr>
            <w:r w:rsidRPr="00202498">
              <w:rPr>
                <w:lang w:val="en-GB"/>
              </w:rPr>
              <w:t xml:space="preserve">10. Falk, D. (2005). Prelinguistic evolution in early hominins: Whence motherese? </w:t>
            </w:r>
            <w:r w:rsidRPr="00202498">
              <w:rPr>
                <w:i/>
                <w:iCs/>
                <w:lang w:val="en-GB"/>
              </w:rPr>
              <w:t>Behavioral and Brain Sciences</w:t>
            </w:r>
            <w:r w:rsidRPr="00202498">
              <w:rPr>
                <w:lang w:val="en-GB"/>
              </w:rPr>
              <w:t xml:space="preserve">, </w:t>
            </w:r>
            <w:r w:rsidRPr="00202498">
              <w:rPr>
                <w:i/>
                <w:iCs/>
                <w:lang w:val="en-GB"/>
              </w:rPr>
              <w:t>27</w:t>
            </w:r>
            <w:r w:rsidRPr="00202498">
              <w:rPr>
                <w:lang w:val="en-GB"/>
              </w:rPr>
              <w:t>(4), 491–503. https://doi.org/10.1017/S0140525X04000111</w:t>
            </w:r>
          </w:p>
          <w:p w14:paraId="3147BA3D" w14:textId="77777777" w:rsidR="00202498" w:rsidRPr="00202498" w:rsidRDefault="00202498" w:rsidP="00202498">
            <w:pPr>
              <w:pStyle w:val="Bibliography"/>
              <w:ind w:firstLine="308"/>
              <w:rPr>
                <w:lang w:val="en-GB"/>
              </w:rPr>
            </w:pPr>
            <w:r w:rsidRPr="00202498">
              <w:rPr>
                <w:lang w:val="en-GB"/>
              </w:rPr>
              <w:t xml:space="preserve">11. Mehr, S. A., &amp; Krasnow, M. M. (2017). Parent-offspring conflict and the evolution of infant-directed song. </w:t>
            </w:r>
            <w:r w:rsidRPr="00202498">
              <w:rPr>
                <w:i/>
                <w:iCs/>
                <w:lang w:val="en-GB"/>
              </w:rPr>
              <w:t>Evolution and Human Behavior</w:t>
            </w:r>
            <w:r w:rsidRPr="00202498">
              <w:rPr>
                <w:lang w:val="en-GB"/>
              </w:rPr>
              <w:t xml:space="preserve">, </w:t>
            </w:r>
            <w:r w:rsidRPr="00202498">
              <w:rPr>
                <w:i/>
                <w:iCs/>
                <w:lang w:val="en-GB"/>
              </w:rPr>
              <w:t>38</w:t>
            </w:r>
            <w:r w:rsidRPr="00202498">
              <w:rPr>
                <w:lang w:val="en-GB"/>
              </w:rPr>
              <w:t>(5), 674–684. https://doi.org/10.1016/j.evolhumbehav.2016.12.005</w:t>
            </w:r>
          </w:p>
          <w:p w14:paraId="27C07DA5" w14:textId="77777777" w:rsidR="00202498" w:rsidRPr="00202498" w:rsidRDefault="00202498" w:rsidP="00202498">
            <w:pPr>
              <w:pStyle w:val="Bibliography"/>
              <w:ind w:firstLine="308"/>
              <w:rPr>
                <w:lang w:val="en-GB"/>
              </w:rPr>
            </w:pPr>
            <w:r w:rsidRPr="00202498">
              <w:rPr>
                <w:lang w:val="en-GB"/>
              </w:rPr>
              <w:lastRenderedPageBreak/>
              <w:t xml:space="preserve">12. Mehr, S. A., Krasnow, M. M., Bryant, G. A., &amp; Hagen, E. H. (2021). Origins of music in credible signaling. </w:t>
            </w:r>
            <w:r w:rsidRPr="00202498">
              <w:rPr>
                <w:i/>
                <w:iCs/>
                <w:lang w:val="en-GB"/>
              </w:rPr>
              <w:t>Behavioral and Brain Sciences</w:t>
            </w:r>
            <w:r w:rsidRPr="00202498">
              <w:rPr>
                <w:lang w:val="en-GB"/>
              </w:rPr>
              <w:t xml:space="preserve">, </w:t>
            </w:r>
            <w:r w:rsidRPr="00202498">
              <w:rPr>
                <w:i/>
                <w:iCs/>
                <w:lang w:val="en-GB"/>
              </w:rPr>
              <w:t>44</w:t>
            </w:r>
            <w:r w:rsidRPr="00202498">
              <w:rPr>
                <w:lang w:val="en-GB"/>
              </w:rPr>
              <w:t>, E60. https://doi.org/10.1017/S0140525X20000345</w:t>
            </w:r>
          </w:p>
          <w:p w14:paraId="1EA0E15C" w14:textId="77777777" w:rsidR="00202498" w:rsidRPr="00202498" w:rsidRDefault="00202498" w:rsidP="00202498">
            <w:pPr>
              <w:pStyle w:val="Bibliography"/>
              <w:ind w:firstLine="308"/>
              <w:rPr>
                <w:lang w:val="en-GB"/>
              </w:rPr>
            </w:pPr>
            <w:r w:rsidRPr="00202498">
              <w:rPr>
                <w:lang w:val="en-GB"/>
              </w:rPr>
              <w:t xml:space="preserve">13. Hernik, M., &amp; Broesch, T. (2019). Infant gaze following depends on communicative signals: An eye-tracking study of 5- to 7-month-olds in Vanuatu. </w:t>
            </w:r>
            <w:r w:rsidRPr="00202498">
              <w:rPr>
                <w:i/>
                <w:iCs/>
                <w:lang w:val="en-GB"/>
              </w:rPr>
              <w:t>Developmental Science</w:t>
            </w:r>
            <w:r w:rsidRPr="00202498">
              <w:rPr>
                <w:lang w:val="en-GB"/>
              </w:rPr>
              <w:t xml:space="preserve">, </w:t>
            </w:r>
            <w:r w:rsidRPr="00202498">
              <w:rPr>
                <w:i/>
                <w:iCs/>
                <w:lang w:val="en-GB"/>
              </w:rPr>
              <w:t>22</w:t>
            </w:r>
            <w:r w:rsidRPr="00202498">
              <w:rPr>
                <w:lang w:val="en-GB"/>
              </w:rPr>
              <w:t>(4), e12779. https://doi.org/10.1111/desc.12779</w:t>
            </w:r>
          </w:p>
          <w:p w14:paraId="1CF245AA" w14:textId="77777777" w:rsidR="00202498" w:rsidRPr="00202498" w:rsidRDefault="00202498" w:rsidP="00202498">
            <w:pPr>
              <w:pStyle w:val="Bibliography"/>
              <w:ind w:firstLine="308"/>
              <w:rPr>
                <w:lang w:val="en-GB"/>
              </w:rPr>
            </w:pPr>
            <w:r w:rsidRPr="00202498">
              <w:rPr>
                <w:lang w:val="en-GB"/>
              </w:rPr>
              <w:t xml:space="preserve">14. Senju, A., &amp; Csibra, G. (2008). Gaze Following in Human Infants Depends on Communicative Signals. </w:t>
            </w:r>
            <w:r w:rsidRPr="00202498">
              <w:rPr>
                <w:i/>
                <w:iCs/>
                <w:lang w:val="en-GB"/>
              </w:rPr>
              <w:t>Current Biology</w:t>
            </w:r>
            <w:r w:rsidRPr="00202498">
              <w:rPr>
                <w:lang w:val="en-GB"/>
              </w:rPr>
              <w:t xml:space="preserve">, </w:t>
            </w:r>
            <w:r w:rsidRPr="00202498">
              <w:rPr>
                <w:i/>
                <w:iCs/>
                <w:lang w:val="en-GB"/>
              </w:rPr>
              <w:t>18</w:t>
            </w:r>
            <w:r w:rsidRPr="00202498">
              <w:rPr>
                <w:lang w:val="en-GB"/>
              </w:rPr>
              <w:t>(9), 668–671. https://doi.org/10.1016/j.cub.2008.03.059</w:t>
            </w:r>
          </w:p>
          <w:p w14:paraId="156749ED" w14:textId="77777777" w:rsidR="00202498" w:rsidRPr="00202498" w:rsidRDefault="00202498" w:rsidP="00202498">
            <w:pPr>
              <w:pStyle w:val="Bibliography"/>
              <w:ind w:firstLine="308"/>
              <w:rPr>
                <w:lang w:val="en-GB"/>
              </w:rPr>
            </w:pPr>
            <w:r w:rsidRPr="00202498">
              <w:rPr>
                <w:lang w:val="en-GB"/>
              </w:rPr>
              <w:t xml:space="preserve">15. Pisanski, K., Cartei, V., McGettigan, C., Raine, J., &amp; Reby, D. (2016). Voice modulation: A window into the origins of human vocal control? </w:t>
            </w:r>
            <w:r w:rsidRPr="00202498">
              <w:rPr>
                <w:i/>
                <w:iCs/>
                <w:lang w:val="en-GB"/>
              </w:rPr>
              <w:t>Trends in Cognitive Sciences</w:t>
            </w:r>
            <w:r w:rsidRPr="00202498">
              <w:rPr>
                <w:lang w:val="en-GB"/>
              </w:rPr>
              <w:t xml:space="preserve">, </w:t>
            </w:r>
            <w:r w:rsidRPr="00202498">
              <w:rPr>
                <w:i/>
                <w:iCs/>
                <w:lang w:val="en-GB"/>
              </w:rPr>
              <w:t>20</w:t>
            </w:r>
            <w:r w:rsidRPr="00202498">
              <w:rPr>
                <w:lang w:val="en-GB"/>
              </w:rPr>
              <w:t>(4), 304–318. https://doi.org/10.1016/j.tics.2016.01.002</w:t>
            </w:r>
          </w:p>
          <w:p w14:paraId="368BC14B" w14:textId="77777777" w:rsidR="00202498" w:rsidRPr="00202498" w:rsidRDefault="00202498" w:rsidP="00202498">
            <w:pPr>
              <w:pStyle w:val="Bibliography"/>
              <w:ind w:firstLine="308"/>
              <w:rPr>
                <w:lang w:val="en-GB"/>
              </w:rPr>
            </w:pPr>
            <w:r w:rsidRPr="00202498">
              <w:rPr>
                <w:lang w:val="en-GB"/>
              </w:rPr>
              <w:t>16. Leongómez, J. D., Havlí</w:t>
            </w:r>
            <w:r w:rsidRPr="00202498">
              <w:rPr>
                <w:rFonts w:ascii="Calibri" w:hAnsi="Calibri" w:cs="Calibri"/>
                <w:lang w:val="en-GB"/>
              </w:rPr>
              <w:t>č</w:t>
            </w:r>
            <w:r w:rsidRPr="00202498">
              <w:rPr>
                <w:lang w:val="en-GB"/>
              </w:rPr>
              <w:t xml:space="preserve">ek, J., &amp; Roberts, S. C. (2022). Musicality in human vocal communication: An evolutionary perspective. </w:t>
            </w:r>
            <w:r w:rsidRPr="00202498">
              <w:rPr>
                <w:i/>
                <w:iCs/>
                <w:lang w:val="en-GB"/>
              </w:rPr>
              <w:t>Philosophical Transactions of the Royal Society B: Biological Sciences</w:t>
            </w:r>
            <w:r w:rsidRPr="00202498">
              <w:rPr>
                <w:lang w:val="en-GB"/>
              </w:rPr>
              <w:t xml:space="preserve">, </w:t>
            </w:r>
            <w:r w:rsidRPr="00202498">
              <w:rPr>
                <w:i/>
                <w:iCs/>
                <w:lang w:val="en-GB"/>
              </w:rPr>
              <w:t>377</w:t>
            </w:r>
            <w:r w:rsidRPr="00202498">
              <w:rPr>
                <w:lang w:val="en-GB"/>
              </w:rPr>
              <w:t>(1841), 20200391. https://doi.org/10.1098/rstb.2020.0391</w:t>
            </w:r>
          </w:p>
          <w:p w14:paraId="2A833CEE" w14:textId="77777777" w:rsidR="00202498" w:rsidRPr="00202498" w:rsidRDefault="00202498" w:rsidP="00202498">
            <w:pPr>
              <w:pStyle w:val="Bibliography"/>
              <w:ind w:firstLine="308"/>
              <w:rPr>
                <w:lang w:val="en-GB"/>
              </w:rPr>
            </w:pPr>
            <w:r w:rsidRPr="00202498">
              <w:rPr>
                <w:lang w:val="en-GB"/>
              </w:rPr>
              <w:t xml:space="preserve">17. Trehub, S. E. (2003). The developmental origins of musicality. </w:t>
            </w:r>
            <w:r w:rsidRPr="00202498">
              <w:rPr>
                <w:i/>
                <w:iCs/>
                <w:lang w:val="en-GB"/>
              </w:rPr>
              <w:t>Nature Neuroscience</w:t>
            </w:r>
            <w:r w:rsidRPr="00202498">
              <w:rPr>
                <w:lang w:val="en-GB"/>
              </w:rPr>
              <w:t xml:space="preserve">, </w:t>
            </w:r>
            <w:r w:rsidRPr="00202498">
              <w:rPr>
                <w:i/>
                <w:iCs/>
                <w:lang w:val="en-GB"/>
              </w:rPr>
              <w:t>6</w:t>
            </w:r>
            <w:r w:rsidRPr="00202498">
              <w:rPr>
                <w:lang w:val="en-GB"/>
              </w:rPr>
              <w:t>(7), 669–673. https://doi.org/10.1038/nn1084</w:t>
            </w:r>
          </w:p>
          <w:p w14:paraId="07C53268" w14:textId="77777777" w:rsidR="00202498" w:rsidRPr="00202498" w:rsidRDefault="00202498" w:rsidP="00202498">
            <w:pPr>
              <w:pStyle w:val="Bibliography"/>
              <w:ind w:firstLine="308"/>
              <w:rPr>
                <w:lang w:val="en-GB"/>
              </w:rPr>
            </w:pPr>
            <w:r w:rsidRPr="00202498">
              <w:rPr>
                <w:lang w:val="en-GB"/>
              </w:rPr>
              <w:t xml:space="preserve">18. Hilton, C. B., Moser, C. J., Bertolo, M., Lee-Rubin, H., Amir, D., Bainbridge, C. M., Simson, J., Knox, D., Glowacki, L., Alemu, E., Galbarczyk, A., Jasienska, G., Ross, C. T., Neff, M. B., Martin, A., Cirelli, L. K., Trehub, S. E., Song, J., Kim, M., … Mehr, S. A. (2022). Acoustic regularities in infant-directed speech and song across cultures. </w:t>
            </w:r>
            <w:r w:rsidRPr="00202498">
              <w:rPr>
                <w:i/>
                <w:iCs/>
                <w:lang w:val="en-GB"/>
              </w:rPr>
              <w:t>Nature Human Behaviour</w:t>
            </w:r>
            <w:r w:rsidRPr="00202498">
              <w:rPr>
                <w:lang w:val="en-GB"/>
              </w:rPr>
              <w:t xml:space="preserve">, </w:t>
            </w:r>
            <w:r w:rsidRPr="00202498">
              <w:rPr>
                <w:i/>
                <w:iCs/>
                <w:lang w:val="en-GB"/>
              </w:rPr>
              <w:t>6</w:t>
            </w:r>
            <w:r w:rsidRPr="00202498">
              <w:rPr>
                <w:lang w:val="en-GB"/>
              </w:rPr>
              <w:t>(11), Article 11. https://doi.org/10.1038/s41562-022-01410-x</w:t>
            </w:r>
          </w:p>
          <w:p w14:paraId="332B7F3F" w14:textId="77777777" w:rsidR="00202498" w:rsidRPr="00202498" w:rsidRDefault="00202498" w:rsidP="00202498">
            <w:pPr>
              <w:pStyle w:val="Bibliography"/>
              <w:ind w:firstLine="308"/>
              <w:rPr>
                <w:lang w:val="en-GB"/>
              </w:rPr>
            </w:pPr>
            <w:r w:rsidRPr="00202498">
              <w:rPr>
                <w:lang w:val="en-GB"/>
              </w:rPr>
              <w:t xml:space="preserve">19. Kitamura, C., Thanavishuth, C., Burnham, D., &amp; Luksaneeyanawin, S. (2002). Universality and specificity in infant-directed speech: Pitch modifications as a function of infant age and sex in a tonal and non-tonal language. </w:t>
            </w:r>
            <w:r w:rsidRPr="00202498">
              <w:rPr>
                <w:i/>
                <w:iCs/>
                <w:lang w:val="en-GB"/>
              </w:rPr>
              <w:t>Infant Behavior and Development</w:t>
            </w:r>
            <w:r w:rsidRPr="00202498">
              <w:rPr>
                <w:lang w:val="en-GB"/>
              </w:rPr>
              <w:t xml:space="preserve">, </w:t>
            </w:r>
            <w:r w:rsidRPr="00202498">
              <w:rPr>
                <w:i/>
                <w:iCs/>
                <w:lang w:val="en-GB"/>
              </w:rPr>
              <w:t>24</w:t>
            </w:r>
            <w:r w:rsidRPr="00202498">
              <w:rPr>
                <w:lang w:val="en-GB"/>
              </w:rPr>
              <w:t>(4), 372–392. https://doi.org/10.1016/S0163-6383(02)00086-3</w:t>
            </w:r>
          </w:p>
          <w:p w14:paraId="26BD67F5" w14:textId="77777777" w:rsidR="00202498" w:rsidRPr="00202498" w:rsidRDefault="00202498" w:rsidP="00202498">
            <w:pPr>
              <w:pStyle w:val="Bibliography"/>
              <w:ind w:firstLine="308"/>
              <w:rPr>
                <w:lang w:val="en-GB"/>
              </w:rPr>
            </w:pPr>
            <w:r w:rsidRPr="00202498">
              <w:rPr>
                <w:lang w:val="en-GB"/>
              </w:rPr>
              <w:t xml:space="preserve">20. Brooks, R., &amp; Meltzoff, A. N. (2008). Infant gaze following and pointing predict accelerated vocabulary growth through two years of age: A longitudinal, growth curve modeling study. </w:t>
            </w:r>
            <w:r w:rsidRPr="00202498">
              <w:rPr>
                <w:i/>
                <w:iCs/>
                <w:lang w:val="en-GB"/>
              </w:rPr>
              <w:t>Journal of Child Language</w:t>
            </w:r>
            <w:r w:rsidRPr="00202498">
              <w:rPr>
                <w:lang w:val="en-GB"/>
              </w:rPr>
              <w:t xml:space="preserve">, </w:t>
            </w:r>
            <w:r w:rsidRPr="00202498">
              <w:rPr>
                <w:i/>
                <w:iCs/>
                <w:lang w:val="en-GB"/>
              </w:rPr>
              <w:t>35</w:t>
            </w:r>
            <w:r w:rsidRPr="00202498">
              <w:rPr>
                <w:lang w:val="en-GB"/>
              </w:rPr>
              <w:t>(1), 207–220. https://doi.org/10.1017/S030500090700829X</w:t>
            </w:r>
          </w:p>
          <w:p w14:paraId="4B49F433" w14:textId="77777777" w:rsidR="00202498" w:rsidRPr="00202498" w:rsidRDefault="00202498" w:rsidP="00202498">
            <w:pPr>
              <w:pStyle w:val="Bibliography"/>
              <w:ind w:firstLine="308"/>
              <w:rPr>
                <w:lang w:val="en-GB"/>
              </w:rPr>
            </w:pPr>
            <w:r w:rsidRPr="00202498">
              <w:rPr>
                <w:lang w:val="en-GB"/>
              </w:rPr>
              <w:lastRenderedPageBreak/>
              <w:t xml:space="preserve">21. Çetinçelik, M., Rowland, C. F., &amp; Snijders, T. M. (2021). Do the Eyes Have It? A Systematic Review on the Role of Eye Gaze in Infant Language Development. </w:t>
            </w:r>
            <w:r w:rsidRPr="00202498">
              <w:rPr>
                <w:i/>
                <w:iCs/>
                <w:lang w:val="en-GB"/>
              </w:rPr>
              <w:t>Frontiers in Psychology</w:t>
            </w:r>
            <w:r w:rsidRPr="00202498">
              <w:rPr>
                <w:lang w:val="en-GB"/>
              </w:rPr>
              <w:t xml:space="preserve">, </w:t>
            </w:r>
            <w:r w:rsidRPr="00202498">
              <w:rPr>
                <w:i/>
                <w:iCs/>
                <w:lang w:val="en-GB"/>
              </w:rPr>
              <w:t>11</w:t>
            </w:r>
            <w:r w:rsidRPr="00202498">
              <w:rPr>
                <w:lang w:val="en-GB"/>
              </w:rPr>
              <w:t>. https://doi.org/10.3389/fpsyg.2020.589096</w:t>
            </w:r>
          </w:p>
          <w:p w14:paraId="6F2A2C54" w14:textId="77777777" w:rsidR="00202498" w:rsidRPr="00202498" w:rsidRDefault="00202498" w:rsidP="00202498">
            <w:pPr>
              <w:pStyle w:val="Bibliography"/>
              <w:ind w:firstLine="308"/>
              <w:rPr>
                <w:lang w:val="en-GB"/>
              </w:rPr>
            </w:pPr>
            <w:r w:rsidRPr="00202498">
              <w:rPr>
                <w:lang w:val="en-GB"/>
              </w:rPr>
              <w:t xml:space="preserve">22. Fernald, A. E., Zangl, R., Portillo, A. L., &amp; Marchman, V. A. (2008). Looking while listening: Using eye movements to monitor spoken language comprehension by infants and young children. En I. A. Sekerina, E. M. Fernández, &amp; H. Clahsen (Eds.), </w:t>
            </w:r>
            <w:r w:rsidRPr="00202498">
              <w:rPr>
                <w:i/>
                <w:iCs/>
                <w:lang w:val="en-GB"/>
              </w:rPr>
              <w:t>Language Acquisition and Language Disorders</w:t>
            </w:r>
            <w:r w:rsidRPr="00202498">
              <w:rPr>
                <w:lang w:val="en-GB"/>
              </w:rPr>
              <w:t xml:space="preserve"> (Vol. 44, pp. 97–135). John Benjamins Publishing Company. https://doi.org/10.1075/lald.44.06fer</w:t>
            </w:r>
          </w:p>
          <w:p w14:paraId="3FF3909F" w14:textId="77777777" w:rsidR="00202498" w:rsidRPr="00202498" w:rsidRDefault="00202498" w:rsidP="00202498">
            <w:pPr>
              <w:pStyle w:val="Bibliography"/>
              <w:ind w:firstLine="308"/>
              <w:rPr>
                <w:lang w:val="en-GB"/>
              </w:rPr>
            </w:pPr>
            <w:r w:rsidRPr="00202498">
              <w:rPr>
                <w:lang w:val="en-GB"/>
              </w:rPr>
              <w:t xml:space="preserve">23. Tenenbaum, E. J., Sobel, D. M., Sheinkopf, S. J., Malle, B. F., &amp; Morgan, J. L. (2015). Attention to the mouth and gaze following in infancy predict language development. </w:t>
            </w:r>
            <w:r w:rsidRPr="00202498">
              <w:rPr>
                <w:i/>
                <w:iCs/>
                <w:lang w:val="en-GB"/>
              </w:rPr>
              <w:t>Journal of Child Language</w:t>
            </w:r>
            <w:r w:rsidRPr="00202498">
              <w:rPr>
                <w:lang w:val="en-GB"/>
              </w:rPr>
              <w:t xml:space="preserve">, </w:t>
            </w:r>
            <w:r w:rsidRPr="00202498">
              <w:rPr>
                <w:i/>
                <w:iCs/>
                <w:lang w:val="en-GB"/>
              </w:rPr>
              <w:t>42</w:t>
            </w:r>
            <w:r w:rsidRPr="00202498">
              <w:rPr>
                <w:lang w:val="en-GB"/>
              </w:rPr>
              <w:t>(6), 1173–1190. https://doi.org/10.1017/S0305000914000725</w:t>
            </w:r>
          </w:p>
          <w:p w14:paraId="7DFFF235" w14:textId="77777777" w:rsidR="00202498" w:rsidRPr="00202498" w:rsidRDefault="00202498" w:rsidP="00202498">
            <w:pPr>
              <w:pStyle w:val="Bibliography"/>
              <w:ind w:firstLine="308"/>
              <w:rPr>
                <w:lang w:val="en-GB"/>
              </w:rPr>
            </w:pPr>
            <w:r w:rsidRPr="00202498">
              <w:rPr>
                <w:lang w:val="en-GB"/>
              </w:rPr>
              <w:t xml:space="preserve">24. Leongómez, J. D., Pisanski, K., Reby, D., Sauter, D., Lavan, N., Perlman, M., &amp; Varella Valentova, J. (2021). Voice modulation: From origin and mechanism to social impact.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(1840), 20200386. https://doi.org/10.1098/rstb.2020.0386</w:t>
            </w:r>
          </w:p>
          <w:p w14:paraId="5EFBE246" w14:textId="77777777" w:rsidR="00202498" w:rsidRPr="00202498" w:rsidRDefault="00202498" w:rsidP="00202498">
            <w:pPr>
              <w:pStyle w:val="Bibliography"/>
              <w:ind w:firstLine="308"/>
              <w:rPr>
                <w:lang w:val="en-GB"/>
              </w:rPr>
            </w:pPr>
            <w:r w:rsidRPr="00202498">
              <w:rPr>
                <w:lang w:val="en-GB"/>
              </w:rPr>
              <w:t xml:space="preserve">25. Kent, R. D., &amp; Vorperian, H. K. (2018). Static measurements of vowel formant frequencies and bandwidths: A review. </w:t>
            </w:r>
            <w:r w:rsidRPr="00202498">
              <w:rPr>
                <w:i/>
                <w:iCs/>
                <w:lang w:val="en-GB"/>
              </w:rPr>
              <w:t>Journal of Communication Disorders</w:t>
            </w:r>
            <w:r w:rsidRPr="00202498">
              <w:rPr>
                <w:lang w:val="en-GB"/>
              </w:rPr>
              <w:t xml:space="preserve">, </w:t>
            </w:r>
            <w:r w:rsidRPr="00202498">
              <w:rPr>
                <w:i/>
                <w:iCs/>
                <w:lang w:val="en-GB"/>
              </w:rPr>
              <w:t>74</w:t>
            </w:r>
            <w:r w:rsidRPr="00202498">
              <w:rPr>
                <w:lang w:val="en-GB"/>
              </w:rPr>
              <w:t>, 74–97. https://doi.org/10.1016/j.jcomdis.2018.05.004</w:t>
            </w:r>
          </w:p>
          <w:p w14:paraId="00247D90" w14:textId="77777777" w:rsidR="00202498" w:rsidRPr="00202498" w:rsidRDefault="00202498" w:rsidP="00202498">
            <w:pPr>
              <w:pStyle w:val="Bibliography"/>
              <w:ind w:firstLine="308"/>
              <w:rPr>
                <w:lang w:val="en-GB"/>
              </w:rPr>
            </w:pPr>
            <w:r w:rsidRPr="00202498">
              <w:rPr>
                <w:lang w:val="en-GB"/>
              </w:rPr>
              <w:t xml:space="preserve">26. Puts, D. A., Apicella, C. L., &amp; Cárdenas, R. A. (2011). Masculine voices signal men’s threat potential in forager and industrial societies. </w:t>
            </w:r>
            <w:r w:rsidRPr="00202498">
              <w:rPr>
                <w:i/>
                <w:iCs/>
                <w:lang w:val="en-GB"/>
              </w:rPr>
              <w:t>Proceedings of the Royal Society B: Biological Sciences</w:t>
            </w:r>
            <w:r w:rsidRPr="00202498">
              <w:rPr>
                <w:lang w:val="en-GB"/>
              </w:rPr>
              <w:t xml:space="preserve">, </w:t>
            </w:r>
            <w:r w:rsidRPr="00202498">
              <w:rPr>
                <w:i/>
                <w:iCs/>
                <w:lang w:val="en-GB"/>
              </w:rPr>
              <w:t>279</w:t>
            </w:r>
            <w:r w:rsidRPr="00202498">
              <w:rPr>
                <w:lang w:val="en-GB"/>
              </w:rPr>
              <w:t>(1728), 601–609. https://doi.org/10.1098/rspb.2011.0829</w:t>
            </w:r>
          </w:p>
          <w:p w14:paraId="12F1A088" w14:textId="77777777" w:rsidR="00202498" w:rsidRPr="00202498" w:rsidRDefault="00202498" w:rsidP="00202498">
            <w:pPr>
              <w:pStyle w:val="Bibliography"/>
              <w:ind w:firstLine="308"/>
              <w:rPr>
                <w:lang w:val="en-GB"/>
              </w:rPr>
            </w:pPr>
            <w:r w:rsidRPr="00202498">
              <w:rPr>
                <w:lang w:val="en-GB"/>
              </w:rPr>
              <w:t xml:space="preserve">27. Feinberg, D. R., Jones, B. C., Little, A. C., Burt, D. M., &amp; Perrett, D. I. (2005). Manipulations of fundamental and formant frequencies influence the attractiveness of human male voices. </w:t>
            </w:r>
            <w:r w:rsidRPr="00202498">
              <w:rPr>
                <w:i/>
                <w:iCs/>
                <w:lang w:val="en-GB"/>
              </w:rPr>
              <w:t>Animal Behaviour</w:t>
            </w:r>
            <w:r w:rsidRPr="00202498">
              <w:rPr>
                <w:lang w:val="en-GB"/>
              </w:rPr>
              <w:t xml:space="preserve">, </w:t>
            </w:r>
            <w:r w:rsidRPr="00202498">
              <w:rPr>
                <w:i/>
                <w:iCs/>
                <w:lang w:val="en-GB"/>
              </w:rPr>
              <w:t>69</w:t>
            </w:r>
            <w:r w:rsidRPr="00202498">
              <w:rPr>
                <w:lang w:val="en-GB"/>
              </w:rPr>
              <w:t>(3), 561–568. https://doi.org/10.1016/j.anbehav.2004.06.012</w:t>
            </w:r>
          </w:p>
          <w:p w14:paraId="5AA8431E" w14:textId="77777777" w:rsidR="00202498" w:rsidRPr="00202498" w:rsidRDefault="00202498" w:rsidP="00202498">
            <w:pPr>
              <w:pStyle w:val="Bibliography"/>
              <w:ind w:firstLine="308"/>
              <w:rPr>
                <w:lang w:val="en-GB"/>
              </w:rPr>
            </w:pPr>
            <w:r w:rsidRPr="00202498">
              <w:rPr>
                <w:lang w:val="en-GB"/>
              </w:rPr>
              <w:t xml:space="preserve">28. Pisanski, K., Jones, B. C., Fink, B., O’Connor, J. J. M., DeBruine, L. M., Röder, S., &amp; Feinberg, D. R. (2016). Voice parameters predict sex-specific body morphology in men and women. </w:t>
            </w:r>
            <w:r w:rsidRPr="00202498">
              <w:rPr>
                <w:i/>
                <w:iCs/>
                <w:lang w:val="en-GB"/>
              </w:rPr>
              <w:t>Animal Behaviour</w:t>
            </w:r>
            <w:r w:rsidRPr="00202498">
              <w:rPr>
                <w:lang w:val="en-GB"/>
              </w:rPr>
              <w:t xml:space="preserve">, </w:t>
            </w:r>
            <w:r w:rsidRPr="00202498">
              <w:rPr>
                <w:i/>
                <w:iCs/>
                <w:lang w:val="en-GB"/>
              </w:rPr>
              <w:t>112</w:t>
            </w:r>
            <w:r w:rsidRPr="00202498">
              <w:rPr>
                <w:lang w:val="en-GB"/>
              </w:rPr>
              <w:t>, 13–22. https://doi.org/10.1016/j.anbehav.2015.11.008</w:t>
            </w:r>
          </w:p>
          <w:p w14:paraId="0423C993" w14:textId="77777777" w:rsidR="00202498" w:rsidRPr="00202498" w:rsidRDefault="00202498" w:rsidP="00202498">
            <w:pPr>
              <w:pStyle w:val="Bibliography"/>
              <w:ind w:firstLine="308"/>
              <w:rPr>
                <w:lang w:val="en-GB"/>
              </w:rPr>
            </w:pPr>
            <w:r w:rsidRPr="00202498">
              <w:rPr>
                <w:lang w:val="en-GB"/>
              </w:rPr>
              <w:t xml:space="preserve">29. Collins, S. A. (2000). Men’s voices and women’s choices. </w:t>
            </w:r>
            <w:r w:rsidRPr="00202498">
              <w:rPr>
                <w:i/>
                <w:iCs/>
                <w:lang w:val="en-GB"/>
              </w:rPr>
              <w:t>Animal behaviour</w:t>
            </w:r>
            <w:r w:rsidRPr="00202498">
              <w:rPr>
                <w:lang w:val="en-GB"/>
              </w:rPr>
              <w:t xml:space="preserve">, </w:t>
            </w:r>
            <w:r w:rsidRPr="00202498">
              <w:rPr>
                <w:i/>
                <w:iCs/>
                <w:lang w:val="en-GB"/>
              </w:rPr>
              <w:t>60</w:t>
            </w:r>
            <w:r w:rsidRPr="00202498">
              <w:rPr>
                <w:lang w:val="en-GB"/>
              </w:rPr>
              <w:t>(6), 773–780. https://doi.org/10.1006/anbe.2000.1523</w:t>
            </w:r>
          </w:p>
          <w:p w14:paraId="6BF8B2C3" w14:textId="77777777" w:rsidR="00202498" w:rsidRPr="00202498" w:rsidRDefault="00202498" w:rsidP="00202498">
            <w:pPr>
              <w:pStyle w:val="Bibliography"/>
              <w:ind w:firstLine="308"/>
              <w:rPr>
                <w:lang w:val="en-GB"/>
              </w:rPr>
            </w:pPr>
            <w:r w:rsidRPr="00202498">
              <w:rPr>
                <w:lang w:val="en-GB"/>
              </w:rPr>
              <w:lastRenderedPageBreak/>
              <w:t xml:space="preserve">30. Xu, Y., Lee, A., Wu, W.-L., Liu, X., &amp; Birkholz, P. (2013). Human vocal attractiveness as signaled by body size projection. </w:t>
            </w:r>
            <w:r w:rsidRPr="00202498">
              <w:rPr>
                <w:i/>
                <w:iCs/>
                <w:lang w:val="en-GB"/>
              </w:rPr>
              <w:t>PLOS ONE</w:t>
            </w:r>
            <w:r w:rsidRPr="00202498">
              <w:rPr>
                <w:lang w:val="en-GB"/>
              </w:rPr>
              <w:t xml:space="preserve">, </w:t>
            </w:r>
            <w:r w:rsidRPr="00202498">
              <w:rPr>
                <w:i/>
                <w:iCs/>
                <w:lang w:val="en-GB"/>
              </w:rPr>
              <w:t>8</w:t>
            </w:r>
            <w:r w:rsidRPr="00202498">
              <w:rPr>
                <w:lang w:val="en-GB"/>
              </w:rPr>
              <w:t>(4), e62397. https://doi.org/10.1371/journal.pone.0062397</w:t>
            </w:r>
          </w:p>
          <w:p w14:paraId="3EEEE30B" w14:textId="77777777" w:rsidR="00202498" w:rsidRDefault="00202498" w:rsidP="00202498">
            <w:pPr>
              <w:pStyle w:val="Bibliography"/>
              <w:ind w:firstLine="308"/>
            </w:pPr>
            <w:r w:rsidRPr="00202498">
              <w:rPr>
                <w:lang w:val="en-GB"/>
              </w:rPr>
              <w:t xml:space="preserve">31. Pisanski, K., Fraccaro, P. J., Tigue, C. C., O’Connor, J. J. M., Röder, S., Andrews, P. W., Fink, B., DeBruine, L. M., Jones, B. C., &amp; Feinberg, D. R. (2014). Vocal indicators of body size in men and women: A meta-analysis. </w:t>
            </w:r>
            <w:r>
              <w:rPr>
                <w:i/>
                <w:iCs/>
              </w:rPr>
              <w:t>Animal Behaviour</w:t>
            </w:r>
            <w:r>
              <w:t xml:space="preserve">, </w:t>
            </w:r>
            <w:r>
              <w:rPr>
                <w:i/>
                <w:iCs/>
              </w:rPr>
              <w:t>95</w:t>
            </w:r>
            <w:r>
              <w:t>, 89–99. https://doi.org/10.1016/j.anbehav.2014.06.011</w:t>
            </w:r>
          </w:p>
          <w:p w14:paraId="6D88EEBE" w14:textId="77777777" w:rsidR="00202498" w:rsidRPr="00202498" w:rsidRDefault="00202498" w:rsidP="00202498">
            <w:pPr>
              <w:pStyle w:val="Bibliography"/>
              <w:ind w:firstLine="308"/>
              <w:rPr>
                <w:lang w:val="en-GB"/>
              </w:rPr>
            </w:pPr>
            <w:r>
              <w:t>32. Valentova, J. V., Ture</w:t>
            </w:r>
            <w:r>
              <w:rPr>
                <w:rFonts w:ascii="Calibri" w:hAnsi="Calibri" w:cs="Calibri"/>
              </w:rPr>
              <w:t>č</w:t>
            </w:r>
            <w:r>
              <w:t xml:space="preserve">ek, P., Varella, M. A. C., </w:t>
            </w:r>
            <w:r>
              <w:rPr>
                <w:rFonts w:cs="Avenir Book"/>
              </w:rPr>
              <w:t>Š</w:t>
            </w:r>
            <w:r>
              <w:t>ebesta, P., Mendes, F. D. C., Pereira, K. J., Kubicov</w:t>
            </w:r>
            <w:r>
              <w:rPr>
                <w:rFonts w:cs="Avenir Book"/>
              </w:rPr>
              <w:t>á</w:t>
            </w:r>
            <w:r>
              <w:t>, L., Stola</w:t>
            </w:r>
            <w:r>
              <w:rPr>
                <w:rFonts w:ascii="Calibri" w:hAnsi="Calibri" w:cs="Calibri"/>
              </w:rPr>
              <w:t>ř</w:t>
            </w:r>
            <w:r>
              <w:t>ov</w:t>
            </w:r>
            <w:r>
              <w:rPr>
                <w:rFonts w:cs="Avenir Book"/>
              </w:rPr>
              <w:t>á</w:t>
            </w:r>
            <w:r>
              <w:t>, P., &amp; Havl</w:t>
            </w:r>
            <w:r>
              <w:rPr>
                <w:rFonts w:cs="Avenir Book"/>
              </w:rPr>
              <w:t>í</w:t>
            </w:r>
            <w:r>
              <w:rPr>
                <w:rFonts w:ascii="Calibri" w:hAnsi="Calibri" w:cs="Calibri"/>
              </w:rPr>
              <w:t>č</w:t>
            </w:r>
            <w:r>
              <w:t xml:space="preserve">ek, J. (2019). </w:t>
            </w:r>
            <w:r w:rsidRPr="00202498">
              <w:rPr>
                <w:lang w:val="en-GB"/>
              </w:rPr>
              <w:t xml:space="preserve">Vocal Parameters of Speech and Singing Covary and Are Related to Vocal Attractiveness, Body Measures, and Sociosexuality: A Cross-Cultural Study. </w:t>
            </w:r>
            <w:r w:rsidRPr="00202498">
              <w:rPr>
                <w:i/>
                <w:iCs/>
                <w:lang w:val="en-GB"/>
              </w:rPr>
              <w:t>Frontiers in Psychology</w:t>
            </w:r>
            <w:r w:rsidRPr="00202498">
              <w:rPr>
                <w:lang w:val="en-GB"/>
              </w:rPr>
              <w:t xml:space="preserve">, </w:t>
            </w:r>
            <w:r w:rsidRPr="00202498">
              <w:rPr>
                <w:i/>
                <w:iCs/>
                <w:lang w:val="en-GB"/>
              </w:rPr>
              <w:t>10</w:t>
            </w:r>
            <w:r w:rsidRPr="00202498">
              <w:rPr>
                <w:lang w:val="en-GB"/>
              </w:rPr>
              <w:t>, 2029. https://doi.org/10.3389/fpsyg.2019.02029</w:t>
            </w:r>
          </w:p>
          <w:p w14:paraId="393BCF62" w14:textId="77777777" w:rsidR="00202498" w:rsidRPr="00202498" w:rsidRDefault="00202498" w:rsidP="00202498">
            <w:pPr>
              <w:pStyle w:val="Bibliography"/>
              <w:ind w:firstLine="308"/>
              <w:rPr>
                <w:lang w:val="en-GB"/>
              </w:rPr>
            </w:pPr>
            <w:r w:rsidRPr="00202498">
              <w:rPr>
                <w:lang w:val="en-GB"/>
              </w:rPr>
              <w:t xml:space="preserve">33. Weiss, B., Trouvain, J., Barkat-Defradas, M., &amp; Ohala, J. J. (Eds.). (2021). </w:t>
            </w:r>
            <w:r w:rsidRPr="00202498">
              <w:rPr>
                <w:i/>
                <w:iCs/>
                <w:lang w:val="en-GB"/>
              </w:rPr>
              <w:t>Voice Attractiveness: Studies on Sexy, Likable, and Charismatic Speakers</w:t>
            </w:r>
            <w:r w:rsidRPr="00202498">
              <w:rPr>
                <w:lang w:val="en-GB"/>
              </w:rPr>
              <w:t>. Springer Singapore. https://doi.org/10.1007/978-981-15-6627-1</w:t>
            </w:r>
          </w:p>
          <w:p w14:paraId="468FACDB" w14:textId="77777777" w:rsidR="00202498" w:rsidRPr="00202498" w:rsidRDefault="00202498" w:rsidP="00202498">
            <w:pPr>
              <w:pStyle w:val="Bibliography"/>
              <w:ind w:firstLine="308"/>
              <w:rPr>
                <w:lang w:val="en-GB"/>
              </w:rPr>
            </w:pPr>
            <w:r w:rsidRPr="00202498">
              <w:rPr>
                <w:lang w:val="en-GB"/>
              </w:rPr>
              <w:t xml:space="preserve">34. Zhang, H., Liu, M., Li, W., &amp; Sommer, W. (2020). Human voice attractiveness processing: Electrophysiological evidence. </w:t>
            </w:r>
            <w:r w:rsidRPr="00202498">
              <w:rPr>
                <w:i/>
                <w:iCs/>
                <w:lang w:val="en-GB"/>
              </w:rPr>
              <w:t>Biological Psychology</w:t>
            </w:r>
            <w:r w:rsidRPr="00202498">
              <w:rPr>
                <w:lang w:val="en-GB"/>
              </w:rPr>
              <w:t xml:space="preserve">, </w:t>
            </w:r>
            <w:r w:rsidRPr="00202498">
              <w:rPr>
                <w:i/>
                <w:iCs/>
                <w:lang w:val="en-GB"/>
              </w:rPr>
              <w:t>150</w:t>
            </w:r>
            <w:r w:rsidRPr="00202498">
              <w:rPr>
                <w:lang w:val="en-GB"/>
              </w:rPr>
              <w:t>, 107827. https://doi.org/10.1016/j.biopsycho.2019.107827</w:t>
            </w:r>
          </w:p>
          <w:p w14:paraId="10E727A0" w14:textId="77777777" w:rsidR="00202498" w:rsidRPr="00202498" w:rsidRDefault="00202498" w:rsidP="00202498">
            <w:pPr>
              <w:pStyle w:val="Bibliography"/>
              <w:ind w:firstLine="308"/>
              <w:rPr>
                <w:lang w:val="en-GB"/>
              </w:rPr>
            </w:pPr>
            <w:r w:rsidRPr="00202498">
              <w:rPr>
                <w:lang w:val="en-GB"/>
              </w:rPr>
              <w:t xml:space="preserve">35. Saxton, T. K., Caryl, P. G., &amp; Roberts, S. C. (2006). Vocal and facial attractiveness judgments of children, adolescents and adults: The ontogeny of mate choice. </w:t>
            </w:r>
            <w:r w:rsidRPr="00202498">
              <w:rPr>
                <w:i/>
                <w:iCs/>
                <w:lang w:val="en-GB"/>
              </w:rPr>
              <w:t>Ethology</w:t>
            </w:r>
            <w:r w:rsidRPr="00202498">
              <w:rPr>
                <w:lang w:val="en-GB"/>
              </w:rPr>
              <w:t xml:space="preserve">, </w:t>
            </w:r>
            <w:r w:rsidRPr="00202498">
              <w:rPr>
                <w:i/>
                <w:iCs/>
                <w:lang w:val="en-GB"/>
              </w:rPr>
              <w:t>112</w:t>
            </w:r>
            <w:r w:rsidRPr="00202498">
              <w:rPr>
                <w:lang w:val="en-GB"/>
              </w:rPr>
              <w:t>(12), 1179–1185. https://doi.org/10.1111/j.1439-0310.2006.01278.x</w:t>
            </w:r>
          </w:p>
          <w:p w14:paraId="0EE7E558" w14:textId="77777777" w:rsidR="00202498" w:rsidRPr="00202498" w:rsidRDefault="00202498" w:rsidP="00202498">
            <w:pPr>
              <w:pStyle w:val="Bibliography"/>
              <w:ind w:firstLine="308"/>
              <w:rPr>
                <w:lang w:val="en-GB"/>
              </w:rPr>
            </w:pPr>
            <w:r w:rsidRPr="00202498">
              <w:rPr>
                <w:lang w:val="en-GB"/>
              </w:rPr>
              <w:t xml:space="preserve">36. Hughes, S. M., Dispenza, F., &amp; Gallup Jr., G. G. (2004). Ratings of voice attractiveness predict sexual behavior and body configuration. </w:t>
            </w:r>
            <w:r w:rsidRPr="00202498">
              <w:rPr>
                <w:i/>
                <w:iCs/>
                <w:lang w:val="en-GB"/>
              </w:rPr>
              <w:t>Evolution and Human Behavior</w:t>
            </w:r>
            <w:r w:rsidRPr="00202498">
              <w:rPr>
                <w:lang w:val="en-GB"/>
              </w:rPr>
              <w:t xml:space="preserve">, </w:t>
            </w:r>
            <w:r w:rsidRPr="00202498">
              <w:rPr>
                <w:i/>
                <w:iCs/>
                <w:lang w:val="en-GB"/>
              </w:rPr>
              <w:t>25</w:t>
            </w:r>
            <w:r w:rsidRPr="00202498">
              <w:rPr>
                <w:lang w:val="en-GB"/>
              </w:rPr>
              <w:t>(5), 295–304. https://doi.org/10.1016/j.evolhumbehav.2004.06.001</w:t>
            </w:r>
          </w:p>
          <w:p w14:paraId="715607A1" w14:textId="77777777" w:rsidR="00202498" w:rsidRPr="00202498" w:rsidRDefault="00202498" w:rsidP="00202498">
            <w:pPr>
              <w:pStyle w:val="Bibliography"/>
              <w:ind w:firstLine="308"/>
              <w:rPr>
                <w:lang w:val="en-GB"/>
              </w:rPr>
            </w:pPr>
            <w:r w:rsidRPr="00202498">
              <w:rPr>
                <w:lang w:val="en-GB"/>
              </w:rPr>
              <w:t xml:space="preserve">37. Zuckerman, M., &amp; Miyake, K. (1993). The attractive voice: What makes it so? </w:t>
            </w:r>
            <w:r w:rsidRPr="00202498">
              <w:rPr>
                <w:i/>
                <w:iCs/>
                <w:lang w:val="en-GB"/>
              </w:rPr>
              <w:t>Journal of Nonverbal Behavior</w:t>
            </w:r>
            <w:r w:rsidRPr="00202498">
              <w:rPr>
                <w:lang w:val="en-GB"/>
              </w:rPr>
              <w:t xml:space="preserve">, </w:t>
            </w:r>
            <w:r w:rsidRPr="00202498">
              <w:rPr>
                <w:i/>
                <w:iCs/>
                <w:lang w:val="en-GB"/>
              </w:rPr>
              <w:t>17</w:t>
            </w:r>
            <w:r w:rsidRPr="00202498">
              <w:rPr>
                <w:lang w:val="en-GB"/>
              </w:rPr>
              <w:t>(2), 119–135. https://doi.org/10.1007/BF01001960</w:t>
            </w:r>
          </w:p>
          <w:p w14:paraId="0C6FA134" w14:textId="77777777" w:rsidR="00202498" w:rsidRPr="00202498" w:rsidRDefault="00202498" w:rsidP="00202498">
            <w:pPr>
              <w:pStyle w:val="Bibliography"/>
              <w:ind w:firstLine="308"/>
              <w:rPr>
                <w:lang w:val="en-GB"/>
              </w:rPr>
            </w:pPr>
            <w:r w:rsidRPr="00202498">
              <w:rPr>
                <w:lang w:val="en-GB"/>
              </w:rPr>
              <w:t xml:space="preserve">38. Mulac, A., &amp; Giles, H. (1996). “Your’re only as old as you sound”: Perceived vocal age and social meanings. </w:t>
            </w:r>
            <w:r w:rsidRPr="00202498">
              <w:rPr>
                <w:i/>
                <w:iCs/>
                <w:lang w:val="en-GB"/>
              </w:rPr>
              <w:t>Health Communication</w:t>
            </w:r>
            <w:r w:rsidRPr="00202498">
              <w:rPr>
                <w:lang w:val="en-GB"/>
              </w:rPr>
              <w:t xml:space="preserve">, </w:t>
            </w:r>
            <w:r w:rsidRPr="00202498">
              <w:rPr>
                <w:i/>
                <w:iCs/>
                <w:lang w:val="en-GB"/>
              </w:rPr>
              <w:t>8</w:t>
            </w:r>
            <w:r w:rsidRPr="00202498">
              <w:rPr>
                <w:lang w:val="en-GB"/>
              </w:rPr>
              <w:t>(3), 199–215. https://doi.org/10.1207/s15327027hc0803_2</w:t>
            </w:r>
          </w:p>
          <w:p w14:paraId="31880928" w14:textId="77777777" w:rsidR="00202498" w:rsidRPr="00202498" w:rsidRDefault="00202498" w:rsidP="00202498">
            <w:pPr>
              <w:pStyle w:val="Bibliography"/>
              <w:ind w:firstLine="308"/>
              <w:rPr>
                <w:lang w:val="en-GB"/>
              </w:rPr>
            </w:pPr>
            <w:r w:rsidRPr="00202498">
              <w:rPr>
                <w:lang w:val="en-GB"/>
              </w:rPr>
              <w:t xml:space="preserve">39. Veit, L., Tian, L. Y., Monroy Hernandez, C. J., &amp; Brainard, M. S. (2021). Songbirds can learn flexible contextual control over syllable sequencing. </w:t>
            </w:r>
            <w:r w:rsidRPr="00202498">
              <w:rPr>
                <w:i/>
                <w:iCs/>
                <w:lang w:val="en-GB"/>
              </w:rPr>
              <w:t>eLife</w:t>
            </w:r>
            <w:r w:rsidRPr="00202498">
              <w:rPr>
                <w:lang w:val="en-GB"/>
              </w:rPr>
              <w:t xml:space="preserve">, </w:t>
            </w:r>
            <w:r w:rsidRPr="00202498">
              <w:rPr>
                <w:i/>
                <w:iCs/>
                <w:lang w:val="en-GB"/>
              </w:rPr>
              <w:t>10</w:t>
            </w:r>
            <w:r w:rsidRPr="00202498">
              <w:rPr>
                <w:lang w:val="en-GB"/>
              </w:rPr>
              <w:t>, e61610. https://doi.org/10.7554/eLife.61610</w:t>
            </w:r>
          </w:p>
          <w:p w14:paraId="4AD3FF06" w14:textId="77777777" w:rsidR="00202498" w:rsidRPr="00202498" w:rsidRDefault="00202498" w:rsidP="00202498">
            <w:pPr>
              <w:pStyle w:val="Bibliography"/>
              <w:ind w:firstLine="308"/>
              <w:rPr>
                <w:lang w:val="en-GB"/>
              </w:rPr>
            </w:pPr>
            <w:r w:rsidRPr="00202498">
              <w:rPr>
                <w:lang w:val="en-GB"/>
              </w:rPr>
              <w:lastRenderedPageBreak/>
              <w:t xml:space="preserve">40. Akutagawa, E., &amp; Konishi, M. (2010). New brain pathways found in the vocal control system of a songbird. </w:t>
            </w:r>
            <w:r w:rsidRPr="00202498">
              <w:rPr>
                <w:i/>
                <w:iCs/>
                <w:lang w:val="en-GB"/>
              </w:rPr>
              <w:t>Journal of Comparative Neurology</w:t>
            </w:r>
            <w:r w:rsidRPr="00202498">
              <w:rPr>
                <w:lang w:val="en-GB"/>
              </w:rPr>
              <w:t xml:space="preserve">, </w:t>
            </w:r>
            <w:r w:rsidRPr="00202498">
              <w:rPr>
                <w:i/>
                <w:iCs/>
                <w:lang w:val="en-GB"/>
              </w:rPr>
              <w:t>518</w:t>
            </w:r>
            <w:r w:rsidRPr="00202498">
              <w:rPr>
                <w:lang w:val="en-GB"/>
              </w:rPr>
              <w:t>(15), 3086–3100. https://doi.org/10.1002/cne.22383</w:t>
            </w:r>
          </w:p>
          <w:p w14:paraId="41EB6B90" w14:textId="77777777" w:rsidR="00202498" w:rsidRPr="00202498" w:rsidRDefault="00202498" w:rsidP="00202498">
            <w:pPr>
              <w:pStyle w:val="Bibliography"/>
              <w:ind w:firstLine="308"/>
              <w:rPr>
                <w:lang w:val="en-GB"/>
              </w:rPr>
            </w:pPr>
            <w:r w:rsidRPr="00202498">
              <w:rPr>
                <w:lang w:val="en-GB"/>
              </w:rPr>
              <w:t xml:space="preserve">41. Podos, J., &amp; Sung, H.-C. (2020). Vocal Performance in Songbirds: From Mechanisms to Evolution. En J. T. Sakata, S. C. Woolley, R. R. Fay, &amp; A. N. Popper (Eds.), </w:t>
            </w:r>
            <w:r w:rsidRPr="00202498">
              <w:rPr>
                <w:i/>
                <w:iCs/>
                <w:lang w:val="en-GB"/>
              </w:rPr>
              <w:t>The Neuroethology of Birdsong</w:t>
            </w:r>
            <w:r w:rsidRPr="00202498">
              <w:rPr>
                <w:lang w:val="en-GB"/>
              </w:rPr>
              <w:t xml:space="preserve"> (pp. 245–268). Springer International Publishing. https://doi.org/10.1007/978-3-030-34683-6_9</w:t>
            </w:r>
          </w:p>
          <w:p w14:paraId="7F8A39BE" w14:textId="77777777" w:rsidR="00202498" w:rsidRPr="00202498" w:rsidRDefault="00202498" w:rsidP="00202498">
            <w:pPr>
              <w:pStyle w:val="Bibliography"/>
              <w:ind w:firstLine="308"/>
              <w:rPr>
                <w:lang w:val="en-GB"/>
              </w:rPr>
            </w:pPr>
            <w:r w:rsidRPr="00202498">
              <w:rPr>
                <w:lang w:val="en-GB"/>
              </w:rPr>
              <w:t xml:space="preserve">42. Clarke, M. R. (2003). Production and control of sound by the small sperm whales, Kogia breviceps and K. sima and their implications for other Cetacea. </w:t>
            </w:r>
            <w:r w:rsidRPr="00202498">
              <w:rPr>
                <w:i/>
                <w:iCs/>
                <w:lang w:val="en-GB"/>
              </w:rPr>
              <w:t>Journal of the Marine Biological Association of the United Kingdom</w:t>
            </w:r>
            <w:r w:rsidRPr="00202498">
              <w:rPr>
                <w:lang w:val="en-GB"/>
              </w:rPr>
              <w:t xml:space="preserve">, </w:t>
            </w:r>
            <w:r w:rsidRPr="00202498">
              <w:rPr>
                <w:i/>
                <w:iCs/>
                <w:lang w:val="en-GB"/>
              </w:rPr>
              <w:t>83</w:t>
            </w:r>
            <w:r w:rsidRPr="00202498">
              <w:rPr>
                <w:lang w:val="en-GB"/>
              </w:rPr>
              <w:t>(2), 241–263. https://doi.org/10.1017/S0025315403007045h</w:t>
            </w:r>
          </w:p>
          <w:p w14:paraId="74D62455" w14:textId="77777777" w:rsidR="00202498" w:rsidRPr="00202498" w:rsidRDefault="00202498" w:rsidP="00202498">
            <w:pPr>
              <w:pStyle w:val="Bibliography"/>
              <w:ind w:firstLine="308"/>
              <w:rPr>
                <w:lang w:val="en-GB"/>
              </w:rPr>
            </w:pPr>
            <w:r w:rsidRPr="00202498">
              <w:rPr>
                <w:lang w:val="en-GB"/>
              </w:rPr>
              <w:t xml:space="preserve">43. Janik, V. M. (2014). Cetacean vocal learning and communication. </w:t>
            </w:r>
            <w:r w:rsidRPr="00202498">
              <w:rPr>
                <w:i/>
                <w:iCs/>
                <w:lang w:val="en-GB"/>
              </w:rPr>
              <w:t>Current Opinion in Neurobiology</w:t>
            </w:r>
            <w:r w:rsidRPr="00202498">
              <w:rPr>
                <w:lang w:val="en-GB"/>
              </w:rPr>
              <w:t xml:space="preserve">, </w:t>
            </w:r>
            <w:r w:rsidRPr="00202498">
              <w:rPr>
                <w:i/>
                <w:iCs/>
                <w:lang w:val="en-GB"/>
              </w:rPr>
              <w:t>28</w:t>
            </w:r>
            <w:r w:rsidRPr="00202498">
              <w:rPr>
                <w:lang w:val="en-GB"/>
              </w:rPr>
              <w:t>, 60–65. https://doi.org/10.1016/j.conb.2014.06.010</w:t>
            </w:r>
          </w:p>
          <w:p w14:paraId="563CC9E3" w14:textId="77777777" w:rsidR="00202498" w:rsidRPr="00202498" w:rsidRDefault="00202498" w:rsidP="00202498">
            <w:pPr>
              <w:pStyle w:val="Bibliography"/>
              <w:ind w:firstLine="308"/>
              <w:rPr>
                <w:lang w:val="en-GB"/>
              </w:rPr>
            </w:pPr>
            <w:r w:rsidRPr="00202498">
              <w:rPr>
                <w:lang w:val="en-GB"/>
              </w:rPr>
              <w:t xml:space="preserve">44. Torres Borda, L., Jadoul, Y., Rasilo, H., Salazar Casals, A., &amp; Ravignani, A. (2021). Vocal plasticity in harbour seal pups.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(1840), 20200456. https://doi.org/10.1098/rstb.2020.0456</w:t>
            </w:r>
          </w:p>
          <w:p w14:paraId="7519F0CA" w14:textId="77777777" w:rsidR="00202498" w:rsidRPr="00202498" w:rsidRDefault="00202498" w:rsidP="00202498">
            <w:pPr>
              <w:pStyle w:val="Bibliography"/>
              <w:ind w:firstLine="308"/>
              <w:rPr>
                <w:lang w:val="en-GB"/>
              </w:rPr>
            </w:pPr>
            <w:r w:rsidRPr="00202498">
              <w:rPr>
                <w:lang w:val="en-GB"/>
              </w:rPr>
              <w:t xml:space="preserve">45. Scott, S. K. (2021). The neural control of volitional vocal production – from speech to identity, from social meaning to song.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(1841), 20200395. https://doi.org/10.1098/rstb.2020.0395</w:t>
            </w:r>
          </w:p>
          <w:p w14:paraId="7F3761BA" w14:textId="77777777" w:rsidR="00202498" w:rsidRPr="00202498" w:rsidRDefault="00202498" w:rsidP="00202498">
            <w:pPr>
              <w:pStyle w:val="Bibliography"/>
              <w:ind w:firstLine="308"/>
              <w:rPr>
                <w:lang w:val="en-GB"/>
              </w:rPr>
            </w:pPr>
            <w:r w:rsidRPr="00202498">
              <w:rPr>
                <w:lang w:val="en-GB"/>
              </w:rPr>
              <w:t xml:space="preserve">46. Waters, S., Kanber, E., Lavan, N., Belyk, M., Carey, D., Cartei, V., Lally, C., Miquel, M., &amp; McGettigan, C. (2021). Singers show enhanced performance and neural representation of vocal imitation.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(1840), 20200399. https://doi.org/10.1098/rstb.2020.0399</w:t>
            </w:r>
          </w:p>
          <w:p w14:paraId="0AAD0F97" w14:textId="77777777" w:rsidR="00202498" w:rsidRPr="00202498" w:rsidRDefault="00202498" w:rsidP="00202498">
            <w:pPr>
              <w:pStyle w:val="Bibliography"/>
              <w:ind w:firstLine="308"/>
              <w:rPr>
                <w:lang w:val="en-GB"/>
              </w:rPr>
            </w:pPr>
            <w:r w:rsidRPr="00202498">
              <w:rPr>
                <w:lang w:val="en-GB"/>
              </w:rPr>
              <w:t xml:space="preserve">47. Fitch, W. T. (2018). The Biology and Evolution of Speech: A Comparative Analysis. </w:t>
            </w:r>
            <w:r w:rsidRPr="00202498">
              <w:rPr>
                <w:i/>
                <w:iCs/>
                <w:lang w:val="en-GB"/>
              </w:rPr>
              <w:t>Annual Review of Linguistics</w:t>
            </w:r>
            <w:r w:rsidRPr="00202498">
              <w:rPr>
                <w:lang w:val="en-GB"/>
              </w:rPr>
              <w:t xml:space="preserve">, </w:t>
            </w:r>
            <w:r w:rsidRPr="00202498">
              <w:rPr>
                <w:i/>
                <w:iCs/>
                <w:lang w:val="en-GB"/>
              </w:rPr>
              <w:t>4</w:t>
            </w:r>
            <w:r w:rsidRPr="00202498">
              <w:rPr>
                <w:lang w:val="en-GB"/>
              </w:rPr>
              <w:t>(1), 255–279. https://doi.org/10.1146/annurev-linguistics-011817-045748</w:t>
            </w:r>
          </w:p>
          <w:p w14:paraId="2C3BC070" w14:textId="77777777" w:rsidR="00202498" w:rsidRPr="00202498" w:rsidRDefault="00202498" w:rsidP="00202498">
            <w:pPr>
              <w:pStyle w:val="Bibliography"/>
              <w:ind w:firstLine="308"/>
              <w:rPr>
                <w:lang w:val="en-GB"/>
              </w:rPr>
            </w:pPr>
            <w:r w:rsidRPr="00202498">
              <w:rPr>
                <w:lang w:val="en-GB"/>
              </w:rPr>
              <w:t xml:space="preserve">48. Fitch, W. T. (2006). The biology and evolution of music: A comparative perspective. </w:t>
            </w:r>
            <w:r w:rsidRPr="00202498">
              <w:rPr>
                <w:i/>
                <w:iCs/>
                <w:lang w:val="en-GB"/>
              </w:rPr>
              <w:t>Cognition</w:t>
            </w:r>
            <w:r w:rsidRPr="00202498">
              <w:rPr>
                <w:lang w:val="en-GB"/>
              </w:rPr>
              <w:t xml:space="preserve">, </w:t>
            </w:r>
            <w:r w:rsidRPr="00202498">
              <w:rPr>
                <w:i/>
                <w:iCs/>
                <w:lang w:val="en-GB"/>
              </w:rPr>
              <w:t>100</w:t>
            </w:r>
            <w:r w:rsidRPr="00202498">
              <w:rPr>
                <w:lang w:val="en-GB"/>
              </w:rPr>
              <w:t>(1), 173–215. https://doi.org/10.1016/j.cognition.2005.11.009</w:t>
            </w:r>
          </w:p>
          <w:p w14:paraId="0B526574" w14:textId="77777777" w:rsidR="00202498" w:rsidRPr="00202498" w:rsidRDefault="00202498" w:rsidP="00202498">
            <w:pPr>
              <w:pStyle w:val="Bibliography"/>
              <w:ind w:firstLine="308"/>
              <w:rPr>
                <w:lang w:val="en-GB"/>
              </w:rPr>
            </w:pPr>
            <w:r w:rsidRPr="00202498">
              <w:rPr>
                <w:lang w:val="en-GB"/>
              </w:rPr>
              <w:t xml:space="preserve">49. Fitch, W. T. (2006). On the biology and evolution of music. </w:t>
            </w:r>
            <w:r w:rsidRPr="00202498">
              <w:rPr>
                <w:i/>
                <w:iCs/>
                <w:lang w:val="en-GB"/>
              </w:rPr>
              <w:t>Music Perception</w:t>
            </w:r>
            <w:r w:rsidRPr="00202498">
              <w:rPr>
                <w:lang w:val="en-GB"/>
              </w:rPr>
              <w:t xml:space="preserve">, </w:t>
            </w:r>
            <w:r w:rsidRPr="00202498">
              <w:rPr>
                <w:i/>
                <w:iCs/>
                <w:lang w:val="en-GB"/>
              </w:rPr>
              <w:t>24</w:t>
            </w:r>
            <w:r w:rsidRPr="00202498">
              <w:rPr>
                <w:lang w:val="en-GB"/>
              </w:rPr>
              <w:t>(1), 85–88. https://doi.org/10.1525/mp.2006.24.1.85</w:t>
            </w:r>
          </w:p>
          <w:p w14:paraId="730AC1AB" w14:textId="77777777" w:rsidR="00202498" w:rsidRPr="00202498" w:rsidRDefault="00202498" w:rsidP="00202498">
            <w:pPr>
              <w:pStyle w:val="Bibliography"/>
              <w:ind w:firstLine="308"/>
              <w:rPr>
                <w:lang w:val="en-GB"/>
              </w:rPr>
            </w:pPr>
            <w:r w:rsidRPr="00202498">
              <w:rPr>
                <w:lang w:val="en-GB"/>
              </w:rPr>
              <w:lastRenderedPageBreak/>
              <w:t xml:space="preserve">50. Pinheiro, A. P., Anikin, A., Conde, T., Sarzedas, J., Chen, S., Scott, S. K., &amp; Lima, C. F. (2021). Emotional authenticity modulates affective and social trait inferences from voices.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(1840), 20200402. https://doi.org/10.1098/rstb.2020.0402</w:t>
            </w:r>
          </w:p>
          <w:p w14:paraId="7EB4B59A" w14:textId="77777777" w:rsidR="00202498" w:rsidRPr="00202498" w:rsidRDefault="00202498" w:rsidP="00202498">
            <w:pPr>
              <w:pStyle w:val="Bibliography"/>
              <w:ind w:firstLine="308"/>
              <w:rPr>
                <w:lang w:val="en-GB"/>
              </w:rPr>
            </w:pPr>
            <w:r w:rsidRPr="00202498">
              <w:rPr>
                <w:lang w:val="en-GB"/>
              </w:rPr>
              <w:t xml:space="preserve">51. Kleisner, K., Leongómez, J. D., Pisanski, K., Fiala, V., Cornec, C., Groyecka-Bernard, A., Butovskaya, M., Reby, D., Sorokowski, P., &amp; Akoko, R. M. (2021). Predicting strength from aggressive vocalizations versus speech in African bushland and urban communities.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(1840), 20200403. https://doi.org/10.1098/rstb.2020.0403</w:t>
            </w:r>
          </w:p>
          <w:p w14:paraId="75A7D824" w14:textId="77777777" w:rsidR="00202498" w:rsidRPr="00202498" w:rsidRDefault="00202498" w:rsidP="00202498">
            <w:pPr>
              <w:pStyle w:val="Bibliography"/>
              <w:ind w:firstLine="308"/>
              <w:rPr>
                <w:lang w:val="en-GB"/>
              </w:rPr>
            </w:pPr>
            <w:r w:rsidRPr="00202498">
              <w:rPr>
                <w:lang w:val="en-GB"/>
              </w:rPr>
              <w:t xml:space="preserve">52. Leongómez, J. D., Mileva, V. R., Little, A. C., &amp; Roberts, S. C. (2017). Perceived differences in social status between speaker and listener affect the speaker’s vocal characteristics. </w:t>
            </w:r>
            <w:r w:rsidRPr="00202498">
              <w:rPr>
                <w:i/>
                <w:iCs/>
                <w:lang w:val="en-GB"/>
              </w:rPr>
              <w:t>PLoS One</w:t>
            </w:r>
            <w:r w:rsidRPr="00202498">
              <w:rPr>
                <w:lang w:val="en-GB"/>
              </w:rPr>
              <w:t xml:space="preserve">, </w:t>
            </w:r>
            <w:r w:rsidRPr="00202498">
              <w:rPr>
                <w:i/>
                <w:iCs/>
                <w:lang w:val="en-GB"/>
              </w:rPr>
              <w:t>12</w:t>
            </w:r>
            <w:r w:rsidRPr="00202498">
              <w:rPr>
                <w:lang w:val="en-GB"/>
              </w:rPr>
              <w:t>(6), e0179407. https://doi.org/10.1371/journal.pone.0179407</w:t>
            </w:r>
          </w:p>
          <w:p w14:paraId="431BDF61" w14:textId="77777777" w:rsidR="00202498" w:rsidRPr="00202498" w:rsidRDefault="00202498" w:rsidP="00202498">
            <w:pPr>
              <w:pStyle w:val="Bibliography"/>
              <w:ind w:firstLine="308"/>
              <w:rPr>
                <w:lang w:val="en-GB"/>
              </w:rPr>
            </w:pPr>
            <w:r w:rsidRPr="00202498">
              <w:rPr>
                <w:lang w:val="en-GB"/>
              </w:rPr>
              <w:t>53. Leongómez, J. D., Binter, J., Kubicová, L., Stola</w:t>
            </w:r>
            <w:r w:rsidRPr="00202498">
              <w:rPr>
                <w:rFonts w:ascii="Calibri" w:hAnsi="Calibri" w:cs="Calibri"/>
                <w:lang w:val="en-GB"/>
              </w:rPr>
              <w:t>ř</w:t>
            </w:r>
            <w:r w:rsidRPr="00202498">
              <w:rPr>
                <w:lang w:val="en-GB"/>
              </w:rPr>
              <w:t>ov</w:t>
            </w:r>
            <w:r w:rsidRPr="00202498">
              <w:rPr>
                <w:rFonts w:cs="Avenir Book"/>
                <w:lang w:val="en-GB"/>
              </w:rPr>
              <w:t>á</w:t>
            </w:r>
            <w:r w:rsidRPr="00202498">
              <w:rPr>
                <w:lang w:val="en-GB"/>
              </w:rPr>
              <w:t>, P., Klapilov</w:t>
            </w:r>
            <w:r w:rsidRPr="00202498">
              <w:rPr>
                <w:rFonts w:cs="Avenir Book"/>
                <w:lang w:val="en-GB"/>
              </w:rPr>
              <w:t>á</w:t>
            </w:r>
            <w:r w:rsidRPr="00202498">
              <w:rPr>
                <w:lang w:val="en-GB"/>
              </w:rPr>
              <w:t>, K., Havl</w:t>
            </w:r>
            <w:r w:rsidRPr="00202498">
              <w:rPr>
                <w:rFonts w:cs="Avenir Book"/>
                <w:lang w:val="en-GB"/>
              </w:rPr>
              <w:t>í</w:t>
            </w:r>
            <w:r w:rsidRPr="00202498">
              <w:rPr>
                <w:rFonts w:ascii="Calibri" w:hAnsi="Calibri" w:cs="Calibri"/>
                <w:lang w:val="en-GB"/>
              </w:rPr>
              <w:t>č</w:t>
            </w:r>
            <w:r w:rsidRPr="00202498">
              <w:rPr>
                <w:lang w:val="en-GB"/>
              </w:rPr>
              <w:t xml:space="preserve">ek, J., &amp; Roberts, S. C. (2014). Vocal modulation during courtship increases proceptivity even in naive listeners. </w:t>
            </w:r>
            <w:r w:rsidRPr="00202498">
              <w:rPr>
                <w:i/>
                <w:iCs/>
                <w:lang w:val="en-GB"/>
              </w:rPr>
              <w:t>Evolution and Human Behavior</w:t>
            </w:r>
            <w:r w:rsidRPr="00202498">
              <w:rPr>
                <w:lang w:val="en-GB"/>
              </w:rPr>
              <w:t xml:space="preserve">, </w:t>
            </w:r>
            <w:r w:rsidRPr="00202498">
              <w:rPr>
                <w:i/>
                <w:iCs/>
                <w:lang w:val="en-GB"/>
              </w:rPr>
              <w:t>35</w:t>
            </w:r>
            <w:r w:rsidRPr="00202498">
              <w:rPr>
                <w:lang w:val="en-GB"/>
              </w:rPr>
              <w:t>(6), 489–496. https://doi.org/10.1016/j.evolhumbehav.2014.06.008</w:t>
            </w:r>
          </w:p>
          <w:p w14:paraId="1F556149" w14:textId="77777777" w:rsidR="00202498" w:rsidRPr="00202498" w:rsidRDefault="00202498" w:rsidP="00202498">
            <w:pPr>
              <w:pStyle w:val="Bibliography"/>
              <w:ind w:firstLine="308"/>
              <w:rPr>
                <w:lang w:val="en-GB"/>
              </w:rPr>
            </w:pPr>
            <w:r w:rsidRPr="00202498">
              <w:rPr>
                <w:lang w:val="en-GB"/>
              </w:rPr>
              <w:t xml:space="preserve">54. Leongómez, J. D., Sánchez, O. R., Vásquez-Amézquita, M., &amp; Roberts, S. C. (2021). Contextualising courtship: Exploring male body odour effects on vocal modulation. </w:t>
            </w:r>
            <w:r w:rsidRPr="00202498">
              <w:rPr>
                <w:i/>
                <w:iCs/>
                <w:lang w:val="en-GB"/>
              </w:rPr>
              <w:t>Behavioural Processes</w:t>
            </w:r>
            <w:r w:rsidRPr="00202498">
              <w:rPr>
                <w:lang w:val="en-GB"/>
              </w:rPr>
              <w:t xml:space="preserve">, </w:t>
            </w:r>
            <w:r w:rsidRPr="00202498">
              <w:rPr>
                <w:i/>
                <w:iCs/>
                <w:lang w:val="en-GB"/>
              </w:rPr>
              <w:t>193</w:t>
            </w:r>
            <w:r w:rsidRPr="00202498">
              <w:rPr>
                <w:lang w:val="en-GB"/>
              </w:rPr>
              <w:t>, 104531. https://doi.org/10.1016/j.beproc.2021.104531</w:t>
            </w:r>
          </w:p>
          <w:p w14:paraId="2981E737" w14:textId="77777777" w:rsidR="00202498" w:rsidRPr="00202498" w:rsidRDefault="00202498" w:rsidP="00202498">
            <w:pPr>
              <w:pStyle w:val="Bibliography"/>
              <w:ind w:firstLine="308"/>
              <w:rPr>
                <w:lang w:val="en-GB"/>
              </w:rPr>
            </w:pPr>
            <w:r w:rsidRPr="00202498">
              <w:rPr>
                <w:lang w:val="en-GB"/>
              </w:rPr>
              <w:t xml:space="preserve">55. Pisanski, K., Oleszkiewicz, A., Plachetka, J., Gmiterek, M., &amp; Reby, D. (2018). Voice pitch modulation in human mate choice. </w:t>
            </w:r>
            <w:r w:rsidRPr="00202498">
              <w:rPr>
                <w:i/>
                <w:iCs/>
                <w:lang w:val="en-GB"/>
              </w:rPr>
              <w:t>Proceedings of the Royal Society B: Biological Sciences</w:t>
            </w:r>
            <w:r w:rsidRPr="00202498">
              <w:rPr>
                <w:lang w:val="en-GB"/>
              </w:rPr>
              <w:t xml:space="preserve">, </w:t>
            </w:r>
            <w:r w:rsidRPr="00202498">
              <w:rPr>
                <w:i/>
                <w:iCs/>
                <w:lang w:val="en-GB"/>
              </w:rPr>
              <w:t>285</w:t>
            </w:r>
            <w:r w:rsidRPr="00202498">
              <w:rPr>
                <w:lang w:val="en-GB"/>
              </w:rPr>
              <w:t>(1893), 20181634. https://doi.org/10.1098/rspb.2018.1634</w:t>
            </w:r>
          </w:p>
          <w:p w14:paraId="778FFD92" w14:textId="77777777" w:rsidR="00202498" w:rsidRPr="00202498" w:rsidRDefault="00202498" w:rsidP="00202498">
            <w:pPr>
              <w:pStyle w:val="Bibliography"/>
              <w:ind w:firstLine="308"/>
              <w:rPr>
                <w:lang w:val="en-GB"/>
              </w:rPr>
            </w:pPr>
            <w:r w:rsidRPr="00202498">
              <w:rPr>
                <w:lang w:val="en-GB"/>
              </w:rPr>
              <w:t xml:space="preserve">56. Hughes, S. M., &amp; Puts, D. A. (2021). Vocal Modulation in Human Mating and Competition. </w:t>
            </w:r>
            <w:r w:rsidRPr="00202498">
              <w:rPr>
                <w:i/>
                <w:iCs/>
                <w:lang w:val="en-GB"/>
              </w:rPr>
              <w:t>Philosophical Transactions of the Royal Society B: Biological Sciences</w:t>
            </w:r>
            <w:r w:rsidRPr="00202498">
              <w:rPr>
                <w:lang w:val="en-GB"/>
              </w:rPr>
              <w:t xml:space="preserve">, </w:t>
            </w:r>
            <w:r w:rsidRPr="00202498">
              <w:rPr>
                <w:i/>
                <w:iCs/>
                <w:lang w:val="en-GB"/>
              </w:rPr>
              <w:t>376</w:t>
            </w:r>
            <w:r w:rsidRPr="00202498">
              <w:rPr>
                <w:lang w:val="en-GB"/>
              </w:rPr>
              <w:t>(1840), 20200388. https://doi.org/10.1098/rstb.2020.0388</w:t>
            </w:r>
          </w:p>
          <w:p w14:paraId="69FFCD03" w14:textId="77777777" w:rsidR="00202498" w:rsidRDefault="00202498" w:rsidP="00202498">
            <w:pPr>
              <w:pStyle w:val="Bibliography"/>
              <w:ind w:firstLine="308"/>
            </w:pPr>
            <w:r w:rsidRPr="00202498">
              <w:rPr>
                <w:lang w:val="en-GB"/>
              </w:rPr>
              <w:t xml:space="preserve">57. Arias, D., &amp; Peña, M. (2016). Mother-Infant Face-to-Face Interaction: The Communicative Value of Infant-Directed Talking and Singing. </w:t>
            </w:r>
            <w:r>
              <w:rPr>
                <w:i/>
                <w:iCs/>
              </w:rPr>
              <w:t>Psychopathology</w:t>
            </w:r>
            <w:r>
              <w:t xml:space="preserve">, </w:t>
            </w:r>
            <w:r>
              <w:rPr>
                <w:i/>
                <w:iCs/>
              </w:rPr>
              <w:t>49</w:t>
            </w:r>
            <w:r>
              <w:t>, 217–227. https://doi.org/10.1159/000447640</w:t>
            </w:r>
          </w:p>
          <w:p w14:paraId="1568D96A" w14:textId="77777777" w:rsidR="00202498" w:rsidRPr="00202498" w:rsidRDefault="00202498" w:rsidP="00202498">
            <w:pPr>
              <w:pStyle w:val="Bibliography"/>
              <w:ind w:firstLine="308"/>
              <w:rPr>
                <w:lang w:val="en-GB"/>
              </w:rPr>
            </w:pPr>
            <w:r>
              <w:lastRenderedPageBreak/>
              <w:t xml:space="preserve">58. Tenuta, F., Marcone, R., Graziano, E., Craig, F., Romito, L., &amp; Costabile, A. (2023). </w:t>
            </w:r>
            <w:r w:rsidRPr="00202498">
              <w:rPr>
                <w:lang w:val="en-GB"/>
              </w:rPr>
              <w:t xml:space="preserve">A Preliminary Longitudinal Study on Infant-Directed Speech (IDS) Components in the First Year of Life. </w:t>
            </w:r>
            <w:r w:rsidRPr="00202498">
              <w:rPr>
                <w:i/>
                <w:iCs/>
                <w:lang w:val="en-GB"/>
              </w:rPr>
              <w:t>Children</w:t>
            </w:r>
            <w:r w:rsidRPr="00202498">
              <w:rPr>
                <w:lang w:val="en-GB"/>
              </w:rPr>
              <w:t xml:space="preserve">, </w:t>
            </w:r>
            <w:r w:rsidRPr="00202498">
              <w:rPr>
                <w:i/>
                <w:iCs/>
                <w:lang w:val="en-GB"/>
              </w:rPr>
              <w:t>10</w:t>
            </w:r>
            <w:r w:rsidRPr="00202498">
              <w:rPr>
                <w:lang w:val="en-GB"/>
              </w:rPr>
              <w:t>. https://doi.org/10.3390/children10030413</w:t>
            </w:r>
          </w:p>
          <w:p w14:paraId="72696B81" w14:textId="77777777" w:rsidR="00202498" w:rsidRPr="00202498" w:rsidRDefault="00202498" w:rsidP="00202498">
            <w:pPr>
              <w:pStyle w:val="Bibliography"/>
              <w:ind w:firstLine="308"/>
              <w:rPr>
                <w:lang w:val="en-GB"/>
              </w:rPr>
            </w:pPr>
            <w:r w:rsidRPr="00202498">
              <w:rPr>
                <w:lang w:val="en-GB"/>
              </w:rPr>
              <w:t xml:space="preserve">59. Spinelli, M., Lionetti, F., Garito, M. C., Shah, P., Logrieco, M. G. M., Ponzetti, S., Cicioni, P., Di Valerio, S., &amp; Fasolo, M. (2022). Infant-Directed Speech From a Multidimensional Perspective: The Interplay of Infant Birth Status, Maternal Parenting Stress, and Dyadic Co-regulation on Infant-Directed Speech Linguistic and Pragmatic Features. </w:t>
            </w:r>
            <w:r w:rsidRPr="00202498">
              <w:rPr>
                <w:i/>
                <w:iCs/>
                <w:lang w:val="en-GB"/>
              </w:rPr>
              <w:t>Frontiers in Psychology</w:t>
            </w:r>
            <w:r w:rsidRPr="00202498">
              <w:rPr>
                <w:lang w:val="en-GB"/>
              </w:rPr>
              <w:t xml:space="preserve">, </w:t>
            </w:r>
            <w:r w:rsidRPr="00202498">
              <w:rPr>
                <w:i/>
                <w:iCs/>
                <w:lang w:val="en-GB"/>
              </w:rPr>
              <w:t>13</w:t>
            </w:r>
            <w:r w:rsidRPr="00202498">
              <w:rPr>
                <w:lang w:val="en-GB"/>
              </w:rPr>
              <w:t>. https://doi.org/10.3389/fpsyg.2022.804792</w:t>
            </w:r>
          </w:p>
          <w:p w14:paraId="514E3650" w14:textId="77777777" w:rsidR="00202498" w:rsidRPr="00202498" w:rsidRDefault="00202498" w:rsidP="00202498">
            <w:pPr>
              <w:pStyle w:val="Bibliography"/>
              <w:ind w:firstLine="308"/>
              <w:rPr>
                <w:lang w:val="en-GB"/>
              </w:rPr>
            </w:pPr>
            <w:r w:rsidRPr="00202498">
              <w:rPr>
                <w:lang w:val="en-GB"/>
              </w:rPr>
              <w:t xml:space="preserve">60. Saint-Georges, C., Chetouani, M., Cassel, R., Apicella, F., Mahdhaoui, A., Muratori, F., Laznik, M.-C., &amp; Cohen, D. (2013). Motherese in Interaction: At the Cross-Road of Emotion and Cognition? (A Systematic Review). </w:t>
            </w:r>
            <w:r w:rsidRPr="00202498">
              <w:rPr>
                <w:i/>
                <w:iCs/>
                <w:lang w:val="en-GB"/>
              </w:rPr>
              <w:t>PLOS ONE</w:t>
            </w:r>
            <w:r w:rsidRPr="00202498">
              <w:rPr>
                <w:lang w:val="en-GB"/>
              </w:rPr>
              <w:t xml:space="preserve">, </w:t>
            </w:r>
            <w:r w:rsidRPr="00202498">
              <w:rPr>
                <w:i/>
                <w:iCs/>
                <w:lang w:val="en-GB"/>
              </w:rPr>
              <w:t>8</w:t>
            </w:r>
            <w:r w:rsidRPr="00202498">
              <w:rPr>
                <w:lang w:val="en-GB"/>
              </w:rPr>
              <w:t>(10), e78103. https://doi.org/10.1371/journal.pone.0078103</w:t>
            </w:r>
          </w:p>
          <w:p w14:paraId="40867E0B" w14:textId="77777777" w:rsidR="00202498" w:rsidRPr="00202498" w:rsidRDefault="00202498" w:rsidP="00202498">
            <w:pPr>
              <w:pStyle w:val="Bibliography"/>
              <w:ind w:firstLine="308"/>
              <w:rPr>
                <w:lang w:val="en-GB"/>
              </w:rPr>
            </w:pPr>
            <w:r w:rsidRPr="00202498">
              <w:rPr>
                <w:lang w:val="en-GB"/>
              </w:rPr>
              <w:t>61. Schreiner, M., Van Schaik, J., Su</w:t>
            </w:r>
            <w:r w:rsidRPr="00202498">
              <w:rPr>
                <w:rFonts w:ascii="Calibri" w:hAnsi="Calibri" w:cs="Calibri"/>
                <w:lang w:val="en-GB"/>
              </w:rPr>
              <w:t>č</w:t>
            </w:r>
            <w:r w:rsidRPr="00202498">
              <w:rPr>
                <w:lang w:val="en-GB"/>
              </w:rPr>
              <w:t>evi</w:t>
            </w:r>
            <w:r w:rsidRPr="00202498">
              <w:rPr>
                <w:rFonts w:ascii="Calibri" w:hAnsi="Calibri" w:cs="Calibri"/>
                <w:lang w:val="en-GB"/>
              </w:rPr>
              <w:t>ć</w:t>
            </w:r>
            <w:r w:rsidRPr="00202498">
              <w:rPr>
                <w:lang w:val="en-GB"/>
              </w:rPr>
              <w:t>, J., Hunnius, S., &amp; Meyer, M. (2020). Let</w:t>
            </w:r>
            <w:r w:rsidRPr="00202498">
              <w:rPr>
                <w:rFonts w:cs="Avenir Book"/>
                <w:lang w:val="en-GB"/>
              </w:rPr>
              <w:t>’</w:t>
            </w:r>
            <w:r w:rsidRPr="00202498">
              <w:rPr>
                <w:lang w:val="en-GB"/>
              </w:rPr>
              <w:t>s talk action: Infant-directed speech facilitates infants</w:t>
            </w:r>
            <w:r w:rsidRPr="00202498">
              <w:rPr>
                <w:rFonts w:cs="Avenir Book"/>
                <w:lang w:val="en-GB"/>
              </w:rPr>
              <w:t>’</w:t>
            </w:r>
            <w:r w:rsidRPr="00202498">
              <w:rPr>
                <w:lang w:val="en-GB"/>
              </w:rPr>
              <w:t xml:space="preserve"> action learning. </w:t>
            </w:r>
            <w:r w:rsidRPr="00202498">
              <w:rPr>
                <w:i/>
                <w:iCs/>
                <w:lang w:val="en-GB"/>
              </w:rPr>
              <w:t>Developmental psychology</w:t>
            </w:r>
            <w:r w:rsidRPr="00202498">
              <w:rPr>
                <w:lang w:val="en-GB"/>
              </w:rPr>
              <w:t>. https://doi.org/10.1037/dev0001079</w:t>
            </w:r>
          </w:p>
          <w:p w14:paraId="029E43D1" w14:textId="77777777" w:rsidR="00202498" w:rsidRPr="00202498" w:rsidRDefault="00202498" w:rsidP="00202498">
            <w:pPr>
              <w:pStyle w:val="Bibliography"/>
              <w:ind w:firstLine="308"/>
              <w:rPr>
                <w:lang w:val="en-GB"/>
              </w:rPr>
            </w:pPr>
            <w:r w:rsidRPr="00202498">
              <w:rPr>
                <w:lang w:val="en-GB"/>
              </w:rPr>
              <w:t xml:space="preserve">62. Menn, K., Michel, C., Meyer, L., Hoehl, S., &amp; Männel, C. (2021). Natural infant-directed speech facilitates neural tracking of prosody. </w:t>
            </w:r>
            <w:r w:rsidRPr="00202498">
              <w:rPr>
                <w:i/>
                <w:iCs/>
                <w:lang w:val="en-GB"/>
              </w:rPr>
              <w:t>NeuroImage</w:t>
            </w:r>
            <w:r w:rsidRPr="00202498">
              <w:rPr>
                <w:lang w:val="en-GB"/>
              </w:rPr>
              <w:t xml:space="preserve">, </w:t>
            </w:r>
            <w:r w:rsidRPr="00202498">
              <w:rPr>
                <w:i/>
                <w:iCs/>
                <w:lang w:val="en-GB"/>
              </w:rPr>
              <w:t>251</w:t>
            </w:r>
            <w:r w:rsidRPr="00202498">
              <w:rPr>
                <w:lang w:val="en-GB"/>
              </w:rPr>
              <w:t>. https://doi.org/10.1016/j.neuroimage.2022.118991</w:t>
            </w:r>
          </w:p>
          <w:p w14:paraId="0C9C57E9" w14:textId="77777777" w:rsidR="00202498" w:rsidRPr="00202498" w:rsidRDefault="00202498" w:rsidP="00202498">
            <w:pPr>
              <w:pStyle w:val="Bibliography"/>
              <w:ind w:firstLine="308"/>
              <w:rPr>
                <w:lang w:val="en-GB"/>
              </w:rPr>
            </w:pPr>
            <w:r w:rsidRPr="00202498">
              <w:rPr>
                <w:lang w:val="en-GB"/>
              </w:rPr>
              <w:t xml:space="preserve">63. Lam-Cassettari, C., &amp; Kohlhoff, J. (2020). Effect of maternal depression on infant-directed speech to prelinguistic infants: Implications for language development. </w:t>
            </w:r>
            <w:r w:rsidRPr="00202498">
              <w:rPr>
                <w:i/>
                <w:iCs/>
                <w:lang w:val="en-GB"/>
              </w:rPr>
              <w:t>PLoS ONE</w:t>
            </w:r>
            <w:r w:rsidRPr="00202498">
              <w:rPr>
                <w:lang w:val="en-GB"/>
              </w:rPr>
              <w:t xml:space="preserve">, </w:t>
            </w:r>
            <w:r w:rsidRPr="00202498">
              <w:rPr>
                <w:i/>
                <w:iCs/>
                <w:lang w:val="en-GB"/>
              </w:rPr>
              <w:t>15</w:t>
            </w:r>
            <w:r w:rsidRPr="00202498">
              <w:rPr>
                <w:lang w:val="en-GB"/>
              </w:rPr>
              <w:t>. https://doi.org/10.1371/journal.pone.0236787</w:t>
            </w:r>
          </w:p>
          <w:p w14:paraId="64E534DA" w14:textId="77777777" w:rsidR="00202498" w:rsidRPr="00202498" w:rsidRDefault="00202498" w:rsidP="00202498">
            <w:pPr>
              <w:pStyle w:val="Bibliography"/>
              <w:ind w:firstLine="308"/>
              <w:rPr>
                <w:lang w:val="en-GB"/>
              </w:rPr>
            </w:pPr>
            <w:r w:rsidRPr="00202498">
              <w:rPr>
                <w:lang w:val="en-GB"/>
              </w:rPr>
              <w:t xml:space="preserve">64. Kokkinaki, T. (2019). Structural variations, quantitative differences and similarities between maternal and paternal infant-directed speech. </w:t>
            </w:r>
            <w:r w:rsidRPr="00202498">
              <w:rPr>
                <w:i/>
                <w:iCs/>
                <w:lang w:val="en-GB"/>
              </w:rPr>
              <w:t>Early Child Development and Care</w:t>
            </w:r>
            <w:r w:rsidRPr="00202498">
              <w:rPr>
                <w:lang w:val="en-GB"/>
              </w:rPr>
              <w:t xml:space="preserve">, </w:t>
            </w:r>
            <w:r w:rsidRPr="00202498">
              <w:rPr>
                <w:i/>
                <w:iCs/>
                <w:lang w:val="en-GB"/>
              </w:rPr>
              <w:t>189</w:t>
            </w:r>
            <w:r w:rsidRPr="00202498">
              <w:rPr>
                <w:lang w:val="en-GB"/>
              </w:rPr>
              <w:t>, 1925–1942. https://doi.org/10.1080/03004430.2017.1423482</w:t>
            </w:r>
          </w:p>
          <w:p w14:paraId="48296A4C" w14:textId="77777777" w:rsidR="00202498" w:rsidRPr="00202498" w:rsidRDefault="00202498" w:rsidP="00202498">
            <w:pPr>
              <w:pStyle w:val="Bibliography"/>
              <w:ind w:firstLine="308"/>
              <w:rPr>
                <w:lang w:val="en-GB"/>
              </w:rPr>
            </w:pPr>
            <w:r w:rsidRPr="00202498">
              <w:rPr>
                <w:lang w:val="en-GB"/>
              </w:rPr>
              <w:t xml:space="preserve">65. Weiyi, Golinkoff, R., Houston, D., &amp; Hirsh-Pasek, K. (2011). Word Learning in Infant- and Adult-Directed Speech. </w:t>
            </w:r>
            <w:r w:rsidRPr="00202498">
              <w:rPr>
                <w:i/>
                <w:iCs/>
                <w:lang w:val="en-GB"/>
              </w:rPr>
              <w:t>Language Learning and Development</w:t>
            </w:r>
            <w:r w:rsidRPr="00202498">
              <w:rPr>
                <w:lang w:val="en-GB"/>
              </w:rPr>
              <w:t xml:space="preserve">, </w:t>
            </w:r>
            <w:r w:rsidRPr="00202498">
              <w:rPr>
                <w:i/>
                <w:iCs/>
                <w:lang w:val="en-GB"/>
              </w:rPr>
              <w:t>7</w:t>
            </w:r>
            <w:r w:rsidRPr="00202498">
              <w:rPr>
                <w:lang w:val="en-GB"/>
              </w:rPr>
              <w:t>, 185–201. https://doi.org/10.1080/15475441.2011.579839</w:t>
            </w:r>
          </w:p>
          <w:p w14:paraId="77DFD1BA" w14:textId="77777777" w:rsidR="00202498" w:rsidRPr="00202498" w:rsidRDefault="00202498" w:rsidP="00202498">
            <w:pPr>
              <w:pStyle w:val="Bibliography"/>
              <w:ind w:firstLine="308"/>
              <w:rPr>
                <w:lang w:val="en-GB"/>
              </w:rPr>
            </w:pPr>
            <w:r w:rsidRPr="00202498">
              <w:rPr>
                <w:lang w:val="en-GB"/>
              </w:rPr>
              <w:t xml:space="preserve">66. Zhou, X., Wang, L., Hong, X., &amp; Wong, P. (2023). Infant-directed speech facilitates word learning through attentional mechanisms: An fNIRS study of toddlers. </w:t>
            </w:r>
            <w:r w:rsidRPr="00202498">
              <w:rPr>
                <w:i/>
                <w:iCs/>
                <w:lang w:val="en-GB"/>
              </w:rPr>
              <w:t>Developmental science</w:t>
            </w:r>
            <w:r w:rsidRPr="00202498">
              <w:rPr>
                <w:lang w:val="en-GB"/>
              </w:rPr>
              <w:t>. https://doi.org/10.1111/desc.13424</w:t>
            </w:r>
          </w:p>
          <w:p w14:paraId="607DD0E4" w14:textId="77777777" w:rsidR="00202498" w:rsidRPr="00202498" w:rsidRDefault="00202498" w:rsidP="00202498">
            <w:pPr>
              <w:pStyle w:val="Bibliography"/>
              <w:ind w:firstLine="308"/>
              <w:rPr>
                <w:lang w:val="en-GB"/>
              </w:rPr>
            </w:pPr>
            <w:r w:rsidRPr="00202498">
              <w:rPr>
                <w:lang w:val="en-GB"/>
              </w:rPr>
              <w:t>67. Nencheva, M., &amp; Lew</w:t>
            </w:r>
            <w:r w:rsidRPr="00202498">
              <w:rPr>
                <w:rFonts w:ascii="Cambria Math" w:hAnsi="Cambria Math" w:cs="Cambria Math"/>
                <w:lang w:val="en-GB"/>
              </w:rPr>
              <w:t>‐</w:t>
            </w:r>
            <w:r w:rsidRPr="00202498">
              <w:rPr>
                <w:lang w:val="en-GB"/>
              </w:rPr>
              <w:t xml:space="preserve">Williams, C. (2022). Understanding why infant-directed speech supports learning: A dynamic attention perspective. </w:t>
            </w:r>
            <w:r w:rsidRPr="00202498">
              <w:rPr>
                <w:i/>
                <w:iCs/>
                <w:lang w:val="en-GB"/>
              </w:rPr>
              <w:t>Developmental Review</w:t>
            </w:r>
            <w:r w:rsidRPr="00202498">
              <w:rPr>
                <w:lang w:val="en-GB"/>
              </w:rPr>
              <w:t>. https://doi.org/10.1016/j.dr.2022.101047</w:t>
            </w:r>
          </w:p>
          <w:p w14:paraId="55C3B2A3" w14:textId="77777777" w:rsidR="00202498" w:rsidRPr="00202498" w:rsidRDefault="00202498" w:rsidP="00202498">
            <w:pPr>
              <w:pStyle w:val="Bibliography"/>
              <w:ind w:firstLine="308"/>
              <w:rPr>
                <w:lang w:val="en-GB"/>
              </w:rPr>
            </w:pPr>
            <w:r w:rsidRPr="00202498">
              <w:rPr>
                <w:lang w:val="en-GB"/>
              </w:rPr>
              <w:lastRenderedPageBreak/>
              <w:t>68. Lov</w:t>
            </w:r>
            <w:r w:rsidRPr="00202498">
              <w:rPr>
                <w:rFonts w:ascii="Calibri" w:hAnsi="Calibri" w:cs="Calibri"/>
                <w:lang w:val="en-GB"/>
              </w:rPr>
              <w:t>č</w:t>
            </w:r>
            <w:r w:rsidRPr="00202498">
              <w:rPr>
                <w:lang w:val="en-GB"/>
              </w:rPr>
              <w:t>evi</w:t>
            </w:r>
            <w:r w:rsidRPr="00202498">
              <w:rPr>
                <w:rFonts w:ascii="Calibri" w:hAnsi="Calibri" w:cs="Calibri"/>
                <w:lang w:val="en-GB"/>
              </w:rPr>
              <w:t>ć</w:t>
            </w:r>
            <w:r w:rsidRPr="00202498">
              <w:rPr>
                <w:lang w:val="en-GB"/>
              </w:rPr>
              <w:t xml:space="preserve">, I., Burnham, D., &amp; Kalashnikova, M. (2022). Language development in infants with hearing loss: Benefits of infant-directed speech. </w:t>
            </w:r>
            <w:r w:rsidRPr="00202498">
              <w:rPr>
                <w:i/>
                <w:iCs/>
                <w:lang w:val="en-GB"/>
              </w:rPr>
              <w:t>Infant behavior &amp; development</w:t>
            </w:r>
            <w:r w:rsidRPr="00202498">
              <w:rPr>
                <w:lang w:val="en-GB"/>
              </w:rPr>
              <w:t xml:space="preserve">, </w:t>
            </w:r>
            <w:r w:rsidRPr="00202498">
              <w:rPr>
                <w:i/>
                <w:iCs/>
                <w:lang w:val="en-GB"/>
              </w:rPr>
              <w:t>67</w:t>
            </w:r>
            <w:r w:rsidRPr="00202498">
              <w:rPr>
                <w:lang w:val="en-GB"/>
              </w:rPr>
              <w:t>, 101699. https://doi.org/10.1016/j.infbeh.2022.101699</w:t>
            </w:r>
          </w:p>
          <w:p w14:paraId="4FA90210" w14:textId="77777777" w:rsidR="00202498" w:rsidRPr="00202498" w:rsidRDefault="00202498" w:rsidP="00202498">
            <w:pPr>
              <w:pStyle w:val="Bibliography"/>
              <w:ind w:firstLine="308"/>
              <w:rPr>
                <w:lang w:val="en-GB"/>
              </w:rPr>
            </w:pPr>
            <w:r w:rsidRPr="00202498">
              <w:rPr>
                <w:lang w:val="en-GB"/>
              </w:rPr>
              <w:t xml:space="preserve">69. Cristia, A. (2013). Input to Language: The Phonetics and Perception of Infant-Directed Speech. </w:t>
            </w:r>
            <w:r w:rsidRPr="00202498">
              <w:rPr>
                <w:i/>
                <w:iCs/>
                <w:lang w:val="en-GB"/>
              </w:rPr>
              <w:t>Language and Linguistics Compass</w:t>
            </w:r>
            <w:r w:rsidRPr="00202498">
              <w:rPr>
                <w:lang w:val="en-GB"/>
              </w:rPr>
              <w:t xml:space="preserve">, </w:t>
            </w:r>
            <w:r w:rsidRPr="00202498">
              <w:rPr>
                <w:i/>
                <w:iCs/>
                <w:lang w:val="en-GB"/>
              </w:rPr>
              <w:t>7</w:t>
            </w:r>
            <w:r w:rsidRPr="00202498">
              <w:rPr>
                <w:lang w:val="en-GB"/>
              </w:rPr>
              <w:t>(3), 157–170. https://doi.org/10.1111/lnc3.12015</w:t>
            </w:r>
          </w:p>
          <w:p w14:paraId="21C0FA67" w14:textId="77777777" w:rsidR="00202498" w:rsidRPr="00202498" w:rsidRDefault="00202498" w:rsidP="00202498">
            <w:pPr>
              <w:pStyle w:val="Bibliography"/>
              <w:ind w:firstLine="308"/>
              <w:rPr>
                <w:lang w:val="en-GB"/>
              </w:rPr>
            </w:pPr>
            <w:r w:rsidRPr="00202498">
              <w:rPr>
                <w:lang w:val="en-GB"/>
              </w:rPr>
              <w:t>70. Spinelli, M., &amp; Mesman, J. (2018). The Regulation of Infant Negative Emotions: The Role of Maternal Sensitivity and Infant</w:t>
            </w:r>
            <w:r w:rsidRPr="00202498">
              <w:rPr>
                <w:rFonts w:ascii="Cambria Math" w:hAnsi="Cambria Math" w:cs="Cambria Math"/>
                <w:lang w:val="en-GB"/>
              </w:rPr>
              <w:t>‐</w:t>
            </w:r>
            <w:r w:rsidRPr="00202498">
              <w:rPr>
                <w:lang w:val="en-GB"/>
              </w:rPr>
              <w:t xml:space="preserve">Directed Speech Prosody. </w:t>
            </w:r>
            <w:r w:rsidRPr="00202498">
              <w:rPr>
                <w:i/>
                <w:iCs/>
                <w:lang w:val="en-GB"/>
              </w:rPr>
              <w:t>Infancy</w:t>
            </w:r>
            <w:r w:rsidRPr="00202498">
              <w:rPr>
                <w:lang w:val="en-GB"/>
              </w:rPr>
              <w:t xml:space="preserve">, </w:t>
            </w:r>
            <w:r w:rsidRPr="00202498">
              <w:rPr>
                <w:i/>
                <w:iCs/>
                <w:lang w:val="en-GB"/>
              </w:rPr>
              <w:t>23</w:t>
            </w:r>
            <w:r w:rsidRPr="00202498">
              <w:rPr>
                <w:lang w:val="en-GB"/>
              </w:rPr>
              <w:t>, 502–518. https://doi.org/10.1111/INFA.12237</w:t>
            </w:r>
          </w:p>
          <w:p w14:paraId="03530C0D" w14:textId="77777777" w:rsidR="00202498" w:rsidRPr="00202498" w:rsidRDefault="00202498" w:rsidP="00202498">
            <w:pPr>
              <w:pStyle w:val="Bibliography"/>
              <w:ind w:firstLine="308"/>
              <w:rPr>
                <w:lang w:val="en-GB"/>
              </w:rPr>
            </w:pPr>
            <w:r w:rsidRPr="00202498">
              <w:rPr>
                <w:lang w:val="en-GB"/>
              </w:rPr>
              <w:t xml:space="preserve">71. Mády, K., Gyuris, B., Gärtner, H.-M., Kohári, A., Szalontai, Á., &amp; Reichel, U. (2022). Perceived emotions in infant-directed narrative across time and speech acts. </w:t>
            </w:r>
            <w:r w:rsidRPr="00202498">
              <w:rPr>
                <w:i/>
                <w:iCs/>
                <w:lang w:val="en-GB"/>
              </w:rPr>
              <w:t>Speech Prosody 2022</w:t>
            </w:r>
            <w:r w:rsidRPr="00202498">
              <w:rPr>
                <w:lang w:val="en-GB"/>
              </w:rPr>
              <w:t>. https://doi.org/10.21437/speechprosody.2022-120</w:t>
            </w:r>
          </w:p>
          <w:p w14:paraId="2401FEE7" w14:textId="77777777" w:rsidR="00202498" w:rsidRPr="00202498" w:rsidRDefault="00202498" w:rsidP="00202498">
            <w:pPr>
              <w:pStyle w:val="Bibliography"/>
              <w:ind w:firstLine="308"/>
              <w:rPr>
                <w:lang w:val="en-GB"/>
              </w:rPr>
            </w:pPr>
            <w:r w:rsidRPr="00202498">
              <w:rPr>
                <w:lang w:val="en-GB"/>
              </w:rPr>
              <w:t xml:space="preserve">72. Schwarz, I., Marklund, E., Marklund, U., Gustavsson, L., &amp; Lam-Cassettari, C. (2023). Affect in Infant-Directed Speech of Swedish-Speaking Mothers and Fathers to 3-, 6-, 9-, and 12-Month-Old Infants. </w:t>
            </w:r>
            <w:r w:rsidRPr="00202498">
              <w:rPr>
                <w:i/>
                <w:iCs/>
                <w:lang w:val="en-GB"/>
              </w:rPr>
              <w:t>Language Learning and Development</w:t>
            </w:r>
            <w:r w:rsidRPr="00202498">
              <w:rPr>
                <w:lang w:val="en-GB"/>
              </w:rPr>
              <w:t xml:space="preserve">, </w:t>
            </w:r>
            <w:r w:rsidRPr="00202498">
              <w:rPr>
                <w:i/>
                <w:iCs/>
                <w:lang w:val="en-GB"/>
              </w:rPr>
              <w:t>20</w:t>
            </w:r>
            <w:r w:rsidRPr="00202498">
              <w:rPr>
                <w:lang w:val="en-GB"/>
              </w:rPr>
              <w:t>, 145–157. https://doi.org/10.1080/15475441.2023.2239801</w:t>
            </w:r>
          </w:p>
          <w:p w14:paraId="7B9CB5E3" w14:textId="77777777" w:rsidR="00202498" w:rsidRPr="00202498" w:rsidRDefault="00202498" w:rsidP="00202498">
            <w:pPr>
              <w:pStyle w:val="Bibliography"/>
              <w:ind w:firstLine="308"/>
              <w:rPr>
                <w:lang w:val="en-GB"/>
              </w:rPr>
            </w:pPr>
            <w:r w:rsidRPr="00202498">
              <w:rPr>
                <w:lang w:val="en-GB"/>
              </w:rPr>
              <w:t xml:space="preserve">73. Ghazban, N. (2021). </w:t>
            </w:r>
            <w:r w:rsidRPr="00202498">
              <w:rPr>
                <w:i/>
                <w:iCs/>
                <w:lang w:val="en-GB"/>
              </w:rPr>
              <w:t>Emotion regulation in infants using maternal singing and speech</w:t>
            </w:r>
            <w:r w:rsidRPr="00202498">
              <w:rPr>
                <w:lang w:val="en-GB"/>
              </w:rPr>
              <w:t>. https://doi.org/10.32920/ryerson.14645832</w:t>
            </w:r>
          </w:p>
          <w:p w14:paraId="45FAD1BB" w14:textId="77777777" w:rsidR="00202498" w:rsidRPr="00202498" w:rsidRDefault="00202498" w:rsidP="00202498">
            <w:pPr>
              <w:pStyle w:val="Bibliography"/>
              <w:ind w:firstLine="308"/>
              <w:rPr>
                <w:lang w:val="en-GB"/>
              </w:rPr>
            </w:pPr>
            <w:r>
              <w:t xml:space="preserve">74. Corbeil, M., Trehub, S., &amp; Peretz, I. (2016). </w:t>
            </w:r>
            <w:r w:rsidRPr="00202498">
              <w:rPr>
                <w:lang w:val="en-GB"/>
              </w:rPr>
              <w:t xml:space="preserve">Singing Delays the Onset of Infant Distress. </w:t>
            </w:r>
            <w:r w:rsidRPr="00202498">
              <w:rPr>
                <w:i/>
                <w:iCs/>
                <w:lang w:val="en-GB"/>
              </w:rPr>
              <w:t>Infancy</w:t>
            </w:r>
            <w:r w:rsidRPr="00202498">
              <w:rPr>
                <w:lang w:val="en-GB"/>
              </w:rPr>
              <w:t xml:space="preserve">, </w:t>
            </w:r>
            <w:r w:rsidRPr="00202498">
              <w:rPr>
                <w:i/>
                <w:iCs/>
                <w:lang w:val="en-GB"/>
              </w:rPr>
              <w:t>21</w:t>
            </w:r>
            <w:r w:rsidRPr="00202498">
              <w:rPr>
                <w:lang w:val="en-GB"/>
              </w:rPr>
              <w:t>, 373–391. https://doi.org/10.1111/INFA.12114</w:t>
            </w:r>
          </w:p>
          <w:p w14:paraId="424CCDF9" w14:textId="77777777" w:rsidR="00202498" w:rsidRPr="00202498" w:rsidRDefault="00202498" w:rsidP="00202498">
            <w:pPr>
              <w:pStyle w:val="Bibliography"/>
              <w:ind w:firstLine="308"/>
              <w:rPr>
                <w:lang w:val="en-GB"/>
              </w:rPr>
            </w:pPr>
            <w:r w:rsidRPr="00202498">
              <w:rPr>
                <w:lang w:val="en-GB"/>
              </w:rPr>
              <w:t xml:space="preserve">75. Trainor, L. J., Austin, C. M., &amp; Desjardins, R. N. (2000). Is Infant-Directed Speech Prosody a Result of the Vocal Expression of Emotion? </w:t>
            </w:r>
            <w:r w:rsidRPr="00202498">
              <w:rPr>
                <w:i/>
                <w:iCs/>
                <w:lang w:val="en-GB"/>
              </w:rPr>
              <w:t>Psychological Science</w:t>
            </w:r>
            <w:r w:rsidRPr="00202498">
              <w:rPr>
                <w:lang w:val="en-GB"/>
              </w:rPr>
              <w:t xml:space="preserve">, </w:t>
            </w:r>
            <w:r w:rsidRPr="00202498">
              <w:rPr>
                <w:i/>
                <w:iCs/>
                <w:lang w:val="en-GB"/>
              </w:rPr>
              <w:t>11</w:t>
            </w:r>
            <w:r w:rsidRPr="00202498">
              <w:rPr>
                <w:lang w:val="en-GB"/>
              </w:rPr>
              <w:t>(3), 188–195. https://doi.org/10.1111/1467-9280.00240</w:t>
            </w:r>
          </w:p>
          <w:p w14:paraId="17869789" w14:textId="77777777" w:rsidR="00202498" w:rsidRDefault="00202498" w:rsidP="00202498">
            <w:pPr>
              <w:pStyle w:val="Bibliography"/>
              <w:ind w:firstLine="308"/>
            </w:pPr>
            <w:r w:rsidRPr="00202498">
              <w:rPr>
                <w:lang w:val="en-GB"/>
              </w:rPr>
              <w:t xml:space="preserve">76. Pisanski, K., &amp; Bryant, G. A. (2019). The Evolution of Voice Perception. En N. S. Eidsheim &amp; K. Meizel (Eds.), </w:t>
            </w:r>
            <w:r w:rsidRPr="00202498">
              <w:rPr>
                <w:i/>
                <w:iCs/>
                <w:lang w:val="en-GB"/>
              </w:rPr>
              <w:t>The Oxford Handbook of Voice Studies</w:t>
            </w:r>
            <w:r w:rsidRPr="00202498">
              <w:rPr>
                <w:lang w:val="en-GB"/>
              </w:rPr>
              <w:t xml:space="preserve"> (pp. 268–300). </w:t>
            </w:r>
            <w:r>
              <w:t>Oxford University Press. https://doi.org/10.1093/oxfordhb/9780199982295.013.29</w:t>
            </w:r>
          </w:p>
          <w:p w14:paraId="21702096" w14:textId="77777777" w:rsidR="00202498" w:rsidRDefault="00202498" w:rsidP="00202498">
            <w:pPr>
              <w:pStyle w:val="Bibliography"/>
              <w:ind w:firstLine="308"/>
            </w:pPr>
            <w:r>
              <w:t xml:space="preserve">77. Vásquez-Amézquita, M., Leongómez, J. D., Seto, M. C., &amp; Salvador, A. (2019). </w:t>
            </w:r>
            <w:r w:rsidRPr="00202498">
              <w:rPr>
                <w:lang w:val="en-GB"/>
              </w:rPr>
              <w:t xml:space="preserve">Differences in Visual Attention Patterns to Sexually Mature and Immature Stimuli Between Heterosexual Sexual Offenders, Nonsexual Offenders, and Nonoffending Men. </w:t>
            </w:r>
            <w:r>
              <w:rPr>
                <w:i/>
                <w:iCs/>
              </w:rPr>
              <w:t>Journal of Sex Research</w:t>
            </w:r>
            <w:r>
              <w:t xml:space="preserve">, </w:t>
            </w:r>
            <w:r>
              <w:rPr>
                <w:i/>
                <w:iCs/>
              </w:rPr>
              <w:t>56</w:t>
            </w:r>
            <w:r>
              <w:t>(2), 213–228. https://doi.org/10.1080/00224499.2018.1511965</w:t>
            </w:r>
          </w:p>
          <w:p w14:paraId="659EEEB6" w14:textId="77777777" w:rsidR="00202498" w:rsidRDefault="00202498" w:rsidP="00202498">
            <w:pPr>
              <w:pStyle w:val="Bibliography"/>
              <w:ind w:firstLine="308"/>
            </w:pPr>
            <w:r>
              <w:lastRenderedPageBreak/>
              <w:t xml:space="preserve">78. Vásquez-Amézquita, M., Leongómez, J. D., Seto, M. C., Bonilla, M., Rodríguez-Padilla, A., &amp; Salvador, A. (2019). </w:t>
            </w:r>
            <w:r w:rsidRPr="00202498">
              <w:rPr>
                <w:lang w:val="en-GB"/>
              </w:rPr>
              <w:t xml:space="preserve">Visual Attention Patterns Differ in Gynephilic and Androphilic Men and Women Depending on Age and Gender of Targets. </w:t>
            </w:r>
            <w:r>
              <w:rPr>
                <w:i/>
                <w:iCs/>
              </w:rPr>
              <w:t>Journal of Sex Research</w:t>
            </w:r>
            <w:r>
              <w:t xml:space="preserve">, </w:t>
            </w:r>
            <w:r>
              <w:rPr>
                <w:i/>
                <w:iCs/>
              </w:rPr>
              <w:t>56</w:t>
            </w:r>
            <w:r>
              <w:t>(1), 85–101. https://doi.org/10.1080/00224499.2017.1372353</w:t>
            </w:r>
          </w:p>
          <w:p w14:paraId="1D389C41" w14:textId="77777777" w:rsidR="00202498" w:rsidRPr="00202498" w:rsidRDefault="00202498" w:rsidP="00202498">
            <w:pPr>
              <w:pStyle w:val="Bibliography"/>
              <w:ind w:firstLine="308"/>
              <w:rPr>
                <w:lang w:val="en-GB"/>
              </w:rPr>
            </w:pPr>
            <w:r>
              <w:t xml:space="preserve">79. Vásquez-Amézquita, M., Leongómez, J. D., Seto, M. C., Bonilla, F. M., Rodríguez-Padilla, A., &amp; Salvador, A. (2018). </w:t>
            </w:r>
            <w:r w:rsidRPr="00202498">
              <w:rPr>
                <w:lang w:val="en-GB"/>
              </w:rPr>
              <w:t xml:space="preserve">No relation between digit ratio (2D:4D) and visual attention patterns to sexually preferred and non-preferred stimuli. </w:t>
            </w:r>
            <w:r w:rsidRPr="00202498">
              <w:rPr>
                <w:i/>
                <w:iCs/>
                <w:lang w:val="en-GB"/>
              </w:rPr>
              <w:t>Personality and Individual Differences</w:t>
            </w:r>
            <w:r w:rsidRPr="00202498">
              <w:rPr>
                <w:lang w:val="en-GB"/>
              </w:rPr>
              <w:t xml:space="preserve">, </w:t>
            </w:r>
            <w:r w:rsidRPr="00202498">
              <w:rPr>
                <w:i/>
                <w:iCs/>
                <w:lang w:val="en-GB"/>
              </w:rPr>
              <w:t>120</w:t>
            </w:r>
            <w:r w:rsidRPr="00202498">
              <w:rPr>
                <w:lang w:val="en-GB"/>
              </w:rPr>
              <w:t>, 151–158. https://doi.org/10.1016/j.paid.2017.08.022</w:t>
            </w:r>
          </w:p>
          <w:p w14:paraId="1FCF1ED1" w14:textId="77777777" w:rsidR="00202498" w:rsidRPr="00202498" w:rsidRDefault="00202498" w:rsidP="00202498">
            <w:pPr>
              <w:pStyle w:val="Bibliography"/>
              <w:ind w:firstLine="308"/>
              <w:rPr>
                <w:lang w:val="en-GB"/>
              </w:rPr>
            </w:pPr>
            <w:r w:rsidRPr="00202498">
              <w:rPr>
                <w:lang w:val="en-GB"/>
              </w:rPr>
              <w:t xml:space="preserve">80. Vásquez-Amézquita, M., Leongoméz, J. D., Salvador, A., &amp; Seto, M. C. (2023). What can the eyes tell us about atypical sexual preferences as a function of sex and age? Linking eye movements with child-related chronophilias. </w:t>
            </w:r>
            <w:r w:rsidRPr="00202498">
              <w:rPr>
                <w:i/>
                <w:iCs/>
                <w:lang w:val="en-GB"/>
              </w:rPr>
              <w:t>Forensic Sciences Research</w:t>
            </w:r>
            <w:r w:rsidRPr="00202498">
              <w:rPr>
                <w:lang w:val="en-GB"/>
              </w:rPr>
              <w:t>, owad009. https://doi.org/10.1093/fsr/owad009</w:t>
            </w:r>
          </w:p>
          <w:p w14:paraId="67DDEA0D" w14:textId="77777777" w:rsidR="00202498" w:rsidRPr="00202498" w:rsidRDefault="00202498" w:rsidP="00202498">
            <w:pPr>
              <w:pStyle w:val="Bibliography"/>
              <w:ind w:firstLine="308"/>
              <w:rPr>
                <w:lang w:val="en-GB"/>
              </w:rPr>
            </w:pPr>
            <w:r>
              <w:t xml:space="preserve">81. Vásquez-Amézquita, M., Castellanos-Chacón, A., Medina-Sarmiento, W., Cepeda, V., Martínez-González, M. B., &amp; Leongómez, J. D. (2025). </w:t>
            </w:r>
            <w:r w:rsidRPr="00202498">
              <w:rPr>
                <w:lang w:val="en-GB"/>
              </w:rPr>
              <w:t xml:space="preserve">Resource availability and experiences of partner violence shape facial masculinity preferences in Colombian women. </w:t>
            </w:r>
            <w:r w:rsidRPr="00202498">
              <w:rPr>
                <w:i/>
                <w:iCs/>
                <w:lang w:val="en-GB"/>
              </w:rPr>
              <w:t>Evolution and Human Behavior</w:t>
            </w:r>
            <w:r w:rsidRPr="00202498">
              <w:rPr>
                <w:lang w:val="en-GB"/>
              </w:rPr>
              <w:t xml:space="preserve">, </w:t>
            </w:r>
            <w:r w:rsidRPr="00202498">
              <w:rPr>
                <w:i/>
                <w:iCs/>
                <w:lang w:val="en-GB"/>
              </w:rPr>
              <w:t>46</w:t>
            </w:r>
            <w:r w:rsidRPr="00202498">
              <w:rPr>
                <w:lang w:val="en-GB"/>
              </w:rPr>
              <w:t>(4), 106707. https://doi.org/10.1016/j.evolhumbehav.2025.106707</w:t>
            </w:r>
          </w:p>
          <w:p w14:paraId="4768E26B" w14:textId="77777777" w:rsidR="00202498" w:rsidRPr="00202498" w:rsidRDefault="00202498" w:rsidP="00202498">
            <w:pPr>
              <w:pStyle w:val="Bibliography"/>
              <w:ind w:firstLine="308"/>
              <w:rPr>
                <w:lang w:val="en-GB"/>
              </w:rPr>
            </w:pPr>
            <w:r w:rsidRPr="00202498">
              <w:rPr>
                <w:lang w:val="en-GB"/>
              </w:rPr>
              <w:t xml:space="preserve">82. Quintana, D. S. (2017). Statistical considerations for reporting and planning heart rate variability case-control studies. </w:t>
            </w:r>
            <w:r w:rsidRPr="00202498">
              <w:rPr>
                <w:i/>
                <w:iCs/>
                <w:lang w:val="en-GB"/>
              </w:rPr>
              <w:t>Psychophysiology</w:t>
            </w:r>
            <w:r w:rsidRPr="00202498">
              <w:rPr>
                <w:lang w:val="en-GB"/>
              </w:rPr>
              <w:t xml:space="preserve">, </w:t>
            </w:r>
            <w:r w:rsidRPr="00202498">
              <w:rPr>
                <w:i/>
                <w:iCs/>
                <w:lang w:val="en-GB"/>
              </w:rPr>
              <w:t>54</w:t>
            </w:r>
            <w:r w:rsidRPr="00202498">
              <w:rPr>
                <w:lang w:val="en-GB"/>
              </w:rPr>
              <w:t>(3), 344–349. https://doi.org/10.1111/psyp.12798</w:t>
            </w:r>
          </w:p>
          <w:p w14:paraId="1DC2F9B7" w14:textId="77777777" w:rsidR="00202498" w:rsidRPr="00202498" w:rsidRDefault="00202498" w:rsidP="00202498">
            <w:pPr>
              <w:pStyle w:val="Bibliography"/>
              <w:ind w:firstLine="308"/>
              <w:rPr>
                <w:lang w:val="en-GB"/>
              </w:rPr>
            </w:pPr>
            <w:r w:rsidRPr="00202498">
              <w:rPr>
                <w:lang w:val="en-GB"/>
              </w:rPr>
              <w:t xml:space="preserve">83. Lakens, D., Scheel, A. M., &amp; Isager, P. M. (2018). Equivalence Testing for Psychological Research: A Tutorial. </w:t>
            </w:r>
            <w:r w:rsidRPr="00202498">
              <w:rPr>
                <w:i/>
                <w:iCs/>
                <w:lang w:val="en-GB"/>
              </w:rPr>
              <w:t>Advances in Methods and Practices in Psychological Science</w:t>
            </w:r>
            <w:r w:rsidRPr="00202498">
              <w:rPr>
                <w:lang w:val="en-GB"/>
              </w:rPr>
              <w:t xml:space="preserve">, </w:t>
            </w:r>
            <w:r w:rsidRPr="00202498">
              <w:rPr>
                <w:i/>
                <w:iCs/>
                <w:lang w:val="en-GB"/>
              </w:rPr>
              <w:t>1</w:t>
            </w:r>
            <w:r w:rsidRPr="00202498">
              <w:rPr>
                <w:lang w:val="en-GB"/>
              </w:rPr>
              <w:t>(2), 259–269. https://doi.org/10.1177/2515245918770963</w:t>
            </w:r>
          </w:p>
          <w:p w14:paraId="5BF2A8F6" w14:textId="77777777" w:rsidR="00202498" w:rsidRPr="00202498" w:rsidRDefault="00202498" w:rsidP="00202498">
            <w:pPr>
              <w:pStyle w:val="Bibliography"/>
              <w:ind w:firstLine="308"/>
              <w:rPr>
                <w:lang w:val="en-GB"/>
              </w:rPr>
            </w:pPr>
            <w:r w:rsidRPr="00202498">
              <w:rPr>
                <w:lang w:val="en-GB"/>
              </w:rPr>
              <w:t xml:space="preserve">84. Henrich, J., Heine, S. J., &amp; Norenzayan, A. (2010). The weirdest people in the world? </w:t>
            </w:r>
            <w:r w:rsidRPr="00202498">
              <w:rPr>
                <w:i/>
                <w:iCs/>
                <w:lang w:val="en-GB"/>
              </w:rPr>
              <w:t>Behavioral and Brain Sciences</w:t>
            </w:r>
            <w:r w:rsidRPr="00202498">
              <w:rPr>
                <w:lang w:val="en-GB"/>
              </w:rPr>
              <w:t xml:space="preserve">, </w:t>
            </w:r>
            <w:r w:rsidRPr="00202498">
              <w:rPr>
                <w:i/>
                <w:iCs/>
                <w:lang w:val="en-GB"/>
              </w:rPr>
              <w:t>33</w:t>
            </w:r>
            <w:r w:rsidRPr="00202498">
              <w:rPr>
                <w:lang w:val="en-GB"/>
              </w:rPr>
              <w:t>(2–3), 61–83. https://doi.org/10.1017/S0140525X0999152X</w:t>
            </w:r>
          </w:p>
          <w:p w14:paraId="0748CA26" w14:textId="77777777" w:rsidR="00202498" w:rsidRPr="00202498" w:rsidRDefault="00202498" w:rsidP="00202498">
            <w:pPr>
              <w:pStyle w:val="Bibliography"/>
              <w:ind w:firstLine="308"/>
              <w:rPr>
                <w:lang w:val="en-GB"/>
              </w:rPr>
            </w:pPr>
            <w:r w:rsidRPr="00202498">
              <w:rPr>
                <w:lang w:val="en-GB"/>
              </w:rPr>
              <w:t xml:space="preserve">85. Laukka, P., Linnman, C., Åhs, F., Pissiota, A., Frans, Ö., Faria, V., Michelgård, Å., Appel, L., Fredrikson, M., &amp; Furmark, T. (2008). In a Nervous Voice: Acoustic Analysis and Perception of Anxiety in Social Phobics’ Speech. </w:t>
            </w:r>
            <w:r w:rsidRPr="00202498">
              <w:rPr>
                <w:i/>
                <w:iCs/>
                <w:lang w:val="en-GB"/>
              </w:rPr>
              <w:t>Journal of Nonverbal Behavior</w:t>
            </w:r>
            <w:r w:rsidRPr="00202498">
              <w:rPr>
                <w:lang w:val="en-GB"/>
              </w:rPr>
              <w:t xml:space="preserve">, </w:t>
            </w:r>
            <w:r w:rsidRPr="00202498">
              <w:rPr>
                <w:i/>
                <w:iCs/>
                <w:lang w:val="en-GB"/>
              </w:rPr>
              <w:t>32</w:t>
            </w:r>
            <w:r w:rsidRPr="00202498">
              <w:rPr>
                <w:lang w:val="en-GB"/>
              </w:rPr>
              <w:t>(4), 195–214. https://doi.org/10.1007/s10919-008-0055-9</w:t>
            </w:r>
          </w:p>
          <w:p w14:paraId="0E7FD30C" w14:textId="77777777" w:rsidR="00202498" w:rsidRPr="00202498" w:rsidRDefault="00202498" w:rsidP="00202498">
            <w:pPr>
              <w:pStyle w:val="Bibliography"/>
              <w:ind w:firstLine="308"/>
              <w:rPr>
                <w:lang w:val="en-GB"/>
              </w:rPr>
            </w:pPr>
            <w:r w:rsidRPr="00202498">
              <w:rPr>
                <w:lang w:val="en-GB"/>
              </w:rPr>
              <w:t xml:space="preserve">86. Sobin, C., &amp; Alpert, M. (1999). Emotion in Speech: The Acoustic Attributes of Fear, Anger, Sadness, and Joy. </w:t>
            </w:r>
            <w:r w:rsidRPr="00202498">
              <w:rPr>
                <w:i/>
                <w:iCs/>
                <w:lang w:val="en-GB"/>
              </w:rPr>
              <w:t>Journal of Psycholinguistic Research</w:t>
            </w:r>
            <w:r w:rsidRPr="00202498">
              <w:rPr>
                <w:lang w:val="en-GB"/>
              </w:rPr>
              <w:t xml:space="preserve">, </w:t>
            </w:r>
            <w:r w:rsidRPr="00202498">
              <w:rPr>
                <w:i/>
                <w:iCs/>
                <w:lang w:val="en-GB"/>
              </w:rPr>
              <w:t>28</w:t>
            </w:r>
            <w:r w:rsidRPr="00202498">
              <w:rPr>
                <w:lang w:val="en-GB"/>
              </w:rPr>
              <w:t>(4), 347–365. https://doi.org/10.1023/A:1023237014909</w:t>
            </w:r>
          </w:p>
          <w:p w14:paraId="58D03286" w14:textId="77777777" w:rsidR="00202498" w:rsidRDefault="00202498" w:rsidP="00202498">
            <w:pPr>
              <w:pStyle w:val="Bibliography"/>
              <w:ind w:firstLine="308"/>
            </w:pPr>
            <w:r w:rsidRPr="00202498">
              <w:rPr>
                <w:lang w:val="en-GB"/>
              </w:rPr>
              <w:lastRenderedPageBreak/>
              <w:t xml:space="preserve">87. Räsänen, O., Kakouros, S., &amp; Soderstrom, M. (2018). Is infant-directed speech interesting because it is surprising? – Linking properties of IDS to statistical learning and attention at the prosodic level. </w:t>
            </w:r>
            <w:r>
              <w:rPr>
                <w:i/>
                <w:iCs/>
              </w:rPr>
              <w:t>Cognition</w:t>
            </w:r>
            <w:r>
              <w:t xml:space="preserve">, </w:t>
            </w:r>
            <w:r>
              <w:rPr>
                <w:i/>
                <w:iCs/>
              </w:rPr>
              <w:t>178</w:t>
            </w:r>
            <w:r>
              <w:t>, 193–206. https://doi.org/10.1016/j.cognition.2018.05.015</w:t>
            </w:r>
          </w:p>
          <w:p w14:paraId="462F1D3D" w14:textId="77777777" w:rsidR="00202498" w:rsidRPr="00202498" w:rsidRDefault="00202498" w:rsidP="00202498">
            <w:pPr>
              <w:pStyle w:val="Bibliography"/>
              <w:ind w:firstLine="308"/>
              <w:rPr>
                <w:lang w:val="en-GB"/>
              </w:rPr>
            </w:pPr>
            <w:r>
              <w:t xml:space="preserve">88. Leongómez, J. D., Pisanski, K., Reby, D., Sauter, D., Lavan, N., Perlman, M., &amp; Varella Valentova, J. (Eds.). </w:t>
            </w:r>
            <w:r w:rsidRPr="00202498">
              <w:rPr>
                <w:lang w:val="en-GB"/>
              </w:rPr>
              <w:t xml:space="preserve">(2021). Voice modulation: From origin and mechanism to social impact (Part 1). </w:t>
            </w:r>
            <w:r w:rsidRPr="00202498">
              <w:rPr>
                <w:i/>
                <w:iCs/>
                <w:lang w:val="en-GB"/>
              </w:rPr>
              <w:t xml:space="preserve">Philosophical Transactions of the Royal Society B: Biological Sciences </w:t>
            </w:r>
            <w:r w:rsidRPr="00202498">
              <w:rPr>
                <w:lang w:val="en-GB"/>
              </w:rPr>
              <w:t xml:space="preserve">[Número Especial], </w:t>
            </w:r>
            <w:r w:rsidRPr="00202498">
              <w:rPr>
                <w:i/>
                <w:iCs/>
                <w:lang w:val="en-GB"/>
              </w:rPr>
              <w:t>376</w:t>
            </w:r>
            <w:r w:rsidRPr="00202498">
              <w:rPr>
                <w:lang w:val="en-GB"/>
              </w:rPr>
              <w:t>. https://royalsocietypublishing.org/toc/rstb/2021/376/1840</w:t>
            </w:r>
          </w:p>
          <w:p w14:paraId="18818FD8" w14:textId="77777777" w:rsidR="00202498" w:rsidRPr="00202498" w:rsidRDefault="00202498" w:rsidP="00202498">
            <w:pPr>
              <w:pStyle w:val="Bibliography"/>
              <w:ind w:firstLine="308"/>
              <w:rPr>
                <w:lang w:val="en-GB"/>
              </w:rPr>
            </w:pPr>
            <w:r>
              <w:t xml:space="preserve">89. Leongómez, J. D., Pisanski, K., Reby, D., Sauter, D., Lavan, N., Perlman, M., &amp; Varella Valentova, J. (Eds.). </w:t>
            </w:r>
            <w:r w:rsidRPr="00202498">
              <w:rPr>
                <w:lang w:val="en-GB"/>
              </w:rPr>
              <w:t xml:space="preserve">(2022). Voice modulation: From origin and mechanism to social impact (Part 2). </w:t>
            </w:r>
            <w:r w:rsidRPr="00202498">
              <w:rPr>
                <w:i/>
                <w:iCs/>
                <w:lang w:val="en-GB"/>
              </w:rPr>
              <w:t xml:space="preserve">Philosophical Transactions of the Royal Society B: Biological Sciences </w:t>
            </w:r>
            <w:r w:rsidRPr="00202498">
              <w:rPr>
                <w:lang w:val="en-GB"/>
              </w:rPr>
              <w:t xml:space="preserve">[Número Especial], </w:t>
            </w:r>
            <w:r w:rsidRPr="00202498">
              <w:rPr>
                <w:i/>
                <w:iCs/>
                <w:lang w:val="en-GB"/>
              </w:rPr>
              <w:t>377</w:t>
            </w:r>
            <w:r w:rsidRPr="00202498">
              <w:rPr>
                <w:lang w:val="en-GB"/>
              </w:rPr>
              <w:t>. https://royalsocietypublishing.org/toc/rstb/2022/377/1841</w:t>
            </w:r>
          </w:p>
          <w:p w14:paraId="3D780D69" w14:textId="77777777" w:rsidR="00202498" w:rsidRDefault="00202498" w:rsidP="00202498">
            <w:pPr>
              <w:pStyle w:val="Bibliography"/>
              <w:ind w:firstLine="308"/>
            </w:pPr>
            <w:r w:rsidRPr="00202498">
              <w:rPr>
                <w:lang w:val="en-GB"/>
              </w:rPr>
              <w:t xml:space="preserve">90. Smith, N. A., &amp; Trainor, L. J. (2008). Infant-Directed Speech Is Modulated by Infant Feedback. </w:t>
            </w:r>
            <w:r>
              <w:rPr>
                <w:i/>
                <w:iCs/>
              </w:rPr>
              <w:t>Infancy</w:t>
            </w:r>
            <w:r>
              <w:t xml:space="preserve">, </w:t>
            </w:r>
            <w:r>
              <w:rPr>
                <w:i/>
                <w:iCs/>
              </w:rPr>
              <w:t>13</w:t>
            </w:r>
            <w:r>
              <w:t>(4), 410–420. https://doi.org/10.1080/15250000802188719</w:t>
            </w:r>
          </w:p>
          <w:p w14:paraId="41A75AF9" w14:textId="77777777" w:rsidR="00202498" w:rsidRPr="00202498" w:rsidRDefault="00202498" w:rsidP="00202498">
            <w:pPr>
              <w:pStyle w:val="Bibliography"/>
              <w:ind w:firstLine="308"/>
              <w:rPr>
                <w:lang w:val="en-GB"/>
              </w:rPr>
            </w:pPr>
            <w:r>
              <w:t xml:space="preserve">91. Narayan, C. R., &amp; McDermott, L. C. (2016). </w:t>
            </w:r>
            <w:r w:rsidRPr="00202498">
              <w:rPr>
                <w:lang w:val="en-GB"/>
              </w:rPr>
              <w:t xml:space="preserve">Speech rate and pitch characteristics of infant-directed speech: Longitudinal and cross-linguistic observations. </w:t>
            </w:r>
            <w:r w:rsidRPr="00202498">
              <w:rPr>
                <w:i/>
                <w:iCs/>
                <w:lang w:val="en-GB"/>
              </w:rPr>
              <w:t>The Journal of the Acoustical Society of America</w:t>
            </w:r>
            <w:r w:rsidRPr="00202498">
              <w:rPr>
                <w:lang w:val="en-GB"/>
              </w:rPr>
              <w:t xml:space="preserve">, </w:t>
            </w:r>
            <w:r w:rsidRPr="00202498">
              <w:rPr>
                <w:i/>
                <w:iCs/>
                <w:lang w:val="en-GB"/>
              </w:rPr>
              <w:t>139</w:t>
            </w:r>
            <w:r w:rsidRPr="00202498">
              <w:rPr>
                <w:lang w:val="en-GB"/>
              </w:rPr>
              <w:t>(3), 1272–1281. https://doi.org/10.1121/1.4944634</w:t>
            </w:r>
          </w:p>
          <w:p w14:paraId="4C59D687" w14:textId="77777777" w:rsidR="00202498" w:rsidRPr="00202498" w:rsidRDefault="00202498" w:rsidP="00202498">
            <w:pPr>
              <w:pStyle w:val="Bibliography"/>
              <w:ind w:firstLine="308"/>
              <w:rPr>
                <w:lang w:val="en-GB"/>
              </w:rPr>
            </w:pPr>
            <w:r w:rsidRPr="00202498">
              <w:rPr>
                <w:lang w:val="en-GB"/>
              </w:rPr>
              <w:t xml:space="preserve">92. Cox, C., Bergmann, C., Fowler, E., Keren-Portnoy, T., Roepstorff, A., Bryant, G., &amp; Fusaroli, R. (2023). A systematic review and Bayesian meta-analysis of the acoustic features of infant-directed speech. </w:t>
            </w:r>
            <w:r w:rsidRPr="00202498">
              <w:rPr>
                <w:i/>
                <w:iCs/>
                <w:lang w:val="en-GB"/>
              </w:rPr>
              <w:t>Nature Human Behaviour</w:t>
            </w:r>
            <w:r w:rsidRPr="00202498">
              <w:rPr>
                <w:lang w:val="en-GB"/>
              </w:rPr>
              <w:t xml:space="preserve">, </w:t>
            </w:r>
            <w:r w:rsidRPr="00202498">
              <w:rPr>
                <w:i/>
                <w:iCs/>
                <w:lang w:val="en-GB"/>
              </w:rPr>
              <w:t>7</w:t>
            </w:r>
            <w:r w:rsidRPr="00202498">
              <w:rPr>
                <w:lang w:val="en-GB"/>
              </w:rPr>
              <w:t>(1), Article 1. https://doi.org/10.1038/s41562-022-01452-1</w:t>
            </w:r>
          </w:p>
          <w:p w14:paraId="2D87CB3E" w14:textId="77777777" w:rsidR="00202498" w:rsidRPr="00202498" w:rsidRDefault="00202498" w:rsidP="00202498">
            <w:pPr>
              <w:pStyle w:val="Bibliography"/>
              <w:ind w:firstLine="308"/>
              <w:rPr>
                <w:lang w:val="en-GB"/>
              </w:rPr>
            </w:pPr>
            <w:r w:rsidRPr="00202498">
              <w:rPr>
                <w:lang w:val="en-GB"/>
              </w:rPr>
              <w:t xml:space="preserve">93. Fernald, A., &amp; Kuhl, P. K. (1987). Acoustic determinants of infant preference for motherese speech. </w:t>
            </w:r>
            <w:r w:rsidRPr="00202498">
              <w:rPr>
                <w:i/>
                <w:iCs/>
                <w:lang w:val="en-GB"/>
              </w:rPr>
              <w:t>Infant Behavior and Development</w:t>
            </w:r>
            <w:r w:rsidRPr="00202498">
              <w:rPr>
                <w:lang w:val="en-GB"/>
              </w:rPr>
              <w:t xml:space="preserve">, </w:t>
            </w:r>
            <w:r w:rsidRPr="00202498">
              <w:rPr>
                <w:i/>
                <w:iCs/>
                <w:lang w:val="en-GB"/>
              </w:rPr>
              <w:t>10</w:t>
            </w:r>
            <w:r w:rsidRPr="00202498">
              <w:rPr>
                <w:lang w:val="en-GB"/>
              </w:rPr>
              <w:t>(3), 279–293. https://doi.org/10.1016/0163-6383(87)90017-8</w:t>
            </w:r>
          </w:p>
          <w:p w14:paraId="4D8CC6F7" w14:textId="77777777" w:rsidR="00202498" w:rsidRPr="00202498" w:rsidRDefault="00202498" w:rsidP="00202498">
            <w:pPr>
              <w:pStyle w:val="Bibliography"/>
              <w:ind w:firstLine="308"/>
              <w:rPr>
                <w:lang w:val="en-GB"/>
              </w:rPr>
            </w:pPr>
            <w:r w:rsidRPr="00202498">
              <w:rPr>
                <w:lang w:val="en-GB"/>
              </w:rPr>
              <w:t xml:space="preserve">94. Song, J. Y., Demuth, K., &amp; Morgan, J. (2010). Effects of the acoustic properties of infant-directed speech on infant word recognitiona). </w:t>
            </w:r>
            <w:r w:rsidRPr="00202498">
              <w:rPr>
                <w:i/>
                <w:iCs/>
                <w:lang w:val="en-GB"/>
              </w:rPr>
              <w:t>The Journal of the Acoustical Society of America</w:t>
            </w:r>
            <w:r w:rsidRPr="00202498">
              <w:rPr>
                <w:lang w:val="en-GB"/>
              </w:rPr>
              <w:t xml:space="preserve">, </w:t>
            </w:r>
            <w:r w:rsidRPr="00202498">
              <w:rPr>
                <w:i/>
                <w:iCs/>
                <w:lang w:val="en-GB"/>
              </w:rPr>
              <w:t>128</w:t>
            </w:r>
            <w:r w:rsidRPr="00202498">
              <w:rPr>
                <w:lang w:val="en-GB"/>
              </w:rPr>
              <w:t>(1), 389–400. https://doi.org/10.1121/1.3419786</w:t>
            </w:r>
          </w:p>
          <w:p w14:paraId="2CB9C979" w14:textId="77777777" w:rsidR="00202498" w:rsidRPr="00202498" w:rsidRDefault="00202498" w:rsidP="00202498">
            <w:pPr>
              <w:pStyle w:val="Bibliography"/>
              <w:ind w:firstLine="308"/>
              <w:rPr>
                <w:lang w:val="en-GB"/>
              </w:rPr>
            </w:pPr>
            <w:r w:rsidRPr="00202498">
              <w:rPr>
                <w:lang w:val="en-GB"/>
              </w:rPr>
              <w:t xml:space="preserve">95. Trehub, S. E. (2001). Musical predispositions in infancy. </w:t>
            </w:r>
            <w:r w:rsidRPr="00202498">
              <w:rPr>
                <w:i/>
                <w:iCs/>
                <w:lang w:val="en-GB"/>
              </w:rPr>
              <w:t>Annals of the New York Academy of Sciences</w:t>
            </w:r>
            <w:r w:rsidRPr="00202498">
              <w:rPr>
                <w:lang w:val="en-GB"/>
              </w:rPr>
              <w:t xml:space="preserve">, </w:t>
            </w:r>
            <w:r w:rsidRPr="00202498">
              <w:rPr>
                <w:i/>
                <w:iCs/>
                <w:lang w:val="en-GB"/>
              </w:rPr>
              <w:t>930</w:t>
            </w:r>
            <w:r w:rsidRPr="00202498">
              <w:rPr>
                <w:lang w:val="en-GB"/>
              </w:rPr>
              <w:t>(1), 1–16. https://doi.org/10.1111/j.1749-6632.2001.tb05721.x</w:t>
            </w:r>
          </w:p>
          <w:p w14:paraId="6E72F554" w14:textId="77777777" w:rsidR="00202498" w:rsidRPr="00202498" w:rsidRDefault="00202498" w:rsidP="00202498">
            <w:pPr>
              <w:pStyle w:val="Bibliography"/>
              <w:ind w:firstLine="308"/>
              <w:rPr>
                <w:lang w:val="en-GB"/>
              </w:rPr>
            </w:pPr>
            <w:r w:rsidRPr="00202498">
              <w:rPr>
                <w:lang w:val="en-GB"/>
              </w:rPr>
              <w:lastRenderedPageBreak/>
              <w:t xml:space="preserve">96. Bainbridge, C. M., Bertolo, M., Youngers, J., Atwood, S., Yurdum, L., Simson, J., Lopez, K., Xing, F., Martin, A., &amp; Mehr, S. A. (2020). Infants relax in response to unfamiliar foreign lullabies. </w:t>
            </w:r>
            <w:r w:rsidRPr="00202498">
              <w:rPr>
                <w:i/>
                <w:iCs/>
                <w:lang w:val="en-GB"/>
              </w:rPr>
              <w:t>Nature Human Behaviour</w:t>
            </w:r>
            <w:r w:rsidRPr="00202498">
              <w:rPr>
                <w:lang w:val="en-GB"/>
              </w:rPr>
              <w:t>. https://doi.org/10.1038/s41562-020-00963-z</w:t>
            </w:r>
          </w:p>
          <w:p w14:paraId="4B3A9791" w14:textId="77777777" w:rsidR="00202498" w:rsidRPr="00202498" w:rsidRDefault="00202498" w:rsidP="00202498">
            <w:pPr>
              <w:pStyle w:val="Bibliography"/>
              <w:ind w:firstLine="308"/>
              <w:rPr>
                <w:lang w:val="en-GB"/>
              </w:rPr>
            </w:pPr>
            <w:r w:rsidRPr="00202498">
              <w:rPr>
                <w:lang w:val="en-GB"/>
              </w:rPr>
              <w:t xml:space="preserve">97. Kirby, S. (2011). Darwin’s musical protolanguage: An increasingly compelling picture. En P. Rebuschat, M. Rohmeier, J. A. Hawkins, &amp; I. Cross (Eds.), </w:t>
            </w:r>
            <w:r w:rsidRPr="00202498">
              <w:rPr>
                <w:i/>
                <w:iCs/>
                <w:lang w:val="en-GB"/>
              </w:rPr>
              <w:t>Language and Music as Cognitive Systems</w:t>
            </w:r>
            <w:r w:rsidRPr="00202498">
              <w:rPr>
                <w:lang w:val="en-GB"/>
              </w:rPr>
              <w:t xml:space="preserve"> (Número June 2014, pp. 96–102). Oxford University Press. https://doi.org/10.1093/acprof:oso/9780199553426.001.0010</w:t>
            </w:r>
          </w:p>
          <w:p w14:paraId="21D57FDA" w14:textId="77777777" w:rsidR="00202498" w:rsidRPr="00202498" w:rsidRDefault="00202498" w:rsidP="00202498">
            <w:pPr>
              <w:pStyle w:val="Bibliography"/>
              <w:ind w:firstLine="308"/>
              <w:rPr>
                <w:lang w:val="en-GB"/>
              </w:rPr>
            </w:pPr>
            <w:r w:rsidRPr="00202498">
              <w:rPr>
                <w:lang w:val="en-GB"/>
              </w:rPr>
              <w:t xml:space="preserve">98. Fitch, W. T. (2011). The biology and evolution of rhythm: Unravelling a paradox. En P. Rebuschat, M. Rohmeier, J. A. Hawkins, &amp; I. Cross (Eds.), </w:t>
            </w:r>
            <w:r w:rsidRPr="00202498">
              <w:rPr>
                <w:i/>
                <w:iCs/>
                <w:lang w:val="en-GB"/>
              </w:rPr>
              <w:t>Language and music as cognitive systems</w:t>
            </w:r>
            <w:r w:rsidRPr="00202498">
              <w:rPr>
                <w:lang w:val="en-GB"/>
              </w:rPr>
              <w:t xml:space="preserve"> (pp. 73–95). Oxford University Press.</w:t>
            </w:r>
          </w:p>
          <w:p w14:paraId="1696906F" w14:textId="77777777" w:rsidR="00202498" w:rsidRPr="00202498" w:rsidRDefault="00202498" w:rsidP="00202498">
            <w:pPr>
              <w:pStyle w:val="Bibliography"/>
              <w:ind w:firstLine="308"/>
              <w:rPr>
                <w:lang w:val="en-GB"/>
              </w:rPr>
            </w:pPr>
            <w:r w:rsidRPr="00202498">
              <w:rPr>
                <w:lang w:val="en-GB"/>
              </w:rPr>
              <w:t xml:space="preserve">99. Mithen, S. J. (2006). </w:t>
            </w:r>
            <w:r w:rsidRPr="00202498">
              <w:rPr>
                <w:i/>
                <w:iCs/>
                <w:lang w:val="en-GB"/>
              </w:rPr>
              <w:t>The singing Neanderthals: The origin of music, language, mind and body</w:t>
            </w:r>
            <w:r w:rsidRPr="00202498">
              <w:rPr>
                <w:lang w:val="en-GB"/>
              </w:rPr>
              <w:t>. Phoenix.</w:t>
            </w:r>
          </w:p>
          <w:p w14:paraId="292FBBAE" w14:textId="77777777" w:rsidR="00202498" w:rsidRPr="00202498" w:rsidRDefault="00202498" w:rsidP="00202498">
            <w:pPr>
              <w:pStyle w:val="Bibliography"/>
              <w:ind w:firstLine="308"/>
              <w:rPr>
                <w:lang w:val="en-GB"/>
              </w:rPr>
            </w:pPr>
            <w:r w:rsidRPr="00202498">
              <w:rPr>
                <w:lang w:val="en-GB"/>
              </w:rPr>
              <w:t xml:space="preserve">100. Brown, S. (2000). The “musilanguage” model of music evolution. En N. L. Wallin, B. Merker, &amp; S. Brown (Eds.), </w:t>
            </w:r>
            <w:r w:rsidRPr="00202498">
              <w:rPr>
                <w:i/>
                <w:iCs/>
                <w:lang w:val="en-GB"/>
              </w:rPr>
              <w:t>The Origins of Music</w:t>
            </w:r>
            <w:r w:rsidRPr="00202498">
              <w:rPr>
                <w:lang w:val="en-GB"/>
              </w:rPr>
              <w:t xml:space="preserve"> (pp. 271–300). MIT Press.</w:t>
            </w:r>
          </w:p>
          <w:p w14:paraId="273FD562" w14:textId="77777777" w:rsidR="00202498" w:rsidRPr="00202498" w:rsidRDefault="00202498" w:rsidP="00202498">
            <w:pPr>
              <w:pStyle w:val="Bibliography"/>
              <w:ind w:firstLine="308"/>
              <w:rPr>
                <w:lang w:val="en-GB"/>
              </w:rPr>
            </w:pPr>
            <w:r w:rsidRPr="00202498">
              <w:rPr>
                <w:lang w:val="en-GB"/>
              </w:rPr>
              <w:t xml:space="preserve">101. Baroni, M. (2008). Music, musicality, “musilanguage”. </w:t>
            </w:r>
            <w:r w:rsidRPr="00202498">
              <w:rPr>
                <w:i/>
                <w:iCs/>
                <w:lang w:val="en-GB"/>
              </w:rPr>
              <w:t>Musicae Scientiae</w:t>
            </w:r>
            <w:r w:rsidRPr="00202498">
              <w:rPr>
                <w:lang w:val="en-GB"/>
              </w:rPr>
              <w:t xml:space="preserve">, </w:t>
            </w:r>
            <w:r w:rsidRPr="00202498">
              <w:rPr>
                <w:i/>
                <w:iCs/>
                <w:lang w:val="en-GB"/>
              </w:rPr>
              <w:t>12</w:t>
            </w:r>
            <w:r w:rsidRPr="00202498">
              <w:rPr>
                <w:lang w:val="en-GB"/>
              </w:rPr>
              <w:t>(1 Suppl), 197–218. https://doi.org/10.1177/1029864908012001091</w:t>
            </w:r>
          </w:p>
          <w:p w14:paraId="56E9DBE7" w14:textId="77777777" w:rsidR="00202498" w:rsidRPr="00202498" w:rsidRDefault="00202498" w:rsidP="00202498">
            <w:pPr>
              <w:pStyle w:val="Bibliography"/>
              <w:ind w:firstLine="308"/>
              <w:rPr>
                <w:lang w:val="en-GB"/>
              </w:rPr>
            </w:pPr>
            <w:r w:rsidRPr="00202498">
              <w:rPr>
                <w:lang w:val="en-GB"/>
              </w:rPr>
              <w:t xml:space="preserve">102. Dissanayake, E. (2000). Antecedents of the temporal arts in early mother–infant interaction. En N. Wallin, B. Merker, &amp; S. Brown (Eds.), </w:t>
            </w:r>
            <w:r w:rsidRPr="00202498">
              <w:rPr>
                <w:i/>
                <w:iCs/>
                <w:lang w:val="en-GB"/>
              </w:rPr>
              <w:t>The Origins of Music</w:t>
            </w:r>
            <w:r w:rsidRPr="00202498">
              <w:rPr>
                <w:lang w:val="en-GB"/>
              </w:rPr>
              <w:t xml:space="preserve"> (pp. 389–410). MIT Press.</w:t>
            </w:r>
          </w:p>
          <w:p w14:paraId="64A61BCF" w14:textId="77777777" w:rsidR="00202498" w:rsidRPr="00202498" w:rsidRDefault="00202498" w:rsidP="00202498">
            <w:pPr>
              <w:pStyle w:val="Bibliography"/>
              <w:ind w:firstLine="308"/>
              <w:rPr>
                <w:lang w:val="en-GB"/>
              </w:rPr>
            </w:pPr>
            <w:r w:rsidRPr="00202498">
              <w:rPr>
                <w:lang w:val="en-GB"/>
              </w:rPr>
              <w:t xml:space="preserve">103. Trehub, S. E. (2000). Human processing predispositions and musical universals. En N. L. Wallin, B. Merker, &amp; S. Brown (Eds.), </w:t>
            </w:r>
            <w:r w:rsidRPr="00202498">
              <w:rPr>
                <w:i/>
                <w:iCs/>
                <w:lang w:val="en-GB"/>
              </w:rPr>
              <w:t>The Origins of Music: Vol. The origin</w:t>
            </w:r>
            <w:r w:rsidRPr="00202498">
              <w:rPr>
                <w:lang w:val="en-GB"/>
              </w:rPr>
              <w:t xml:space="preserve"> (pp. 427–448). MIT Press.</w:t>
            </w:r>
          </w:p>
          <w:p w14:paraId="5385CDCF" w14:textId="77777777" w:rsidR="00202498" w:rsidRPr="00202498" w:rsidRDefault="00202498" w:rsidP="00202498">
            <w:pPr>
              <w:pStyle w:val="Bibliography"/>
              <w:ind w:firstLine="308"/>
              <w:rPr>
                <w:lang w:val="en-GB"/>
              </w:rPr>
            </w:pPr>
            <w:r w:rsidRPr="00202498">
              <w:rPr>
                <w:lang w:val="en-GB"/>
              </w:rPr>
              <w:t xml:space="preserve">104. Mehr, S. A., Singh, M., York, H., Glowacki, L., &amp; Krasnow, M. M. (2018). Form and Function in Human Song. </w:t>
            </w:r>
            <w:r w:rsidRPr="00202498">
              <w:rPr>
                <w:i/>
                <w:iCs/>
                <w:lang w:val="en-GB"/>
              </w:rPr>
              <w:t>Current Biology</w:t>
            </w:r>
            <w:r w:rsidRPr="00202498">
              <w:rPr>
                <w:lang w:val="en-GB"/>
              </w:rPr>
              <w:t xml:space="preserve">, </w:t>
            </w:r>
            <w:r w:rsidRPr="00202498">
              <w:rPr>
                <w:i/>
                <w:iCs/>
                <w:lang w:val="en-GB"/>
              </w:rPr>
              <w:t>28</w:t>
            </w:r>
            <w:r w:rsidRPr="00202498">
              <w:rPr>
                <w:lang w:val="en-GB"/>
              </w:rPr>
              <w:t>(3), 356-368.e5. https://doi.org/10.1016/j.cub.2017.12.042</w:t>
            </w:r>
          </w:p>
          <w:p w14:paraId="4F355078" w14:textId="77777777" w:rsidR="00202498" w:rsidRPr="00202498" w:rsidRDefault="00202498" w:rsidP="00202498">
            <w:pPr>
              <w:pStyle w:val="Bibliography"/>
              <w:ind w:firstLine="308"/>
              <w:rPr>
                <w:lang w:val="en-GB"/>
              </w:rPr>
            </w:pPr>
            <w:r w:rsidRPr="00202498">
              <w:rPr>
                <w:lang w:val="en-GB"/>
              </w:rPr>
              <w:t xml:space="preserve">105. Broad, K. D., Curley, J. P., &amp; Keverne, E. B. (2006). Mother-infant bonding and the evolution of mammalian social relationships. </w:t>
            </w:r>
            <w:r w:rsidRPr="00202498">
              <w:rPr>
                <w:i/>
                <w:iCs/>
                <w:lang w:val="en-GB"/>
              </w:rPr>
              <w:t>Philosophical Transactions of the Royal Society B: Biological Sciences</w:t>
            </w:r>
            <w:r w:rsidRPr="00202498">
              <w:rPr>
                <w:lang w:val="en-GB"/>
              </w:rPr>
              <w:t xml:space="preserve">, </w:t>
            </w:r>
            <w:r w:rsidRPr="00202498">
              <w:rPr>
                <w:i/>
                <w:iCs/>
                <w:lang w:val="en-GB"/>
              </w:rPr>
              <w:t>361</w:t>
            </w:r>
            <w:r w:rsidRPr="00202498">
              <w:rPr>
                <w:lang w:val="en-GB"/>
              </w:rPr>
              <w:t>(1476), 2199–2214. https://doi.org/10.1098/rstb.2006.1940</w:t>
            </w:r>
          </w:p>
          <w:p w14:paraId="4B5CF65E" w14:textId="77777777" w:rsidR="00202498" w:rsidRPr="00202498" w:rsidRDefault="00202498" w:rsidP="00202498">
            <w:pPr>
              <w:pStyle w:val="Bibliography"/>
              <w:ind w:firstLine="308"/>
              <w:rPr>
                <w:lang w:val="en-GB"/>
              </w:rPr>
            </w:pPr>
            <w:r>
              <w:t xml:space="preserve">106. Peltola, M. J., Yrttiaho, S., &amp; Leppänen, J. M. (2018). </w:t>
            </w:r>
            <w:r w:rsidRPr="00202498">
              <w:rPr>
                <w:lang w:val="en-GB"/>
              </w:rPr>
              <w:t xml:space="preserve">Infants’ attention bias to faces as an early marker of social development. </w:t>
            </w:r>
            <w:r w:rsidRPr="00202498">
              <w:rPr>
                <w:i/>
                <w:iCs/>
                <w:lang w:val="en-GB"/>
              </w:rPr>
              <w:t>Developmental Science</w:t>
            </w:r>
            <w:r w:rsidRPr="00202498">
              <w:rPr>
                <w:lang w:val="en-GB"/>
              </w:rPr>
              <w:t xml:space="preserve">, </w:t>
            </w:r>
            <w:r w:rsidRPr="00202498">
              <w:rPr>
                <w:i/>
                <w:iCs/>
                <w:lang w:val="en-GB"/>
              </w:rPr>
              <w:t>21</w:t>
            </w:r>
            <w:r w:rsidRPr="00202498">
              <w:rPr>
                <w:lang w:val="en-GB"/>
              </w:rPr>
              <w:t>(6), e12687. https://doi.org/10.1111/desc.12687</w:t>
            </w:r>
          </w:p>
          <w:p w14:paraId="486447C5" w14:textId="77777777" w:rsidR="00202498" w:rsidRPr="00202498" w:rsidRDefault="00202498" w:rsidP="00202498">
            <w:pPr>
              <w:pStyle w:val="Bibliography"/>
              <w:ind w:firstLine="308"/>
              <w:rPr>
                <w:lang w:val="en-GB"/>
              </w:rPr>
            </w:pPr>
            <w:r w:rsidRPr="00202498">
              <w:rPr>
                <w:lang w:val="en-GB"/>
              </w:rPr>
              <w:lastRenderedPageBreak/>
              <w:t xml:space="preserve">107. Neuman, S. B., Kaefer, T., Pinkham, A., &amp; Strouse, G. (2014). Can babies learn to read? A randomized trial of baby media. </w:t>
            </w:r>
            <w:r w:rsidRPr="00202498">
              <w:rPr>
                <w:i/>
                <w:iCs/>
                <w:lang w:val="en-GB"/>
              </w:rPr>
              <w:t>Journal of Educational Psychology</w:t>
            </w:r>
            <w:r w:rsidRPr="00202498">
              <w:rPr>
                <w:lang w:val="en-GB"/>
              </w:rPr>
              <w:t xml:space="preserve">, </w:t>
            </w:r>
            <w:r w:rsidRPr="00202498">
              <w:rPr>
                <w:i/>
                <w:iCs/>
                <w:lang w:val="en-GB"/>
              </w:rPr>
              <w:t>106</w:t>
            </w:r>
            <w:r w:rsidRPr="00202498">
              <w:rPr>
                <w:lang w:val="en-GB"/>
              </w:rPr>
              <w:t>(3), 815–830. https://doi.org/10.1037/a0035937</w:t>
            </w:r>
          </w:p>
          <w:p w14:paraId="4A221F51" w14:textId="77777777" w:rsidR="00202498" w:rsidRPr="00202498" w:rsidRDefault="00202498" w:rsidP="00202498">
            <w:pPr>
              <w:pStyle w:val="Bibliography"/>
              <w:ind w:firstLine="308"/>
              <w:rPr>
                <w:lang w:val="en-GB"/>
              </w:rPr>
            </w:pPr>
            <w:r w:rsidRPr="00202498">
              <w:rPr>
                <w:lang w:val="en-GB"/>
              </w:rPr>
              <w:t xml:space="preserve">108. Wass, S. V. (2021). The origins of effortful control: How early development within arousal/regulatory systems influences attentional and affective control. </w:t>
            </w:r>
            <w:r w:rsidRPr="00202498">
              <w:rPr>
                <w:i/>
                <w:iCs/>
                <w:lang w:val="en-GB"/>
              </w:rPr>
              <w:t>Developmental Review</w:t>
            </w:r>
            <w:r w:rsidRPr="00202498">
              <w:rPr>
                <w:lang w:val="en-GB"/>
              </w:rPr>
              <w:t xml:space="preserve">, </w:t>
            </w:r>
            <w:r w:rsidRPr="00202498">
              <w:rPr>
                <w:i/>
                <w:iCs/>
                <w:lang w:val="en-GB"/>
              </w:rPr>
              <w:t>61</w:t>
            </w:r>
            <w:r w:rsidRPr="00202498">
              <w:rPr>
                <w:lang w:val="en-GB"/>
              </w:rPr>
              <w:t>, 100978. https://doi.org/10.1016/j.dr.2021.100978</w:t>
            </w:r>
          </w:p>
          <w:p w14:paraId="1A183C99" w14:textId="77777777" w:rsidR="00202498" w:rsidRPr="00202498" w:rsidRDefault="00202498" w:rsidP="00202498">
            <w:pPr>
              <w:pStyle w:val="Bibliography"/>
              <w:ind w:firstLine="308"/>
              <w:rPr>
                <w:lang w:val="en-GB"/>
              </w:rPr>
            </w:pPr>
            <w:r w:rsidRPr="00202498">
              <w:rPr>
                <w:lang w:val="en-GB"/>
              </w:rPr>
              <w:t xml:space="preserve">109. Mele, M. L., &amp; Federici, S. (2012). Gaze and eye-tracking solutions for psychological research. </w:t>
            </w:r>
            <w:r w:rsidRPr="00202498">
              <w:rPr>
                <w:i/>
                <w:iCs/>
                <w:lang w:val="en-GB"/>
              </w:rPr>
              <w:t>Cognitive Processing</w:t>
            </w:r>
            <w:r w:rsidRPr="00202498">
              <w:rPr>
                <w:lang w:val="en-GB"/>
              </w:rPr>
              <w:t xml:space="preserve">, </w:t>
            </w:r>
            <w:r w:rsidRPr="00202498">
              <w:rPr>
                <w:i/>
                <w:iCs/>
                <w:lang w:val="en-GB"/>
              </w:rPr>
              <w:t>13</w:t>
            </w:r>
            <w:r w:rsidRPr="00202498">
              <w:rPr>
                <w:lang w:val="en-GB"/>
              </w:rPr>
              <w:t>(S1), 261–265. https://doi.org/10.1007/s10339-012-0499-z</w:t>
            </w:r>
          </w:p>
          <w:p w14:paraId="2ED968B7" w14:textId="77777777" w:rsidR="00202498" w:rsidRPr="00202498" w:rsidRDefault="00202498" w:rsidP="00202498">
            <w:pPr>
              <w:pStyle w:val="Bibliography"/>
              <w:ind w:firstLine="308"/>
              <w:rPr>
                <w:lang w:val="en-GB"/>
              </w:rPr>
            </w:pPr>
            <w:r w:rsidRPr="00202498">
              <w:rPr>
                <w:lang w:val="en-GB"/>
              </w:rPr>
              <w:t xml:space="preserve">110. Schröter, I., Grillo, N. R., Limpak, M. K., Mestiri, B., Osthold, B., Sebti, F., &amp; Mergenthaler, M. (2021). Webcam Eye Tracking for Monitoring Visual Attention in Hypothetical Online Shopping Tasks. </w:t>
            </w:r>
            <w:r w:rsidRPr="00202498">
              <w:rPr>
                <w:i/>
                <w:iCs/>
                <w:lang w:val="en-GB"/>
              </w:rPr>
              <w:t>Applied Sciences</w:t>
            </w:r>
            <w:r w:rsidRPr="00202498">
              <w:rPr>
                <w:lang w:val="en-GB"/>
              </w:rPr>
              <w:t xml:space="preserve">, </w:t>
            </w:r>
            <w:r w:rsidRPr="00202498">
              <w:rPr>
                <w:i/>
                <w:iCs/>
                <w:lang w:val="en-GB"/>
              </w:rPr>
              <w:t>11</w:t>
            </w:r>
            <w:r w:rsidRPr="00202498">
              <w:rPr>
                <w:lang w:val="en-GB"/>
              </w:rPr>
              <w:t>(19), 9281. https://doi.org/10.3390/app11199281</w:t>
            </w:r>
          </w:p>
          <w:p w14:paraId="6592F19F" w14:textId="77777777" w:rsidR="00202498" w:rsidRPr="00202498" w:rsidRDefault="00202498" w:rsidP="00202498">
            <w:pPr>
              <w:pStyle w:val="Bibliography"/>
              <w:ind w:firstLine="308"/>
              <w:rPr>
                <w:lang w:val="en-GB"/>
              </w:rPr>
            </w:pPr>
            <w:r w:rsidRPr="00202498">
              <w:rPr>
                <w:lang w:val="en-GB"/>
              </w:rPr>
              <w:t xml:space="preserve">111. Yang, X., &amp; Krajbich, I. (2021). Webcam-based online eye-tracking for behavioral research. </w:t>
            </w:r>
            <w:r w:rsidRPr="00202498">
              <w:rPr>
                <w:i/>
                <w:iCs/>
                <w:lang w:val="en-GB"/>
              </w:rPr>
              <w:t>Judgment and Decision Making</w:t>
            </w:r>
            <w:r w:rsidRPr="00202498">
              <w:rPr>
                <w:lang w:val="en-GB"/>
              </w:rPr>
              <w:t xml:space="preserve">, </w:t>
            </w:r>
            <w:r w:rsidRPr="00202498">
              <w:rPr>
                <w:i/>
                <w:iCs/>
                <w:lang w:val="en-GB"/>
              </w:rPr>
              <w:t>16</w:t>
            </w:r>
            <w:r w:rsidRPr="00202498">
              <w:rPr>
                <w:lang w:val="en-GB"/>
              </w:rPr>
              <w:t>(6), 1485–1505. https://doi.org/10.1017/S1930297500008512</w:t>
            </w:r>
          </w:p>
          <w:p w14:paraId="514C42FE" w14:textId="77777777" w:rsidR="00202498" w:rsidRPr="00202498" w:rsidRDefault="00202498" w:rsidP="00202498">
            <w:pPr>
              <w:pStyle w:val="Bibliography"/>
              <w:ind w:firstLine="308"/>
              <w:rPr>
                <w:lang w:val="en-GB"/>
              </w:rPr>
            </w:pPr>
            <w:r w:rsidRPr="00202498">
              <w:rPr>
                <w:lang w:val="en-GB"/>
              </w:rPr>
              <w:t xml:space="preserve">112. Arias Sarah, P., Hall, L., Saitovitch, A., Aucouturier, J.-J., Zilbovicius, M., &amp; Johansson, P. (2023). Pupil dilation reflects the dynamic integration of audiovisual emotional speech. </w:t>
            </w:r>
            <w:r w:rsidRPr="00202498">
              <w:rPr>
                <w:i/>
                <w:iCs/>
                <w:lang w:val="en-GB"/>
              </w:rPr>
              <w:t>Scientific Reports</w:t>
            </w:r>
            <w:r w:rsidRPr="00202498">
              <w:rPr>
                <w:lang w:val="en-GB"/>
              </w:rPr>
              <w:t xml:space="preserve">, </w:t>
            </w:r>
            <w:r w:rsidRPr="00202498">
              <w:rPr>
                <w:i/>
                <w:iCs/>
                <w:lang w:val="en-GB"/>
              </w:rPr>
              <w:t>13</w:t>
            </w:r>
            <w:r w:rsidRPr="00202498">
              <w:rPr>
                <w:lang w:val="en-GB"/>
              </w:rPr>
              <w:t>(1), 5507. https://doi.org/10.1038/s41598-023-32133-2</w:t>
            </w:r>
          </w:p>
          <w:p w14:paraId="75B2E921" w14:textId="77777777" w:rsidR="00202498" w:rsidRPr="00202498" w:rsidRDefault="00202498" w:rsidP="00202498">
            <w:pPr>
              <w:pStyle w:val="Bibliography"/>
              <w:ind w:firstLine="308"/>
              <w:rPr>
                <w:lang w:val="en-GB"/>
              </w:rPr>
            </w:pPr>
            <w:r w:rsidRPr="00202498">
              <w:rPr>
                <w:lang w:val="en-GB"/>
              </w:rPr>
              <w:t xml:space="preserve">113. Zaadnoordijk, L., Buckler, H., Cusack, R., Tsuji, S., &amp; Bergmann, C. (2021). A Global Perspective on Testing Infants Online: Introducing ManyBabies-AtHome. </w:t>
            </w:r>
            <w:r w:rsidRPr="00202498">
              <w:rPr>
                <w:i/>
                <w:iCs/>
                <w:lang w:val="en-GB"/>
              </w:rPr>
              <w:t>Frontiers in Psychology</w:t>
            </w:r>
            <w:r w:rsidRPr="00202498">
              <w:rPr>
                <w:lang w:val="en-GB"/>
              </w:rPr>
              <w:t xml:space="preserve">, </w:t>
            </w:r>
            <w:r w:rsidRPr="00202498">
              <w:rPr>
                <w:i/>
                <w:iCs/>
                <w:lang w:val="en-GB"/>
              </w:rPr>
              <w:t>12</w:t>
            </w:r>
            <w:r w:rsidRPr="00202498">
              <w:rPr>
                <w:lang w:val="en-GB"/>
              </w:rPr>
              <w:t>. https://doi.org/10.3389/fpsyg.2021.703234</w:t>
            </w:r>
          </w:p>
          <w:p w14:paraId="6BA6958A" w14:textId="77777777" w:rsidR="00202498" w:rsidRPr="00202498" w:rsidRDefault="00202498" w:rsidP="00202498">
            <w:pPr>
              <w:pStyle w:val="Bibliography"/>
              <w:ind w:firstLine="308"/>
              <w:rPr>
                <w:lang w:val="en-GB"/>
              </w:rPr>
            </w:pPr>
            <w:r w:rsidRPr="00202498">
              <w:rPr>
                <w:lang w:val="en-GB"/>
              </w:rPr>
              <w:t xml:space="preserve">114. Banskota, N., Alsadoon, A., Prasad, P. W. C., Dawoud, A., Rashid, T. A., &amp; Alsadoon, O. H. (2023). A novel enhanced convolution neural network with extreme learning machine: Facial emotional recognition in psychology practices. </w:t>
            </w:r>
            <w:r w:rsidRPr="00202498">
              <w:rPr>
                <w:i/>
                <w:iCs/>
                <w:lang w:val="en-GB"/>
              </w:rPr>
              <w:t>Multimedia Tools and Applications</w:t>
            </w:r>
            <w:r w:rsidRPr="00202498">
              <w:rPr>
                <w:lang w:val="en-GB"/>
              </w:rPr>
              <w:t xml:space="preserve">, </w:t>
            </w:r>
            <w:r w:rsidRPr="00202498">
              <w:rPr>
                <w:i/>
                <w:iCs/>
                <w:lang w:val="en-GB"/>
              </w:rPr>
              <w:t>82</w:t>
            </w:r>
            <w:r w:rsidRPr="00202498">
              <w:rPr>
                <w:lang w:val="en-GB"/>
              </w:rPr>
              <w:t>(5), 6479–6503. https://doi.org/10.1007/s11042-022-13567-8</w:t>
            </w:r>
          </w:p>
          <w:p w14:paraId="70C3C764" w14:textId="77777777" w:rsidR="00202498" w:rsidRPr="00202498" w:rsidRDefault="00202498" w:rsidP="00202498">
            <w:pPr>
              <w:pStyle w:val="Bibliography"/>
              <w:ind w:firstLine="308"/>
              <w:rPr>
                <w:lang w:val="en-GB"/>
              </w:rPr>
            </w:pPr>
            <w:r w:rsidRPr="00202498">
              <w:rPr>
                <w:lang w:val="en-GB"/>
              </w:rPr>
              <w:t xml:space="preserve">115. Vedantham, R., &amp; Reddy, E. S. (2023). Facial emotion recognition on video using deep attention based bidirectional LSTM with equilibrium optimizer. </w:t>
            </w:r>
            <w:r w:rsidRPr="00202498">
              <w:rPr>
                <w:i/>
                <w:iCs/>
                <w:lang w:val="en-GB"/>
              </w:rPr>
              <w:t>Multimedia Tools and Applications</w:t>
            </w:r>
            <w:r w:rsidRPr="00202498">
              <w:rPr>
                <w:lang w:val="en-GB"/>
              </w:rPr>
              <w:t xml:space="preserve">, </w:t>
            </w:r>
            <w:r w:rsidRPr="00202498">
              <w:rPr>
                <w:i/>
                <w:iCs/>
                <w:lang w:val="en-GB"/>
              </w:rPr>
              <w:t>82</w:t>
            </w:r>
            <w:r w:rsidRPr="00202498">
              <w:rPr>
                <w:lang w:val="en-GB"/>
              </w:rPr>
              <w:t>(19), 28681–28711. https://doi.org/10.1007/s11042-023-14491-1</w:t>
            </w:r>
          </w:p>
          <w:p w14:paraId="21C535B3" w14:textId="77777777" w:rsidR="00202498" w:rsidRPr="00202498" w:rsidRDefault="00202498" w:rsidP="00202498">
            <w:pPr>
              <w:pStyle w:val="Bibliography"/>
              <w:ind w:firstLine="308"/>
              <w:rPr>
                <w:lang w:val="en-GB"/>
              </w:rPr>
            </w:pPr>
            <w:r w:rsidRPr="00202498">
              <w:rPr>
                <w:lang w:val="en-GB"/>
              </w:rPr>
              <w:t xml:space="preserve">116. Han, B., Yoo, C.-H., Kim, H.-W., Yoo, J.-H., &amp; Jang, J. (2023). Deep emotion change detection via facial expression analysis. </w:t>
            </w:r>
            <w:r w:rsidRPr="00202498">
              <w:rPr>
                <w:i/>
                <w:iCs/>
                <w:lang w:val="en-GB"/>
              </w:rPr>
              <w:t>Neurocomputing</w:t>
            </w:r>
            <w:r w:rsidRPr="00202498">
              <w:rPr>
                <w:lang w:val="en-GB"/>
              </w:rPr>
              <w:t xml:space="preserve">, </w:t>
            </w:r>
            <w:r w:rsidRPr="00202498">
              <w:rPr>
                <w:i/>
                <w:iCs/>
                <w:lang w:val="en-GB"/>
              </w:rPr>
              <w:t>549</w:t>
            </w:r>
            <w:r w:rsidRPr="00202498">
              <w:rPr>
                <w:lang w:val="en-GB"/>
              </w:rPr>
              <w:t>, 126439. https://doi.org/10.1016/j.neucom.2023.126439</w:t>
            </w:r>
          </w:p>
          <w:p w14:paraId="25A9DCEF" w14:textId="77777777" w:rsidR="00202498" w:rsidRPr="00202498" w:rsidRDefault="00202498" w:rsidP="00202498">
            <w:pPr>
              <w:pStyle w:val="Bibliography"/>
              <w:ind w:firstLine="308"/>
              <w:rPr>
                <w:lang w:val="en-GB"/>
              </w:rPr>
            </w:pPr>
            <w:r w:rsidRPr="00202498">
              <w:rPr>
                <w:lang w:val="en-GB"/>
              </w:rPr>
              <w:lastRenderedPageBreak/>
              <w:t xml:space="preserve">117. Wang, C., Pun, T., &amp; Chanel, G. (2018). A Comparative Survey of Methods for Remote Heart Rate Detection From Frontal Face Videos. </w:t>
            </w:r>
            <w:r w:rsidRPr="00202498">
              <w:rPr>
                <w:i/>
                <w:iCs/>
                <w:lang w:val="en-GB"/>
              </w:rPr>
              <w:t>Frontiers in Bioengineering and Biotechnology</w:t>
            </w:r>
            <w:r w:rsidRPr="00202498">
              <w:rPr>
                <w:lang w:val="en-GB"/>
              </w:rPr>
              <w:t xml:space="preserve">, </w:t>
            </w:r>
            <w:r w:rsidRPr="00202498">
              <w:rPr>
                <w:i/>
                <w:iCs/>
                <w:lang w:val="en-GB"/>
              </w:rPr>
              <w:t>6</w:t>
            </w:r>
            <w:r w:rsidRPr="00202498">
              <w:rPr>
                <w:lang w:val="en-GB"/>
              </w:rPr>
              <w:t>. https://doi.org/10.3389/fbioe.2018.00033</w:t>
            </w:r>
          </w:p>
          <w:p w14:paraId="008D8C8D" w14:textId="77777777" w:rsidR="00202498" w:rsidRPr="00202498" w:rsidRDefault="00202498" w:rsidP="00202498">
            <w:pPr>
              <w:pStyle w:val="Bibliography"/>
              <w:ind w:firstLine="308"/>
              <w:rPr>
                <w:lang w:val="en-GB"/>
              </w:rPr>
            </w:pPr>
            <w:r w:rsidRPr="00202498">
              <w:rPr>
                <w:lang w:val="en-GB"/>
              </w:rPr>
              <w:t xml:space="preserve">118. Chen, X., Cheng, J., Song, R., Liu, Y., Ward, R., &amp; Wang, Z. J. (2019). Video-Based Heart Rate Measurement: Recent Advances and Future Prospects. </w:t>
            </w:r>
            <w:r w:rsidRPr="00202498">
              <w:rPr>
                <w:i/>
                <w:iCs/>
                <w:lang w:val="en-GB"/>
              </w:rPr>
              <w:t>IEEE Transactions on Instrumentation and Measurement</w:t>
            </w:r>
            <w:r w:rsidRPr="00202498">
              <w:rPr>
                <w:lang w:val="en-GB"/>
              </w:rPr>
              <w:t xml:space="preserve">, </w:t>
            </w:r>
            <w:r w:rsidRPr="00202498">
              <w:rPr>
                <w:i/>
                <w:iCs/>
                <w:lang w:val="en-GB"/>
              </w:rPr>
              <w:t>68</w:t>
            </w:r>
            <w:r w:rsidRPr="00202498">
              <w:rPr>
                <w:lang w:val="en-GB"/>
              </w:rPr>
              <w:t>(10), 3600–3615. https://doi.org/10.1109/TIM.2018.2879706</w:t>
            </w:r>
          </w:p>
          <w:p w14:paraId="5155BAE3" w14:textId="77777777" w:rsidR="00202498" w:rsidRPr="00202498" w:rsidRDefault="00202498" w:rsidP="00202498">
            <w:pPr>
              <w:pStyle w:val="Bibliography"/>
              <w:ind w:firstLine="308"/>
              <w:rPr>
                <w:lang w:val="en-GB"/>
              </w:rPr>
            </w:pPr>
            <w:r w:rsidRPr="00202498">
              <w:rPr>
                <w:lang w:val="en-GB"/>
              </w:rPr>
              <w:t xml:space="preserve">119. Cheng, J., Chen, X., Xu, L., &amp; Wang, Z. J. (2017). Illumination Variation-Resistant Video-Based Heart Rate Measurement Using Joint Blind Source Separation and Ensemble Empirical Mode Decomposition. </w:t>
            </w:r>
            <w:r w:rsidRPr="00202498">
              <w:rPr>
                <w:i/>
                <w:iCs/>
                <w:lang w:val="en-GB"/>
              </w:rPr>
              <w:t>IEEE Journal of Biomedical and Health Informatics</w:t>
            </w:r>
            <w:r w:rsidRPr="00202498">
              <w:rPr>
                <w:lang w:val="en-GB"/>
              </w:rPr>
              <w:t xml:space="preserve">, </w:t>
            </w:r>
            <w:r w:rsidRPr="00202498">
              <w:rPr>
                <w:i/>
                <w:iCs/>
                <w:lang w:val="en-GB"/>
              </w:rPr>
              <w:t>21</w:t>
            </w:r>
            <w:r w:rsidRPr="00202498">
              <w:rPr>
                <w:lang w:val="en-GB"/>
              </w:rPr>
              <w:t>(5), 1422–1433. https://doi.org/10.1109/JBHI.2016.2615472</w:t>
            </w:r>
          </w:p>
          <w:p w14:paraId="60EF831C" w14:textId="77777777" w:rsidR="00202498" w:rsidRPr="00202498" w:rsidRDefault="00202498" w:rsidP="00202498">
            <w:pPr>
              <w:pStyle w:val="Bibliography"/>
              <w:ind w:firstLine="308"/>
              <w:rPr>
                <w:lang w:val="en-GB"/>
              </w:rPr>
            </w:pPr>
            <w:r>
              <w:t xml:space="preserve">120. van der Kooij, K. M., &amp; Naber, M. (2019). </w:t>
            </w:r>
            <w:r w:rsidRPr="00202498">
              <w:rPr>
                <w:lang w:val="en-GB"/>
              </w:rPr>
              <w:t xml:space="preserve">An open-source remote heart rate imaging method with practical apparatus and algorithms. </w:t>
            </w:r>
            <w:r w:rsidRPr="00202498">
              <w:rPr>
                <w:i/>
                <w:iCs/>
                <w:lang w:val="en-GB"/>
              </w:rPr>
              <w:t>Behavior Research Methods</w:t>
            </w:r>
            <w:r w:rsidRPr="00202498">
              <w:rPr>
                <w:lang w:val="en-GB"/>
              </w:rPr>
              <w:t xml:space="preserve">, </w:t>
            </w:r>
            <w:r w:rsidRPr="00202498">
              <w:rPr>
                <w:i/>
                <w:iCs/>
                <w:lang w:val="en-GB"/>
              </w:rPr>
              <w:t>51</w:t>
            </w:r>
            <w:r w:rsidRPr="00202498">
              <w:rPr>
                <w:lang w:val="en-GB"/>
              </w:rPr>
              <w:t>(5), 2106–2119. https://doi.org/10.3758/s13428-019-01256-8</w:t>
            </w:r>
          </w:p>
          <w:p w14:paraId="5F85BD02" w14:textId="77777777" w:rsidR="00202498" w:rsidRPr="00202498" w:rsidRDefault="00202498" w:rsidP="00202498">
            <w:pPr>
              <w:pStyle w:val="Bibliography"/>
              <w:ind w:firstLine="308"/>
              <w:rPr>
                <w:lang w:val="en-GB"/>
              </w:rPr>
            </w:pPr>
            <w:r w:rsidRPr="00202498">
              <w:rPr>
                <w:lang w:val="en-GB"/>
              </w:rPr>
              <w:t xml:space="preserve">121. Boersma, P., &amp; Weenink, D. (2025). </w:t>
            </w:r>
            <w:r w:rsidRPr="00202498">
              <w:rPr>
                <w:i/>
                <w:iCs/>
                <w:lang w:val="en-GB"/>
              </w:rPr>
              <w:t>Praat: Doing phonetics by computer. Versión 6.4.38.</w:t>
            </w:r>
            <w:r w:rsidRPr="00202498">
              <w:rPr>
                <w:lang w:val="en-GB"/>
              </w:rPr>
              <w:t xml:space="preserve"> [Software]. http://www.praat.org/</w:t>
            </w:r>
          </w:p>
          <w:p w14:paraId="28B0EEE3" w14:textId="77777777" w:rsidR="00202498" w:rsidRPr="00202498" w:rsidRDefault="00202498" w:rsidP="00202498">
            <w:pPr>
              <w:pStyle w:val="Bibliography"/>
              <w:ind w:firstLine="308"/>
              <w:rPr>
                <w:lang w:val="en-GB"/>
              </w:rPr>
            </w:pPr>
            <w:r w:rsidRPr="00202498">
              <w:rPr>
                <w:lang w:val="en-GB"/>
              </w:rPr>
              <w:t xml:space="preserve">122. Broesch, T., &amp; Bryant, G. A. (2018). Fathers’ Infant-Directed Speech in a Small-Scale Society. </w:t>
            </w:r>
            <w:r w:rsidRPr="00202498">
              <w:rPr>
                <w:i/>
                <w:iCs/>
                <w:lang w:val="en-GB"/>
              </w:rPr>
              <w:t>Child Development</w:t>
            </w:r>
            <w:r w:rsidRPr="00202498">
              <w:rPr>
                <w:lang w:val="en-GB"/>
              </w:rPr>
              <w:t xml:space="preserve">, </w:t>
            </w:r>
            <w:r w:rsidRPr="00202498">
              <w:rPr>
                <w:i/>
                <w:iCs/>
                <w:lang w:val="en-GB"/>
              </w:rPr>
              <w:t>89</w:t>
            </w:r>
            <w:r w:rsidRPr="00202498">
              <w:rPr>
                <w:lang w:val="en-GB"/>
              </w:rPr>
              <w:t>(2), e29–e41. https://doi.org/10.1111/cdev.12768</w:t>
            </w:r>
          </w:p>
          <w:p w14:paraId="26C9494B" w14:textId="77777777" w:rsidR="00202498" w:rsidRPr="00202498" w:rsidRDefault="00202498" w:rsidP="00202498">
            <w:pPr>
              <w:pStyle w:val="Bibliography"/>
              <w:ind w:firstLine="308"/>
              <w:rPr>
                <w:lang w:val="en-GB"/>
              </w:rPr>
            </w:pPr>
            <w:r w:rsidRPr="00202498">
              <w:rPr>
                <w:lang w:val="en-GB"/>
              </w:rPr>
              <w:t xml:space="preserve">123. Albers, C., &amp; Lakens, D. (2018). When power analyses based on pilot data are biased: Inaccurate effect size estimators and follow-up bias. </w:t>
            </w:r>
            <w:r w:rsidRPr="00202498">
              <w:rPr>
                <w:i/>
                <w:iCs/>
                <w:lang w:val="en-GB"/>
              </w:rPr>
              <w:t>Journal of Experimental Social Psychology</w:t>
            </w:r>
            <w:r w:rsidRPr="00202498">
              <w:rPr>
                <w:lang w:val="en-GB"/>
              </w:rPr>
              <w:t xml:space="preserve">, </w:t>
            </w:r>
            <w:r w:rsidRPr="00202498">
              <w:rPr>
                <w:i/>
                <w:iCs/>
                <w:lang w:val="en-GB"/>
              </w:rPr>
              <w:t>74</w:t>
            </w:r>
            <w:r w:rsidRPr="00202498">
              <w:rPr>
                <w:lang w:val="en-GB"/>
              </w:rPr>
              <w:t>, 187–195. https://doi.org/10.1016/j.jesp.2017.09.004</w:t>
            </w:r>
          </w:p>
          <w:p w14:paraId="130D7906" w14:textId="77777777" w:rsidR="00202498" w:rsidRPr="00202498" w:rsidRDefault="00202498" w:rsidP="00202498">
            <w:pPr>
              <w:pStyle w:val="Bibliography"/>
              <w:ind w:firstLine="308"/>
              <w:rPr>
                <w:lang w:val="en-GB"/>
              </w:rPr>
            </w:pPr>
            <w:r w:rsidRPr="00202498">
              <w:rPr>
                <w:lang w:val="en-GB"/>
              </w:rPr>
              <w:t xml:space="preserve">124. Lakens, D. (2022). Sample Size Justification. </w:t>
            </w:r>
            <w:r w:rsidRPr="00202498">
              <w:rPr>
                <w:i/>
                <w:iCs/>
                <w:lang w:val="en-GB"/>
              </w:rPr>
              <w:t>Collabra: Psychology</w:t>
            </w:r>
            <w:r w:rsidRPr="00202498">
              <w:rPr>
                <w:lang w:val="en-GB"/>
              </w:rPr>
              <w:t xml:space="preserve">, </w:t>
            </w:r>
            <w:r w:rsidRPr="00202498">
              <w:rPr>
                <w:i/>
                <w:iCs/>
                <w:lang w:val="en-GB"/>
              </w:rPr>
              <w:t>8</w:t>
            </w:r>
            <w:r w:rsidRPr="00202498">
              <w:rPr>
                <w:lang w:val="en-GB"/>
              </w:rPr>
              <w:t>(1), 33267. https://doi.org/10.1525/collabra.33267</w:t>
            </w:r>
          </w:p>
          <w:p w14:paraId="06E88631" w14:textId="77777777" w:rsidR="00202498" w:rsidRPr="00202498" w:rsidRDefault="00202498" w:rsidP="00202498">
            <w:pPr>
              <w:pStyle w:val="Bibliography"/>
              <w:ind w:firstLine="308"/>
              <w:rPr>
                <w:lang w:val="en-GB"/>
              </w:rPr>
            </w:pPr>
            <w:r w:rsidRPr="00202498">
              <w:rPr>
                <w:lang w:val="en-GB"/>
              </w:rPr>
              <w:t xml:space="preserve">125. Caldwell, A. R. (2022). </w:t>
            </w:r>
            <w:r w:rsidRPr="00202498">
              <w:rPr>
                <w:i/>
                <w:iCs/>
                <w:lang w:val="en-GB"/>
              </w:rPr>
              <w:t>Exploring Equivalence Testing with the Updated TOSTER R Package</w:t>
            </w:r>
            <w:r w:rsidRPr="00202498">
              <w:rPr>
                <w:lang w:val="en-GB"/>
              </w:rPr>
              <w:t>. Center for Open Science. https://doi.org/10.31234/osf.io/ty8de</w:t>
            </w:r>
          </w:p>
          <w:p w14:paraId="2170C352" w14:textId="77777777" w:rsidR="00202498" w:rsidRPr="00202498" w:rsidRDefault="00202498" w:rsidP="00202498">
            <w:pPr>
              <w:pStyle w:val="Bibliography"/>
              <w:ind w:firstLine="308"/>
              <w:rPr>
                <w:lang w:val="en-GB"/>
              </w:rPr>
            </w:pPr>
            <w:r w:rsidRPr="00202498">
              <w:rPr>
                <w:lang w:val="en-GB"/>
              </w:rPr>
              <w:t xml:space="preserve">126. Lakens, D. (2017). Equivalence Tests: A Practical Primer for </w:t>
            </w:r>
            <w:r w:rsidRPr="00202498">
              <w:rPr>
                <w:i/>
                <w:iCs/>
                <w:lang w:val="en-GB"/>
              </w:rPr>
              <w:t>t</w:t>
            </w:r>
            <w:r w:rsidRPr="00202498">
              <w:rPr>
                <w:lang w:val="en-GB"/>
              </w:rPr>
              <w:t xml:space="preserve"> Tests, Correlations, and Meta-Analyses. </w:t>
            </w:r>
            <w:r w:rsidRPr="00202498">
              <w:rPr>
                <w:i/>
                <w:iCs/>
                <w:lang w:val="en-GB"/>
              </w:rPr>
              <w:t>Social Psychological and Personality Science</w:t>
            </w:r>
            <w:r w:rsidRPr="00202498">
              <w:rPr>
                <w:lang w:val="en-GB"/>
              </w:rPr>
              <w:t xml:space="preserve">, </w:t>
            </w:r>
            <w:r w:rsidRPr="00202498">
              <w:rPr>
                <w:i/>
                <w:iCs/>
                <w:lang w:val="en-GB"/>
              </w:rPr>
              <w:t>8</w:t>
            </w:r>
            <w:r w:rsidRPr="00202498">
              <w:rPr>
                <w:lang w:val="en-GB"/>
              </w:rPr>
              <w:t>(4), 355–362. https://doi.org/10.1177/1948550617697177</w:t>
            </w:r>
          </w:p>
          <w:p w14:paraId="7E01D922" w14:textId="77777777" w:rsidR="00202498" w:rsidRPr="00202498" w:rsidRDefault="00202498" w:rsidP="00202498">
            <w:pPr>
              <w:pStyle w:val="Bibliography"/>
              <w:ind w:firstLine="308"/>
              <w:rPr>
                <w:lang w:val="en-GB"/>
              </w:rPr>
            </w:pPr>
            <w:r w:rsidRPr="00202498">
              <w:rPr>
                <w:lang w:val="en-GB"/>
              </w:rPr>
              <w:lastRenderedPageBreak/>
              <w:t xml:space="preserve">127. Heilmann, J., Weismer, S. E., Evans, J., &amp; Hollar, C. (2005). Utility of the MacArthur—Bates Communicative Development Inventory in Identifying Language Abilities of Late-Talking and Typically Developing Toddlers. </w:t>
            </w:r>
            <w:r w:rsidRPr="00202498">
              <w:rPr>
                <w:i/>
                <w:iCs/>
                <w:lang w:val="en-GB"/>
              </w:rPr>
              <w:t>American Journal of Speech-Language Pathology</w:t>
            </w:r>
            <w:r w:rsidRPr="00202498">
              <w:rPr>
                <w:lang w:val="en-GB"/>
              </w:rPr>
              <w:t xml:space="preserve">, </w:t>
            </w:r>
            <w:r w:rsidRPr="00202498">
              <w:rPr>
                <w:i/>
                <w:iCs/>
                <w:lang w:val="en-GB"/>
              </w:rPr>
              <w:t>14</w:t>
            </w:r>
            <w:r w:rsidRPr="00202498">
              <w:rPr>
                <w:lang w:val="en-GB"/>
              </w:rPr>
              <w:t>(1), 40–51. https://doi.org/10.1044/1058-0360(2005/006)</w:t>
            </w:r>
          </w:p>
          <w:p w14:paraId="27F3DDF8" w14:textId="77777777" w:rsidR="00202498" w:rsidRPr="00202498" w:rsidRDefault="00202498" w:rsidP="00202498">
            <w:pPr>
              <w:pStyle w:val="Bibliography"/>
              <w:ind w:firstLine="308"/>
              <w:rPr>
                <w:lang w:val="en-GB"/>
              </w:rPr>
            </w:pPr>
            <w:r w:rsidRPr="00202498">
              <w:rPr>
                <w:lang w:val="en-GB"/>
              </w:rPr>
              <w:t xml:space="preserve">128. Politimou, N., Stewart, L., Müllensiefen, D., &amp; Franco, F. (2018). Music@Home: A novel instrument to assess the home musical environment in the early years. </w:t>
            </w:r>
            <w:r w:rsidRPr="00202498">
              <w:rPr>
                <w:i/>
                <w:iCs/>
                <w:lang w:val="en-GB"/>
              </w:rPr>
              <w:t>PLOS ONE</w:t>
            </w:r>
            <w:r w:rsidRPr="00202498">
              <w:rPr>
                <w:lang w:val="en-GB"/>
              </w:rPr>
              <w:t xml:space="preserve">, </w:t>
            </w:r>
            <w:r w:rsidRPr="00202498">
              <w:rPr>
                <w:i/>
                <w:iCs/>
                <w:lang w:val="en-GB"/>
              </w:rPr>
              <w:t>13</w:t>
            </w:r>
            <w:r w:rsidRPr="00202498">
              <w:rPr>
                <w:lang w:val="en-GB"/>
              </w:rPr>
              <w:t>(4), e0193819. https://doi.org/10.1371/journal.pone.0193819</w:t>
            </w:r>
          </w:p>
          <w:p w14:paraId="51974D3B" w14:textId="77777777" w:rsidR="00202498" w:rsidRPr="00202498" w:rsidRDefault="00202498" w:rsidP="00202498">
            <w:pPr>
              <w:pStyle w:val="Bibliography"/>
              <w:ind w:firstLine="308"/>
              <w:rPr>
                <w:lang w:val="en-GB"/>
              </w:rPr>
            </w:pPr>
            <w:r w:rsidRPr="00202498">
              <w:rPr>
                <w:lang w:val="en-GB"/>
              </w:rPr>
              <w:t xml:space="preserve">129. Kathios, N., Lopez, K. L., Gabard-Durnam, L. J., &amp; Loui, P. (2024). Music@Home–Retrospective: A new measure to retrospectively assess childhood home musical environments. </w:t>
            </w:r>
            <w:r w:rsidRPr="00202498">
              <w:rPr>
                <w:i/>
                <w:iCs/>
                <w:lang w:val="en-GB"/>
              </w:rPr>
              <w:t>Behavior Research Methods</w:t>
            </w:r>
            <w:r w:rsidRPr="00202498">
              <w:rPr>
                <w:lang w:val="en-GB"/>
              </w:rPr>
              <w:t xml:space="preserve">, </w:t>
            </w:r>
            <w:r w:rsidRPr="00202498">
              <w:rPr>
                <w:i/>
                <w:iCs/>
                <w:lang w:val="en-GB"/>
              </w:rPr>
              <w:t>56</w:t>
            </w:r>
            <w:r w:rsidRPr="00202498">
              <w:rPr>
                <w:lang w:val="en-GB"/>
              </w:rPr>
              <w:t>(7), 8038–8056. https://doi.org/10.3758/s13428-024-02469-2</w:t>
            </w:r>
          </w:p>
          <w:p w14:paraId="347ABDFB" w14:textId="77777777" w:rsidR="00202498" w:rsidRDefault="00202498" w:rsidP="00202498">
            <w:pPr>
              <w:pStyle w:val="Bibliography"/>
              <w:ind w:firstLine="308"/>
            </w:pPr>
            <w:r w:rsidRPr="00202498">
              <w:rPr>
                <w:lang w:val="en-GB"/>
              </w:rPr>
              <w:t xml:space="preserve">130. Jackson-Maldonado, D., Marchman, V. A., &amp; Fernald, L. C. H. (2013). Short-form versions of the Spanish MacArthur–Bates Communicative Development Inventories. </w:t>
            </w:r>
            <w:r>
              <w:rPr>
                <w:i/>
                <w:iCs/>
              </w:rPr>
              <w:t>Applied Psycholinguistics</w:t>
            </w:r>
            <w:r>
              <w:t xml:space="preserve">, </w:t>
            </w:r>
            <w:r>
              <w:rPr>
                <w:i/>
                <w:iCs/>
              </w:rPr>
              <w:t>34</w:t>
            </w:r>
            <w:r>
              <w:t>(4), 837–868. https://doi.org/10.1017/S0142716412000045</w:t>
            </w:r>
          </w:p>
          <w:p w14:paraId="63D70F16" w14:textId="77777777" w:rsidR="00202498" w:rsidRDefault="00202498" w:rsidP="00202498">
            <w:pPr>
              <w:pStyle w:val="Bibliography"/>
              <w:ind w:firstLine="308"/>
            </w:pPr>
            <w:r>
              <w:t xml:space="preserve">131. Lara Díaz, M. F., Gálvez Bohórquez, D. M., Gómez Fonseca, Á. M., Mesa Guechá, C., &amp; Sellabona, E. S. (2011). Normativización del Inventario del Desarrollo Comunicativo MacArthur-Bates al español, Colombia. </w:t>
            </w:r>
            <w:r>
              <w:rPr>
                <w:i/>
                <w:iCs/>
              </w:rPr>
              <w:t>Revista Latinoamericana de Psicología</w:t>
            </w:r>
            <w:r>
              <w:t xml:space="preserve">, </w:t>
            </w:r>
            <w:r>
              <w:rPr>
                <w:i/>
                <w:iCs/>
              </w:rPr>
              <w:t>43</w:t>
            </w:r>
            <w:r>
              <w:t>(2), 241–254. http://www.scielo.org.co/scielo.php?script=sci_abstract&amp;pid=S0120-05342011000200004&amp;lng=en&amp;nrm=iso&amp;tlng=es</w:t>
            </w:r>
          </w:p>
          <w:p w14:paraId="4C6AB514" w14:textId="77777777" w:rsidR="00202498" w:rsidRPr="00202498" w:rsidRDefault="00202498" w:rsidP="00202498">
            <w:pPr>
              <w:pStyle w:val="Bibliography"/>
              <w:ind w:firstLine="308"/>
              <w:rPr>
                <w:lang w:val="en-GB"/>
              </w:rPr>
            </w:pPr>
            <w:r w:rsidRPr="00202498">
              <w:rPr>
                <w:lang w:val="en-GB"/>
              </w:rPr>
              <w:t xml:space="preserve">132. Diekema, D. S. (2009). Ethical Issues in Research Involving Infants. </w:t>
            </w:r>
            <w:r w:rsidRPr="00202498">
              <w:rPr>
                <w:i/>
                <w:iCs/>
                <w:lang w:val="en-GB"/>
              </w:rPr>
              <w:t>Seminars in Perinatology</w:t>
            </w:r>
            <w:r w:rsidRPr="00202498">
              <w:rPr>
                <w:lang w:val="en-GB"/>
              </w:rPr>
              <w:t xml:space="preserve">, </w:t>
            </w:r>
            <w:r w:rsidRPr="00202498">
              <w:rPr>
                <w:i/>
                <w:iCs/>
                <w:lang w:val="en-GB"/>
              </w:rPr>
              <w:t>33</w:t>
            </w:r>
            <w:r w:rsidRPr="00202498">
              <w:rPr>
                <w:lang w:val="en-GB"/>
              </w:rPr>
              <w:t>(6), 364–371. https://doi.org/10.1053/j.semperi.2009.07.003</w:t>
            </w:r>
          </w:p>
          <w:p w14:paraId="34B1A44C" w14:textId="77777777" w:rsidR="00202498" w:rsidRPr="00202498" w:rsidRDefault="00202498" w:rsidP="00202498">
            <w:pPr>
              <w:pStyle w:val="Bibliography"/>
              <w:ind w:firstLine="308"/>
              <w:rPr>
                <w:lang w:val="en-GB"/>
              </w:rPr>
            </w:pPr>
            <w:r w:rsidRPr="00202498">
              <w:rPr>
                <w:lang w:val="en-GB"/>
              </w:rPr>
              <w:t xml:space="preserve">133. Salamon, A. (2015). Ethical symmetry in participatory research with infants. </w:t>
            </w:r>
            <w:r w:rsidRPr="00202498">
              <w:rPr>
                <w:i/>
                <w:iCs/>
                <w:lang w:val="en-GB"/>
              </w:rPr>
              <w:t>Early Child Development and Care</w:t>
            </w:r>
            <w:r w:rsidRPr="00202498">
              <w:rPr>
                <w:lang w:val="en-GB"/>
              </w:rPr>
              <w:t xml:space="preserve">, </w:t>
            </w:r>
            <w:r w:rsidRPr="00202498">
              <w:rPr>
                <w:i/>
                <w:iCs/>
                <w:lang w:val="en-GB"/>
              </w:rPr>
              <w:t>185</w:t>
            </w:r>
            <w:r w:rsidRPr="00202498">
              <w:rPr>
                <w:lang w:val="en-GB"/>
              </w:rPr>
              <w:t>(6), 1016–1030. https://doi.org/10.1080/03004430.2014.975224</w:t>
            </w:r>
          </w:p>
          <w:p w14:paraId="1DF8BDE5" w14:textId="77777777" w:rsidR="00202498" w:rsidRPr="00202498" w:rsidRDefault="00202498" w:rsidP="00202498">
            <w:pPr>
              <w:pStyle w:val="Bibliography"/>
              <w:ind w:firstLine="308"/>
              <w:rPr>
                <w:lang w:val="en-GB"/>
              </w:rPr>
            </w:pPr>
            <w:r w:rsidRPr="00202498">
              <w:rPr>
                <w:lang w:val="en-GB"/>
              </w:rPr>
              <w:t xml:space="preserve">134. Frank, M. C., Alcock, K. J., Arias-Trejo, N., Aschersleben, G., Baldwin, D., Barbu, S., Bergelson, E., Bergmann, C., Black, A. K., Blything, R., Böhland, M. P., Bolitho, P., Borovsky, A., Brady, S. M., Braun, B., Brown, A., Byers-Heinlein, K., Campbell, L. E., Cashon, C., … Soderstrom, M. (2020). Quantifying Sources of Variability in Infancy Research Using the Infant-Directed-Speech Preference. </w:t>
            </w:r>
            <w:r w:rsidRPr="00202498">
              <w:rPr>
                <w:i/>
                <w:iCs/>
                <w:lang w:val="en-GB"/>
              </w:rPr>
              <w:t>Advances in Methods and Practices in Psychological Science</w:t>
            </w:r>
            <w:r w:rsidRPr="00202498">
              <w:rPr>
                <w:lang w:val="en-GB"/>
              </w:rPr>
              <w:t xml:space="preserve">, </w:t>
            </w:r>
            <w:r w:rsidRPr="00202498">
              <w:rPr>
                <w:i/>
                <w:iCs/>
                <w:lang w:val="en-GB"/>
              </w:rPr>
              <w:t>3</w:t>
            </w:r>
            <w:r w:rsidRPr="00202498">
              <w:rPr>
                <w:lang w:val="en-GB"/>
              </w:rPr>
              <w:t>(1), 24–52. https://doi.org/10.1177/2515245919900809</w:t>
            </w:r>
          </w:p>
          <w:p w14:paraId="6A99BC33" w14:textId="77777777" w:rsidR="00202498" w:rsidRPr="00202498" w:rsidRDefault="00202498" w:rsidP="00202498">
            <w:pPr>
              <w:pStyle w:val="Bibliography"/>
              <w:ind w:firstLine="308"/>
              <w:rPr>
                <w:lang w:val="en-GB"/>
              </w:rPr>
            </w:pPr>
            <w:r w:rsidRPr="00202498">
              <w:rPr>
                <w:lang w:val="en-GB"/>
              </w:rPr>
              <w:lastRenderedPageBreak/>
              <w:t xml:space="preserve">135. Alviar, C., Sahoo, M., Edwards, L. A., Jones, W., Klin, A., &amp; Lense, M. (2023). Infant-directed song potentiates infants’ selective attention to adults’ mouths over the first year of life. </w:t>
            </w:r>
            <w:r w:rsidRPr="00202498">
              <w:rPr>
                <w:i/>
                <w:iCs/>
                <w:lang w:val="en-GB"/>
              </w:rPr>
              <w:t>Developmental Science</w:t>
            </w:r>
            <w:r w:rsidRPr="00202498">
              <w:rPr>
                <w:lang w:val="en-GB"/>
              </w:rPr>
              <w:t xml:space="preserve">, </w:t>
            </w:r>
            <w:r w:rsidRPr="00202498">
              <w:rPr>
                <w:i/>
                <w:iCs/>
                <w:lang w:val="en-GB"/>
              </w:rPr>
              <w:t>26</w:t>
            </w:r>
            <w:r w:rsidRPr="00202498">
              <w:rPr>
                <w:lang w:val="en-GB"/>
              </w:rPr>
              <w:t>(5), e13359. https://doi.org/10.1111/desc.13359</w:t>
            </w:r>
          </w:p>
          <w:p w14:paraId="26D5F1B5" w14:textId="77777777" w:rsidR="00202498" w:rsidRPr="00202498" w:rsidRDefault="00202498" w:rsidP="00202498">
            <w:pPr>
              <w:pStyle w:val="Bibliography"/>
              <w:ind w:firstLine="308"/>
              <w:rPr>
                <w:lang w:val="en-GB"/>
              </w:rPr>
            </w:pPr>
            <w:r w:rsidRPr="00202498">
              <w:rPr>
                <w:lang w:val="en-GB"/>
              </w:rPr>
              <w:t xml:space="preserve">136. Kulke, L., Atkinson, J., &amp; Braddick, O. (2015). Automatic Detection of Attention Shifts in Infancy: Eye Tracking in the Fixation Shift Paradigm. </w:t>
            </w:r>
            <w:r w:rsidRPr="00202498">
              <w:rPr>
                <w:i/>
                <w:iCs/>
                <w:lang w:val="en-GB"/>
              </w:rPr>
              <w:t>PLOS ONE</w:t>
            </w:r>
            <w:r w:rsidRPr="00202498">
              <w:rPr>
                <w:lang w:val="en-GB"/>
              </w:rPr>
              <w:t xml:space="preserve">, </w:t>
            </w:r>
            <w:r w:rsidRPr="00202498">
              <w:rPr>
                <w:i/>
                <w:iCs/>
                <w:lang w:val="en-GB"/>
              </w:rPr>
              <w:t>10</w:t>
            </w:r>
            <w:r w:rsidRPr="00202498">
              <w:rPr>
                <w:lang w:val="en-GB"/>
              </w:rPr>
              <w:t>(12), e0142505. https://doi.org/10.1371/journal.pone.0142505</w:t>
            </w:r>
          </w:p>
          <w:p w14:paraId="78A665EC" w14:textId="77777777" w:rsidR="00202498" w:rsidRPr="00202498" w:rsidRDefault="00202498" w:rsidP="00202498">
            <w:pPr>
              <w:pStyle w:val="Bibliography"/>
              <w:ind w:firstLine="308"/>
              <w:rPr>
                <w:lang w:val="en-GB"/>
              </w:rPr>
            </w:pPr>
            <w:r w:rsidRPr="00202498">
              <w:rPr>
                <w:lang w:val="en-GB"/>
              </w:rPr>
              <w:t xml:space="preserve">137. Meyer, M., van Schaik, J. E., Poli, F., &amp; Hunnius, S. (2023). How infant-directed actions enhance infants’ attention, learning, and exploration: Evidence from EEG and computational modeling. </w:t>
            </w:r>
            <w:r w:rsidRPr="00202498">
              <w:rPr>
                <w:i/>
                <w:iCs/>
                <w:lang w:val="en-GB"/>
              </w:rPr>
              <w:t>Developmental Science</w:t>
            </w:r>
            <w:r w:rsidRPr="00202498">
              <w:rPr>
                <w:lang w:val="en-GB"/>
              </w:rPr>
              <w:t xml:space="preserve">, </w:t>
            </w:r>
            <w:r w:rsidRPr="00202498">
              <w:rPr>
                <w:i/>
                <w:iCs/>
                <w:lang w:val="en-GB"/>
              </w:rPr>
              <w:t>26</w:t>
            </w:r>
            <w:r w:rsidRPr="00202498">
              <w:rPr>
                <w:lang w:val="en-GB"/>
              </w:rPr>
              <w:t>(1), e13259. https://doi.org/10.1111/desc.13259</w:t>
            </w:r>
          </w:p>
          <w:p w14:paraId="22A0FF47" w14:textId="77777777" w:rsidR="00202498" w:rsidRPr="00202498" w:rsidRDefault="00202498" w:rsidP="00202498">
            <w:pPr>
              <w:pStyle w:val="Bibliography"/>
              <w:ind w:firstLine="308"/>
              <w:rPr>
                <w:lang w:val="en-GB"/>
              </w:rPr>
            </w:pPr>
            <w:r w:rsidRPr="00202498">
              <w:rPr>
                <w:lang w:val="en-GB"/>
              </w:rPr>
              <w:t xml:space="preserve">138. Chambers, C. D., &amp; Tzavella, L. (2022). The past, present and future of Registered Reports. </w:t>
            </w:r>
            <w:r w:rsidRPr="00202498">
              <w:rPr>
                <w:i/>
                <w:iCs/>
                <w:lang w:val="en-GB"/>
              </w:rPr>
              <w:t>Nature Human Behaviour</w:t>
            </w:r>
            <w:r w:rsidRPr="00202498">
              <w:rPr>
                <w:lang w:val="en-GB"/>
              </w:rPr>
              <w:t xml:space="preserve">, </w:t>
            </w:r>
            <w:r w:rsidRPr="00202498">
              <w:rPr>
                <w:i/>
                <w:iCs/>
                <w:lang w:val="en-GB"/>
              </w:rPr>
              <w:t>6</w:t>
            </w:r>
            <w:r w:rsidRPr="00202498">
              <w:rPr>
                <w:lang w:val="en-GB"/>
              </w:rPr>
              <w:t>(1), Article 1. https://doi.org/10.1038/s41562-021-01193-7</w:t>
            </w:r>
          </w:p>
          <w:p w14:paraId="156E1A0B" w14:textId="77777777" w:rsidR="00202498" w:rsidRDefault="00202498" w:rsidP="00202498">
            <w:pPr>
              <w:pStyle w:val="Bibliography"/>
              <w:ind w:firstLine="308"/>
            </w:pPr>
            <w:r w:rsidRPr="00202498">
              <w:rPr>
                <w:lang w:val="en-GB"/>
              </w:rPr>
              <w:t xml:space="preserve">139. Kiyonaga, A., &amp; Scimeca, J. M. (2019). Practical Considerations for Navigating Registered Reports. </w:t>
            </w:r>
            <w:r>
              <w:rPr>
                <w:i/>
                <w:iCs/>
              </w:rPr>
              <w:t>Trends in Neurosciences</w:t>
            </w:r>
            <w:r>
              <w:t xml:space="preserve">, </w:t>
            </w:r>
            <w:r>
              <w:rPr>
                <w:i/>
                <w:iCs/>
              </w:rPr>
              <w:t>42</w:t>
            </w:r>
            <w:r>
              <w:t>(9), 568–572. https://doi.org/10.1016/j.tins.2019.07.003</w:t>
            </w:r>
          </w:p>
          <w:p w14:paraId="6641F1B7" w14:textId="120D5FB2" w:rsidR="00D271B3" w:rsidRPr="009A0E8D" w:rsidRDefault="00C568B2" w:rsidP="0B44BD26">
            <w:pPr>
              <w:pStyle w:val="Bibliography"/>
              <w:ind w:left="0" w:firstLine="308"/>
              <w:rPr>
                <w:rFonts w:ascii="Avenir Next LT Pro" w:eastAsia="Avenir Next LT Pro" w:hAnsi="Avenir Next LT Pro" w:cs="Avenir Next LT Pro"/>
              </w:rPr>
            </w:pPr>
            <w:r>
              <w:fldChar w:fldCharType="end"/>
            </w:r>
          </w:p>
        </w:tc>
      </w:tr>
    </w:tbl>
    <w:p w14:paraId="75612DC5" w14:textId="77777777" w:rsidR="00844492" w:rsidRPr="009A0E8D" w:rsidRDefault="00844492" w:rsidP="005C49E6">
      <w:pPr>
        <w:rPr>
          <w:rFonts w:ascii="Avenir Next LT Pro" w:eastAsia="Avenir Next LT Pro" w:hAnsi="Avenir Next LT Pro" w:cs="Avenir Next LT Pro"/>
          <w:lang w:val="en-GB"/>
        </w:rPr>
      </w:pPr>
    </w:p>
    <w:sectPr w:rsidR="00844492" w:rsidRPr="009A0E8D" w:rsidSect="000B7B2D">
      <w:headerReference w:type="even" r:id="rId25"/>
      <w:headerReference w:type="default" r:id="rId26"/>
      <w:footerReference w:type="even" r:id="rId27"/>
      <w:footerReference w:type="default" r:id="rId28"/>
      <w:headerReference w:type="first" r:id="rId29"/>
      <w:footerReference w:type="first" r:id="rId30"/>
      <w:pgSz w:w="12240" w:h="15840"/>
      <w:pgMar w:top="1620" w:right="1080" w:bottom="993" w:left="108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F247" w14:textId="77777777" w:rsidR="00EC6F44" w:rsidRDefault="00EC6F44">
      <w:pPr>
        <w:spacing w:line="240" w:lineRule="auto"/>
        <w:ind w:left="0"/>
      </w:pPr>
      <w:r>
        <w:separator/>
      </w:r>
    </w:p>
    <w:p w14:paraId="51EF362E" w14:textId="77777777" w:rsidR="00EC6F44" w:rsidRDefault="00EC6F44">
      <w:pPr>
        <w:ind w:left="0"/>
      </w:pPr>
    </w:p>
  </w:endnote>
  <w:endnote w:type="continuationSeparator" w:id="0">
    <w:p w14:paraId="18A4853C" w14:textId="77777777" w:rsidR="00EC6F44" w:rsidRDefault="00EC6F44">
      <w:pPr>
        <w:spacing w:line="240" w:lineRule="auto"/>
        <w:ind w:left="0"/>
      </w:pPr>
      <w:r>
        <w:continuationSeparator/>
      </w:r>
    </w:p>
    <w:p w14:paraId="7A980BEF" w14:textId="77777777" w:rsidR="00EC6F44" w:rsidRDefault="00EC6F44">
      <w:pPr>
        <w:ind w:left="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Avenir Book">
    <w:panose1 w:val="020B0503020203020204"/>
    <w:charset w:val="00"/>
    <w:family w:val="swiss"/>
    <w:notTrueType/>
    <w:pitch w:val="variable"/>
    <w:sig w:usb0="80002027" w:usb1="80000000" w:usb2="00000008" w:usb3="00000000" w:csb0="0000004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embedRegular r:id="rId1" w:fontKey="{D845EDC4-0E78-41E6-A5A0-094910B58CFB}"/>
    <w:embedItalic r:id="rId2" w:fontKey="{7320531A-4284-45BC-87A4-70E3B8187347}"/>
    <w:embedBoldItalic r:id="rId3" w:fontKey="{315ED38B-5B15-4F0E-A2B9-34D5037D1863}"/>
  </w:font>
  <w:font w:name="MS Gothic">
    <w:altName w:val="ＭＳ ゴシック"/>
    <w:panose1 w:val="020B0609070205080204"/>
    <w:charset w:val="80"/>
    <w:family w:val="modern"/>
    <w:pitch w:val="fixed"/>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Helvetica">
    <w:panose1 w:val="020B0604020202020204"/>
    <w:charset w:val="00"/>
    <w:family w:val="swiss"/>
    <w:pitch w:val="variable"/>
    <w:sig w:usb0="E0002EFF" w:usb1="C000785B" w:usb2="00000009" w:usb3="00000000" w:csb0="000001FF" w:csb1="00000000"/>
    <w:embedRegular r:id="rId4" w:fontKey="{24124356-C77F-4EE7-B195-7F5248389E94}"/>
  </w:font>
  <w:font w:name="Georgia">
    <w:panose1 w:val="02040502050405020303"/>
    <w:charset w:val="00"/>
    <w:family w:val="roman"/>
    <w:pitch w:val="variable"/>
    <w:sig w:usb0="00000287" w:usb1="00000000" w:usb2="00000000" w:usb3="00000000" w:csb0="0000009F" w:csb1="00000000"/>
    <w:embedItalic r:id="rId5" w:fontKey="{4FE7A3AA-48EC-4775-B6C5-CF0EB0FCBC4C}"/>
  </w:font>
  <w:font w:name="Tahoma">
    <w:panose1 w:val="020B0604030504040204"/>
    <w:charset w:val="00"/>
    <w:family w:val="swiss"/>
    <w:pitch w:val="variable"/>
    <w:sig w:usb0="E1002EFF" w:usb1="C000605B" w:usb2="00000029" w:usb3="00000000" w:csb0="000101FF" w:csb1="00000000"/>
    <w:embedRegular r:id="rId6" w:fontKey="{334A123E-4930-4CD5-8605-3B39BA250BA3}"/>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embedRegular r:id="rId7" w:fontKey="{B8A2689A-D44F-485F-9BEF-C45012992C39}"/>
  </w:font>
  <w:font w:name="Avenir Next LT Pro">
    <w:charset w:val="00"/>
    <w:family w:val="swiss"/>
    <w:pitch w:val="variable"/>
    <w:sig w:usb0="800000EF" w:usb1="5000204A" w:usb2="00000000" w:usb3="00000000" w:csb0="00000093" w:csb1="00000000"/>
    <w:embedRegular r:id="rId8" w:fontKey="{EB0835AF-10A8-4C67-96F2-C0630F49726B}"/>
    <w:embedBold r:id="rId9" w:fontKey="{FF3BCD92-4A6A-4A24-B59D-F01C4AA76BBE}"/>
    <w:embedItalic r:id="rId10" w:fontKey="{409390DF-CAC6-4129-A191-00DBF54228EE}"/>
    <w:embedBoldItalic r:id="rId11" w:fontKey="{AE9DA31C-5F04-4A70-8067-CD384645AF1A}"/>
  </w:font>
  <w:font w:name="Calibri">
    <w:panose1 w:val="020F0502020204030204"/>
    <w:charset w:val="00"/>
    <w:family w:val="swiss"/>
    <w:pitch w:val="variable"/>
    <w:sig w:usb0="E4002EFF" w:usb1="C200247B" w:usb2="00000009" w:usb3="00000000" w:csb0="000001FF" w:csb1="00000000"/>
    <w:embedRegular r:id="rId12" w:fontKey="{98D8991E-E3B5-4A69-87D0-2B87AE9E080D}"/>
    <w:embedBold r:id="rId13" w:fontKey="{C9B928F4-3D98-45FE-B923-A92CC19656B8}"/>
  </w:font>
  <w:font w:name="Cambria Math">
    <w:panose1 w:val="02040503050406030204"/>
    <w:charset w:val="00"/>
    <w:family w:val="roman"/>
    <w:pitch w:val="variable"/>
    <w:sig w:usb0="E00006FF" w:usb1="420024FF" w:usb2="02000000" w:usb3="00000000" w:csb0="0000019F" w:csb1="00000000"/>
    <w:embedRegular r:id="rId14" w:fontKey="{20FB0B3E-C689-4631-8424-B1875FE18EFE}"/>
    <w:embedItalic r:id="rId15" w:fontKey="{59F0C385-5EDA-4D1A-9092-0DAE40E28724}"/>
  </w:font>
  <w:font w:name="Century Gothic">
    <w:panose1 w:val="020B0502020202020204"/>
    <w:charset w:val="00"/>
    <w:family w:val="swiss"/>
    <w:pitch w:val="variable"/>
    <w:sig w:usb0="00000287" w:usb1="00000000" w:usb2="00000000" w:usb3="00000000" w:csb0="0000009F" w:csb1="00000000"/>
    <w:embedRegular r:id="rId16" w:fontKey="{7A2B4AFF-4600-4822-91A0-D9DE9DBD7972}"/>
    <w:embedBold r:id="rId17" w:fontKey="{F5664C2E-CDD7-4F2A-9AD8-23EB68A35156}"/>
  </w:font>
  <w:font w:name="Candara">
    <w:panose1 w:val="020E0502030303020204"/>
    <w:charset w:val="00"/>
    <w:family w:val="swiss"/>
    <w:pitch w:val="variable"/>
    <w:sig w:usb0="A00002EF" w:usb1="4000A44B" w:usb2="00000000" w:usb3="00000000" w:csb0="0000019F" w:csb1="00000000"/>
    <w:embedRegular r:id="rId18" w:fontKey="{982D9C51-809F-4A5F-808A-FDCEDC9D19F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3DA3" w14:textId="77777777" w:rsidR="00844492" w:rsidRDefault="00844492">
    <w:pPr>
      <w:spacing w:line="240" w:lineRule="auto"/>
      <w:ind w:left="0"/>
      <w:rPr>
        <w:color w:val="000000"/>
      </w:rPr>
    </w:pPr>
  </w:p>
  <w:p w14:paraId="409A59BC" w14:textId="77777777" w:rsidR="004E44A6" w:rsidRDefault="004E44A6">
    <w:pP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6082" w14:textId="77777777" w:rsidR="00844492" w:rsidRDefault="00495781" w:rsidP="000B7B2D">
    <w:pPr>
      <w:spacing w:after="0" w:line="240" w:lineRule="auto"/>
      <w:ind w:firstLine="239"/>
      <w:jc w:val="right"/>
      <w:rPr>
        <w:rFonts w:ascii="Calibri" w:eastAsia="Calibri" w:hAnsi="Calibri" w:cs="Calibri"/>
        <w:b/>
        <w:color w:val="000000"/>
        <w:sz w:val="14"/>
        <w:szCs w:val="14"/>
      </w:rPr>
    </w:pPr>
    <w:r>
      <w:rPr>
        <w:rFonts w:ascii="Calibri" w:eastAsia="Calibri" w:hAnsi="Calibri" w:cs="Calibri"/>
        <w:color w:val="000000"/>
        <w:sz w:val="14"/>
        <w:szCs w:val="14"/>
      </w:rPr>
      <w:t xml:space="preserve">Página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PAGE</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1</w:t>
    </w:r>
    <w:r>
      <w:rPr>
        <w:rFonts w:ascii="Calibri" w:eastAsia="Calibri" w:hAnsi="Calibri" w:cs="Calibri"/>
        <w:b/>
        <w:color w:val="000000"/>
        <w:sz w:val="14"/>
        <w:szCs w:val="14"/>
      </w:rPr>
      <w:fldChar w:fldCharType="end"/>
    </w:r>
    <w:r>
      <w:rPr>
        <w:rFonts w:ascii="Calibri" w:eastAsia="Calibri" w:hAnsi="Calibri" w:cs="Calibri"/>
        <w:color w:val="000000"/>
        <w:sz w:val="14"/>
        <w:szCs w:val="14"/>
      </w:rPr>
      <w:t xml:space="preserve"> de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NUMPAGES</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2</w:t>
    </w:r>
    <w:r>
      <w:rPr>
        <w:rFonts w:ascii="Calibri" w:eastAsia="Calibri" w:hAnsi="Calibri" w:cs="Calibri"/>
        <w:b/>
        <w:color w:val="000000"/>
        <w:sz w:val="14"/>
        <w:szCs w:val="14"/>
      </w:rPr>
      <w:fldChar w:fldCharType="end"/>
    </w:r>
  </w:p>
  <w:p w14:paraId="373D3750" w14:textId="77777777" w:rsidR="00844492" w:rsidRDefault="00495781" w:rsidP="000B7B2D">
    <w:pPr>
      <w:spacing w:after="0" w:line="240" w:lineRule="auto"/>
      <w:ind w:firstLine="240"/>
      <w:jc w:val="right"/>
      <w:rPr>
        <w:rFonts w:ascii="Calibri" w:eastAsia="Calibri" w:hAnsi="Calibri" w:cs="Calibri"/>
        <w:b/>
        <w:color w:val="000000"/>
        <w:sz w:val="14"/>
        <w:szCs w:val="14"/>
      </w:rPr>
    </w:pPr>
    <w:r>
      <w:rPr>
        <w:rFonts w:ascii="Calibri" w:eastAsia="Calibri" w:hAnsi="Calibri" w:cs="Calibri"/>
        <w:b/>
        <w:color w:val="000000"/>
        <w:sz w:val="14"/>
        <w:szCs w:val="14"/>
      </w:rPr>
      <w:t>Versión 2025</w:t>
    </w:r>
    <w:r>
      <w:rPr>
        <w:noProof/>
      </w:rPr>
      <w:drawing>
        <wp:anchor distT="0" distB="0" distL="114300" distR="114300" simplePos="0" relativeHeight="251658240" behindDoc="0" locked="0" layoutInCell="1" hidden="0" allowOverlap="1" wp14:anchorId="1EBC6F86" wp14:editId="3E0F1E9A">
          <wp:simplePos x="0" y="0"/>
          <wp:positionH relativeFrom="column">
            <wp:posOffset>133350</wp:posOffset>
          </wp:positionH>
          <wp:positionV relativeFrom="paragraph">
            <wp:posOffset>32836</wp:posOffset>
          </wp:positionV>
          <wp:extent cx="1099185" cy="433889"/>
          <wp:effectExtent l="0" t="0" r="0" b="0"/>
          <wp:wrapNone/>
          <wp:docPr id="2209798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9185" cy="433889"/>
                  </a:xfrm>
                  <a:prstGeom prst="rect">
                    <a:avLst/>
                  </a:prstGeom>
                  <a:ln/>
                </pic:spPr>
              </pic:pic>
            </a:graphicData>
          </a:graphic>
        </wp:anchor>
      </w:drawing>
    </w:r>
  </w:p>
  <w:p w14:paraId="427FDAF8" w14:textId="77777777" w:rsidR="00844492" w:rsidRDefault="00495781" w:rsidP="000B7B2D">
    <w:pPr>
      <w:spacing w:after="0"/>
      <w:ind w:firstLine="239"/>
      <w:jc w:val="right"/>
      <w:rPr>
        <w:rFonts w:ascii="Candara" w:eastAsia="Candara" w:hAnsi="Candara" w:cs="Candara"/>
        <w:color w:val="000000"/>
        <w:sz w:val="14"/>
        <w:szCs w:val="14"/>
      </w:rPr>
    </w:pPr>
    <w:bookmarkStart w:id="3" w:name="_heading=h.2et92p0" w:colFirst="0" w:colLast="0"/>
    <w:bookmarkEnd w:id="3"/>
    <w:r>
      <w:rPr>
        <w:rFonts w:ascii="Candara" w:eastAsia="Candara" w:hAnsi="Candara" w:cs="Candara"/>
        <w:color w:val="000000"/>
        <w:sz w:val="14"/>
        <w:szCs w:val="14"/>
      </w:rPr>
      <w:t>XV Convocatoria Interna de investigaciones - VRI</w:t>
    </w:r>
  </w:p>
  <w:p w14:paraId="3E002CF1" w14:textId="77777777" w:rsidR="00844492" w:rsidRDefault="00495781" w:rsidP="000B7B2D">
    <w:pPr>
      <w:spacing w:after="0"/>
      <w:ind w:firstLine="239"/>
      <w:jc w:val="right"/>
      <w:rPr>
        <w:rFonts w:ascii="Candara" w:eastAsia="Candara" w:hAnsi="Candara" w:cs="Candara"/>
        <w:color w:val="000000"/>
        <w:sz w:val="14"/>
        <w:szCs w:val="14"/>
      </w:rPr>
    </w:pPr>
    <w:r>
      <w:rPr>
        <w:rFonts w:ascii="Candara" w:eastAsia="Candara" w:hAnsi="Candara" w:cs="Candara"/>
        <w:color w:val="000000"/>
        <w:sz w:val="14"/>
        <w:szCs w:val="14"/>
      </w:rPr>
      <w:t>Universidad El Bosque</w:t>
    </w:r>
  </w:p>
  <w:p w14:paraId="27C8F304" w14:textId="77777777" w:rsidR="00844492" w:rsidRDefault="00844492">
    <w:pPr>
      <w:spacing w:line="240" w:lineRule="auto"/>
      <w:ind w:firstLine="239"/>
      <w:jc w:val="right"/>
      <w:rPr>
        <w:rFonts w:ascii="Calibri" w:eastAsia="Calibri" w:hAnsi="Calibri" w:cs="Calibri"/>
        <w:color w:val="FF0000"/>
        <w:sz w:val="14"/>
        <w:szCs w:val="14"/>
      </w:rPr>
    </w:pPr>
  </w:p>
  <w:p w14:paraId="631FB5A5" w14:textId="77777777" w:rsidR="00844492" w:rsidRDefault="00844492">
    <w:pPr>
      <w:ind w:firstLine="239"/>
      <w:rPr>
        <w:rFonts w:ascii="Arial" w:eastAsia="Arial" w:hAnsi="Arial" w:cs="Arial"/>
        <w:color w:val="008080"/>
        <w:sz w:val="14"/>
        <w:szCs w:val="14"/>
      </w:rPr>
    </w:pPr>
  </w:p>
  <w:p w14:paraId="4F4F66D8" w14:textId="77777777" w:rsidR="004E44A6" w:rsidRDefault="004E44A6">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6A0D" w14:textId="77777777" w:rsidR="00844492" w:rsidRDefault="00844492">
    <w:pPr>
      <w:spacing w:line="240" w:lineRule="auto"/>
      <w:ind w:left="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DB00B" w14:textId="77777777" w:rsidR="00EC6F44" w:rsidRDefault="00EC6F44">
      <w:pPr>
        <w:spacing w:line="240" w:lineRule="auto"/>
        <w:ind w:left="0"/>
      </w:pPr>
      <w:r>
        <w:separator/>
      </w:r>
    </w:p>
    <w:p w14:paraId="3097614D" w14:textId="77777777" w:rsidR="00EC6F44" w:rsidRDefault="00EC6F44">
      <w:pPr>
        <w:ind w:left="0"/>
      </w:pPr>
    </w:p>
  </w:footnote>
  <w:footnote w:type="continuationSeparator" w:id="0">
    <w:p w14:paraId="579A1B1C" w14:textId="77777777" w:rsidR="00EC6F44" w:rsidRDefault="00EC6F44">
      <w:pPr>
        <w:spacing w:line="240" w:lineRule="auto"/>
        <w:ind w:left="0"/>
      </w:pPr>
      <w:r>
        <w:continuationSeparator/>
      </w:r>
    </w:p>
    <w:p w14:paraId="4E0ED371" w14:textId="77777777" w:rsidR="00EC6F44" w:rsidRDefault="00EC6F44">
      <w:pPr>
        <w:ind w:left="0"/>
      </w:pPr>
    </w:p>
  </w:footnote>
  <w:footnote w:id="1">
    <w:p w14:paraId="2248431C" w14:textId="6A567C51" w:rsidR="001054B3" w:rsidRPr="001054B3" w:rsidRDefault="001054B3">
      <w:pPr>
        <w:pStyle w:val="FootnoteText"/>
      </w:pPr>
      <w:r w:rsidRPr="00BC286D">
        <w:rPr>
          <w:rStyle w:val="FootnoteReference"/>
        </w:rPr>
        <w:footnoteRef/>
      </w:r>
      <w:r>
        <w:t xml:space="preserve"> Es importante </w:t>
      </w:r>
      <w:r w:rsidRPr="001054B3">
        <w:t>aclarar inequívocamente que no se subirán videos identificables a repositorios públicos; GitHub aloja solo código, documentación y/o videos ejemplo anonimizados.</w:t>
      </w:r>
    </w:p>
  </w:footnote>
  <w:footnote w:id="2">
    <w:p w14:paraId="6397C12C" w14:textId="64FA7FAE" w:rsidR="00D841C8" w:rsidRPr="00D841C8" w:rsidRDefault="00D841C8" w:rsidP="005C49E6">
      <w:pPr>
        <w:pStyle w:val="FootnoteText"/>
        <w:spacing w:after="0"/>
        <w:rPr>
          <w:lang w:val="es-CO"/>
        </w:rPr>
      </w:pPr>
      <w:r w:rsidRPr="00BC286D">
        <w:rPr>
          <w:rStyle w:val="FootnoteReference"/>
        </w:rPr>
        <w:footnoteRef/>
      </w:r>
      <w:r>
        <w:t xml:space="preserve"> </w:t>
      </w:r>
      <w:r w:rsidRPr="00200628">
        <w:rPr>
          <w:rFonts w:ascii="Avenir Next LT Pro" w:eastAsia="Avenir Next LT Pro" w:hAnsi="Avenir Next LT Pro" w:cs="Avenir Next LT Pro"/>
          <w:sz w:val="16"/>
          <w:szCs w:val="16"/>
        </w:rPr>
        <w:t>El proyecto compromete la publicación de al menos dos artículos tipo Registered Report en revistas Q1. El Investigador Principal es recomendador (recommender, equivalente a editor asociado) en Peer Community in Registered Reports (PCI RR)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14DB" w14:textId="77777777" w:rsidR="00844492" w:rsidRDefault="00844492">
    <w:pPr>
      <w:spacing w:line="240" w:lineRule="auto"/>
      <w:ind w:left="0"/>
      <w:rPr>
        <w:color w:val="000000"/>
      </w:rPr>
    </w:pPr>
  </w:p>
  <w:p w14:paraId="0BD438E7" w14:textId="77777777" w:rsidR="004E44A6" w:rsidRDefault="004E44A6">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1A4A" w14:textId="1EF0494E" w:rsidR="00844492" w:rsidRDefault="00847B5F">
    <w:pPr>
      <w:ind w:left="0"/>
      <w:jc w:val="center"/>
      <w:rPr>
        <w:rFonts w:ascii="Century Gothic" w:eastAsia="Century Gothic" w:hAnsi="Century Gothic" w:cs="Century Gothic"/>
        <w:b/>
        <w:color w:val="38761D"/>
        <w:sz w:val="22"/>
        <w:szCs w:val="22"/>
      </w:rPr>
    </w:pPr>
    <w:r>
      <w:rPr>
        <w:noProof/>
      </w:rPr>
      <mc:AlternateContent>
        <mc:Choice Requires="wps">
          <w:drawing>
            <wp:anchor distT="0" distB="0" distL="114300" distR="114300" simplePos="0" relativeHeight="251658242" behindDoc="0" locked="0" layoutInCell="1" allowOverlap="1" wp14:anchorId="017ECA5E" wp14:editId="5D09ADD9">
              <wp:simplePos x="0" y="0"/>
              <wp:positionH relativeFrom="column">
                <wp:posOffset>180340</wp:posOffset>
              </wp:positionH>
              <wp:positionV relativeFrom="paragraph">
                <wp:posOffset>252095</wp:posOffset>
              </wp:positionV>
              <wp:extent cx="1842135" cy="246380"/>
              <wp:effectExtent l="0" t="0" r="0" b="0"/>
              <wp:wrapNone/>
              <wp:docPr id="2019898984" name="Cuadro de texto 1"/>
              <wp:cNvGraphicFramePr/>
              <a:graphic xmlns:a="http://schemas.openxmlformats.org/drawingml/2006/main">
                <a:graphicData uri="http://schemas.microsoft.com/office/word/2010/wordprocessingShape">
                  <wps:wsp>
                    <wps:cNvSpPr txBox="1"/>
                    <wps:spPr>
                      <a:xfrm>
                        <a:off x="0" y="0"/>
                        <a:ext cx="1842135" cy="246380"/>
                      </a:xfrm>
                      <a:prstGeom prst="rect">
                        <a:avLst/>
                      </a:prstGeom>
                      <a:noFill/>
                      <a:ln w="6350">
                        <a:noFill/>
                      </a:ln>
                    </wps:spPr>
                    <wps:txb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ECA5E" id="_x0000_t202" coordsize="21600,21600" o:spt="202" path="m,l,21600r21600,l21600,xe">
              <v:stroke joinstyle="miter"/>
              <v:path gradientshapeok="t" o:connecttype="rect"/>
            </v:shapetype>
            <v:shape id="Cuadro de texto 1" o:spid="_x0000_s1026" type="#_x0000_t202" style="position:absolute;left:0;text-align:left;margin-left:14.2pt;margin-top:19.85pt;width:145.05pt;height:1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" filled="f" stroked="f" strokeweight=".5pt">
              <v:textbo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v:textbox>
            </v:shape>
          </w:pict>
        </mc:Fallback>
      </mc:AlternateContent>
    </w:r>
    <w:r w:rsidRPr="00746B09">
      <w:rPr>
        <w:noProof/>
        <w:color w:val="000000"/>
      </w:rPr>
      <w:drawing>
        <wp:anchor distT="0" distB="0" distL="114300" distR="114300" simplePos="0" relativeHeight="251658241" behindDoc="1" locked="0" layoutInCell="1" allowOverlap="1" wp14:anchorId="2302BDB9" wp14:editId="58D0CB07">
          <wp:simplePos x="0" y="0"/>
          <wp:positionH relativeFrom="column">
            <wp:posOffset>-668020</wp:posOffset>
          </wp:positionH>
          <wp:positionV relativeFrom="paragraph">
            <wp:posOffset>27940</wp:posOffset>
          </wp:positionV>
          <wp:extent cx="7616190" cy="967740"/>
          <wp:effectExtent l="0" t="0" r="3810" b="0"/>
          <wp:wrapNone/>
          <wp:docPr id="1873732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2759" name=""/>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616190" cy="967740"/>
                  </a:xfrm>
                  <a:prstGeom prst="rect">
                    <a:avLst/>
                  </a:prstGeom>
                </pic:spPr>
              </pic:pic>
            </a:graphicData>
          </a:graphic>
          <wp14:sizeRelH relativeFrom="page">
            <wp14:pctWidth>0</wp14:pctWidth>
          </wp14:sizeRelH>
          <wp14:sizeRelV relativeFrom="page">
            <wp14:pctHeight>0</wp14:pctHeight>
          </wp14:sizeRelV>
        </wp:anchor>
      </w:drawing>
    </w:r>
  </w:p>
  <w:p w14:paraId="50D33273" w14:textId="77777777" w:rsidR="00847B5F" w:rsidRDefault="00847B5F">
    <w:pPr>
      <w:ind w:left="0" w:firstLine="378"/>
      <w:jc w:val="center"/>
      <w:rPr>
        <w:rFonts w:ascii="Century Gothic" w:eastAsia="Century Gothic" w:hAnsi="Century Gothic" w:cs="Century Gothic"/>
        <w:b/>
        <w:color w:val="38761D"/>
        <w:sz w:val="22"/>
        <w:szCs w:val="22"/>
      </w:rPr>
    </w:pPr>
  </w:p>
  <w:p w14:paraId="3A3A5E40" w14:textId="69572975" w:rsidR="004E44A6" w:rsidRDefault="004E44A6" w:rsidP="0B44BD26">
    <w:pPr>
      <w:ind w:left="-2" w:firstLine="376"/>
      <w:jc w:val="center"/>
      <w:rPr>
        <w:rFonts w:ascii="Century Gothic" w:eastAsia="Century Gothic" w:hAnsi="Century Gothic" w:cs="Century Gothic"/>
        <w:color w:val="38761D"/>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B8A" w14:textId="77777777" w:rsidR="00844492" w:rsidRDefault="00844492">
    <w:pPr>
      <w:spacing w:line="240" w:lineRule="auto"/>
      <w:ind w:left="0"/>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61B"/>
    <w:multiLevelType w:val="hybridMultilevel"/>
    <w:tmpl w:val="D736BA24"/>
    <w:lvl w:ilvl="0" w:tplc="B238B13C">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085434CF"/>
    <w:multiLevelType w:val="hybridMultilevel"/>
    <w:tmpl w:val="3A3C6E6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 w15:restartNumberingAfterBreak="0">
    <w:nsid w:val="1DCA104A"/>
    <w:multiLevelType w:val="multilevel"/>
    <w:tmpl w:val="56C075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E6F3247"/>
    <w:multiLevelType w:val="multilevel"/>
    <w:tmpl w:val="0AB0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D7E01"/>
    <w:multiLevelType w:val="hybridMultilevel"/>
    <w:tmpl w:val="98A6A24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5" w15:restartNumberingAfterBreak="0">
    <w:nsid w:val="21AE5821"/>
    <w:multiLevelType w:val="hybridMultilevel"/>
    <w:tmpl w:val="55FADA7E"/>
    <w:lvl w:ilvl="0" w:tplc="08090001">
      <w:start w:val="1"/>
      <w:numFmt w:val="bullet"/>
      <w:lvlText w:val=""/>
      <w:lvlJc w:val="left"/>
      <w:pPr>
        <w:ind w:left="1027" w:hanging="360"/>
      </w:pPr>
      <w:rPr>
        <w:rFonts w:ascii="Symbol" w:hAnsi="Symbol" w:hint="default"/>
      </w:rPr>
    </w:lvl>
    <w:lvl w:ilvl="1" w:tplc="08090003" w:tentative="1">
      <w:start w:val="1"/>
      <w:numFmt w:val="bullet"/>
      <w:lvlText w:val="o"/>
      <w:lvlJc w:val="left"/>
      <w:pPr>
        <w:ind w:left="1747" w:hanging="360"/>
      </w:pPr>
      <w:rPr>
        <w:rFonts w:ascii="Courier New" w:hAnsi="Courier New" w:cs="Courier New" w:hint="default"/>
      </w:rPr>
    </w:lvl>
    <w:lvl w:ilvl="2" w:tplc="08090005" w:tentative="1">
      <w:start w:val="1"/>
      <w:numFmt w:val="bullet"/>
      <w:lvlText w:val=""/>
      <w:lvlJc w:val="left"/>
      <w:pPr>
        <w:ind w:left="2467" w:hanging="360"/>
      </w:pPr>
      <w:rPr>
        <w:rFonts w:ascii="Wingdings" w:hAnsi="Wingdings" w:hint="default"/>
      </w:rPr>
    </w:lvl>
    <w:lvl w:ilvl="3" w:tplc="08090001" w:tentative="1">
      <w:start w:val="1"/>
      <w:numFmt w:val="bullet"/>
      <w:lvlText w:val=""/>
      <w:lvlJc w:val="left"/>
      <w:pPr>
        <w:ind w:left="3187" w:hanging="360"/>
      </w:pPr>
      <w:rPr>
        <w:rFonts w:ascii="Symbol" w:hAnsi="Symbol" w:hint="default"/>
      </w:rPr>
    </w:lvl>
    <w:lvl w:ilvl="4" w:tplc="08090003" w:tentative="1">
      <w:start w:val="1"/>
      <w:numFmt w:val="bullet"/>
      <w:lvlText w:val="o"/>
      <w:lvlJc w:val="left"/>
      <w:pPr>
        <w:ind w:left="3907" w:hanging="360"/>
      </w:pPr>
      <w:rPr>
        <w:rFonts w:ascii="Courier New" w:hAnsi="Courier New" w:cs="Courier New" w:hint="default"/>
      </w:rPr>
    </w:lvl>
    <w:lvl w:ilvl="5" w:tplc="08090005" w:tentative="1">
      <w:start w:val="1"/>
      <w:numFmt w:val="bullet"/>
      <w:lvlText w:val=""/>
      <w:lvlJc w:val="left"/>
      <w:pPr>
        <w:ind w:left="4627" w:hanging="360"/>
      </w:pPr>
      <w:rPr>
        <w:rFonts w:ascii="Wingdings" w:hAnsi="Wingdings" w:hint="default"/>
      </w:rPr>
    </w:lvl>
    <w:lvl w:ilvl="6" w:tplc="08090001" w:tentative="1">
      <w:start w:val="1"/>
      <w:numFmt w:val="bullet"/>
      <w:lvlText w:val=""/>
      <w:lvlJc w:val="left"/>
      <w:pPr>
        <w:ind w:left="5347" w:hanging="360"/>
      </w:pPr>
      <w:rPr>
        <w:rFonts w:ascii="Symbol" w:hAnsi="Symbol" w:hint="default"/>
      </w:rPr>
    </w:lvl>
    <w:lvl w:ilvl="7" w:tplc="08090003" w:tentative="1">
      <w:start w:val="1"/>
      <w:numFmt w:val="bullet"/>
      <w:lvlText w:val="o"/>
      <w:lvlJc w:val="left"/>
      <w:pPr>
        <w:ind w:left="6067" w:hanging="360"/>
      </w:pPr>
      <w:rPr>
        <w:rFonts w:ascii="Courier New" w:hAnsi="Courier New" w:cs="Courier New" w:hint="default"/>
      </w:rPr>
    </w:lvl>
    <w:lvl w:ilvl="8" w:tplc="08090005" w:tentative="1">
      <w:start w:val="1"/>
      <w:numFmt w:val="bullet"/>
      <w:lvlText w:val=""/>
      <w:lvlJc w:val="left"/>
      <w:pPr>
        <w:ind w:left="6787" w:hanging="360"/>
      </w:pPr>
      <w:rPr>
        <w:rFonts w:ascii="Wingdings" w:hAnsi="Wingdings" w:hint="default"/>
      </w:rPr>
    </w:lvl>
  </w:abstractNum>
  <w:abstractNum w:abstractNumId="6" w15:restartNumberingAfterBreak="0">
    <w:nsid w:val="22803C29"/>
    <w:multiLevelType w:val="multilevel"/>
    <w:tmpl w:val="3D44B646"/>
    <w:lvl w:ilvl="0">
      <w:start w:val="1"/>
      <w:numFmt w:val="decimal"/>
      <w:lvlText w:val="%1."/>
      <w:lvlJc w:val="right"/>
      <w:pPr>
        <w:ind w:left="709" w:hanging="360"/>
      </w:pPr>
      <w:rPr>
        <w:rFonts w:ascii="Arial" w:eastAsia="Arial" w:hAnsi="Arial" w:cs="Arial"/>
        <w:color w:val="000000"/>
        <w:sz w:val="18"/>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 w15:restartNumberingAfterBreak="0">
    <w:nsid w:val="232C1460"/>
    <w:multiLevelType w:val="hybridMultilevel"/>
    <w:tmpl w:val="C004EB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004558F"/>
    <w:multiLevelType w:val="hybridMultilevel"/>
    <w:tmpl w:val="2A4E7E8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9" w15:restartNumberingAfterBreak="0">
    <w:nsid w:val="3178C5F9"/>
    <w:multiLevelType w:val="hybridMultilevel"/>
    <w:tmpl w:val="ACEA11EE"/>
    <w:lvl w:ilvl="0" w:tplc="5DCA8DD6">
      <w:start w:val="1"/>
      <w:numFmt w:val="decimal"/>
      <w:lvlText w:val="%1."/>
      <w:lvlJc w:val="left"/>
      <w:pPr>
        <w:ind w:left="358" w:hanging="360"/>
      </w:pPr>
    </w:lvl>
    <w:lvl w:ilvl="1" w:tplc="D49A8FEA">
      <w:start w:val="1"/>
      <w:numFmt w:val="lowerLetter"/>
      <w:lvlText w:val="%2."/>
      <w:lvlJc w:val="left"/>
      <w:pPr>
        <w:ind w:left="1078" w:hanging="360"/>
      </w:pPr>
    </w:lvl>
    <w:lvl w:ilvl="2" w:tplc="7C1C9B84">
      <w:start w:val="1"/>
      <w:numFmt w:val="lowerRoman"/>
      <w:lvlText w:val="%3."/>
      <w:lvlJc w:val="right"/>
      <w:pPr>
        <w:ind w:left="1798" w:hanging="180"/>
      </w:pPr>
    </w:lvl>
    <w:lvl w:ilvl="3" w:tplc="B830B4C8">
      <w:start w:val="1"/>
      <w:numFmt w:val="decimal"/>
      <w:lvlText w:val="%4."/>
      <w:lvlJc w:val="left"/>
      <w:pPr>
        <w:ind w:left="2518" w:hanging="360"/>
      </w:pPr>
    </w:lvl>
    <w:lvl w:ilvl="4" w:tplc="E182E780">
      <w:start w:val="1"/>
      <w:numFmt w:val="lowerLetter"/>
      <w:lvlText w:val="%5."/>
      <w:lvlJc w:val="left"/>
      <w:pPr>
        <w:ind w:left="3238" w:hanging="360"/>
      </w:pPr>
    </w:lvl>
    <w:lvl w:ilvl="5" w:tplc="ADE6C45E">
      <w:start w:val="1"/>
      <w:numFmt w:val="lowerRoman"/>
      <w:lvlText w:val="%6."/>
      <w:lvlJc w:val="right"/>
      <w:pPr>
        <w:ind w:left="3958" w:hanging="180"/>
      </w:pPr>
    </w:lvl>
    <w:lvl w:ilvl="6" w:tplc="F05C78B2">
      <w:start w:val="1"/>
      <w:numFmt w:val="decimal"/>
      <w:lvlText w:val="%7."/>
      <w:lvlJc w:val="left"/>
      <w:pPr>
        <w:ind w:left="4678" w:hanging="360"/>
      </w:pPr>
    </w:lvl>
    <w:lvl w:ilvl="7" w:tplc="CC00BAB4">
      <w:start w:val="1"/>
      <w:numFmt w:val="lowerLetter"/>
      <w:lvlText w:val="%8."/>
      <w:lvlJc w:val="left"/>
      <w:pPr>
        <w:ind w:left="5398" w:hanging="360"/>
      </w:pPr>
    </w:lvl>
    <w:lvl w:ilvl="8" w:tplc="16AE7E90">
      <w:start w:val="1"/>
      <w:numFmt w:val="lowerRoman"/>
      <w:lvlText w:val="%9."/>
      <w:lvlJc w:val="right"/>
      <w:pPr>
        <w:ind w:left="6118" w:hanging="180"/>
      </w:pPr>
    </w:lvl>
  </w:abstractNum>
  <w:abstractNum w:abstractNumId="10" w15:restartNumberingAfterBreak="0">
    <w:nsid w:val="33131AE8"/>
    <w:multiLevelType w:val="hybridMultilevel"/>
    <w:tmpl w:val="F31E509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1" w15:restartNumberingAfterBreak="0">
    <w:nsid w:val="381A0477"/>
    <w:multiLevelType w:val="hybridMultilevel"/>
    <w:tmpl w:val="F54ABB8E"/>
    <w:lvl w:ilvl="0" w:tplc="E57EA3DA">
      <w:start w:val="1"/>
      <w:numFmt w:val="bullet"/>
      <w:lvlText w:val=""/>
      <w:lvlJc w:val="left"/>
      <w:pPr>
        <w:ind w:left="1080" w:hanging="360"/>
      </w:pPr>
      <w:rPr>
        <w:rFonts w:ascii="Symbol" w:hAnsi="Symbol"/>
      </w:rPr>
    </w:lvl>
    <w:lvl w:ilvl="1" w:tplc="651089FC">
      <w:start w:val="1"/>
      <w:numFmt w:val="bullet"/>
      <w:lvlText w:val=""/>
      <w:lvlJc w:val="left"/>
      <w:pPr>
        <w:ind w:left="1080" w:hanging="360"/>
      </w:pPr>
      <w:rPr>
        <w:rFonts w:ascii="Symbol" w:hAnsi="Symbol"/>
      </w:rPr>
    </w:lvl>
    <w:lvl w:ilvl="2" w:tplc="ED5EB836">
      <w:start w:val="1"/>
      <w:numFmt w:val="bullet"/>
      <w:lvlText w:val=""/>
      <w:lvlJc w:val="left"/>
      <w:pPr>
        <w:ind w:left="1080" w:hanging="360"/>
      </w:pPr>
      <w:rPr>
        <w:rFonts w:ascii="Symbol" w:hAnsi="Symbol"/>
      </w:rPr>
    </w:lvl>
    <w:lvl w:ilvl="3" w:tplc="75DAA2CE">
      <w:start w:val="1"/>
      <w:numFmt w:val="bullet"/>
      <w:lvlText w:val=""/>
      <w:lvlJc w:val="left"/>
      <w:pPr>
        <w:ind w:left="1080" w:hanging="360"/>
      </w:pPr>
      <w:rPr>
        <w:rFonts w:ascii="Symbol" w:hAnsi="Symbol"/>
      </w:rPr>
    </w:lvl>
    <w:lvl w:ilvl="4" w:tplc="4572BC4A">
      <w:start w:val="1"/>
      <w:numFmt w:val="bullet"/>
      <w:lvlText w:val=""/>
      <w:lvlJc w:val="left"/>
      <w:pPr>
        <w:ind w:left="1080" w:hanging="360"/>
      </w:pPr>
      <w:rPr>
        <w:rFonts w:ascii="Symbol" w:hAnsi="Symbol"/>
      </w:rPr>
    </w:lvl>
    <w:lvl w:ilvl="5" w:tplc="D3749AFC">
      <w:start w:val="1"/>
      <w:numFmt w:val="bullet"/>
      <w:lvlText w:val=""/>
      <w:lvlJc w:val="left"/>
      <w:pPr>
        <w:ind w:left="1080" w:hanging="360"/>
      </w:pPr>
      <w:rPr>
        <w:rFonts w:ascii="Symbol" w:hAnsi="Symbol"/>
      </w:rPr>
    </w:lvl>
    <w:lvl w:ilvl="6" w:tplc="47B684E2">
      <w:start w:val="1"/>
      <w:numFmt w:val="bullet"/>
      <w:lvlText w:val=""/>
      <w:lvlJc w:val="left"/>
      <w:pPr>
        <w:ind w:left="1080" w:hanging="360"/>
      </w:pPr>
      <w:rPr>
        <w:rFonts w:ascii="Symbol" w:hAnsi="Symbol"/>
      </w:rPr>
    </w:lvl>
    <w:lvl w:ilvl="7" w:tplc="492A65E6">
      <w:start w:val="1"/>
      <w:numFmt w:val="bullet"/>
      <w:lvlText w:val=""/>
      <w:lvlJc w:val="left"/>
      <w:pPr>
        <w:ind w:left="1080" w:hanging="360"/>
      </w:pPr>
      <w:rPr>
        <w:rFonts w:ascii="Symbol" w:hAnsi="Symbol"/>
      </w:rPr>
    </w:lvl>
    <w:lvl w:ilvl="8" w:tplc="C3589EF6">
      <w:start w:val="1"/>
      <w:numFmt w:val="bullet"/>
      <w:lvlText w:val=""/>
      <w:lvlJc w:val="left"/>
      <w:pPr>
        <w:ind w:left="1080" w:hanging="360"/>
      </w:pPr>
      <w:rPr>
        <w:rFonts w:ascii="Symbol" w:hAnsi="Symbol"/>
      </w:rPr>
    </w:lvl>
  </w:abstractNum>
  <w:abstractNum w:abstractNumId="12" w15:restartNumberingAfterBreak="0">
    <w:nsid w:val="39565853"/>
    <w:multiLevelType w:val="hybridMultilevel"/>
    <w:tmpl w:val="483A6AF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3C746A22"/>
    <w:multiLevelType w:val="hybridMultilevel"/>
    <w:tmpl w:val="F31E5094"/>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4" w15:restartNumberingAfterBreak="0">
    <w:nsid w:val="3F57380F"/>
    <w:multiLevelType w:val="multilevel"/>
    <w:tmpl w:val="AD9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6330C"/>
    <w:multiLevelType w:val="multilevel"/>
    <w:tmpl w:val="0809001F"/>
    <w:lvl w:ilvl="0">
      <w:start w:val="1"/>
      <w:numFmt w:val="decimal"/>
      <w:lvlText w:val="%1."/>
      <w:lvlJc w:val="left"/>
      <w:pPr>
        <w:ind w:left="1762" w:hanging="360"/>
      </w:pPr>
    </w:lvl>
    <w:lvl w:ilvl="1">
      <w:start w:val="1"/>
      <w:numFmt w:val="decimal"/>
      <w:lvlText w:val="%1.%2."/>
      <w:lvlJc w:val="left"/>
      <w:pPr>
        <w:ind w:left="2194" w:hanging="432"/>
      </w:pPr>
    </w:lvl>
    <w:lvl w:ilvl="2">
      <w:start w:val="1"/>
      <w:numFmt w:val="decimal"/>
      <w:lvlText w:val="%1.%2.%3."/>
      <w:lvlJc w:val="left"/>
      <w:pPr>
        <w:ind w:left="2626" w:hanging="504"/>
      </w:pPr>
    </w:lvl>
    <w:lvl w:ilvl="3">
      <w:start w:val="1"/>
      <w:numFmt w:val="decimal"/>
      <w:lvlText w:val="%1.%2.%3.%4."/>
      <w:lvlJc w:val="left"/>
      <w:pPr>
        <w:ind w:left="3130" w:hanging="648"/>
      </w:pPr>
    </w:lvl>
    <w:lvl w:ilvl="4">
      <w:start w:val="1"/>
      <w:numFmt w:val="decimal"/>
      <w:lvlText w:val="%1.%2.%3.%4.%5."/>
      <w:lvlJc w:val="left"/>
      <w:pPr>
        <w:ind w:left="3634" w:hanging="792"/>
      </w:pPr>
    </w:lvl>
    <w:lvl w:ilvl="5">
      <w:start w:val="1"/>
      <w:numFmt w:val="decimal"/>
      <w:lvlText w:val="%1.%2.%3.%4.%5.%6."/>
      <w:lvlJc w:val="left"/>
      <w:pPr>
        <w:ind w:left="4138" w:hanging="936"/>
      </w:pPr>
    </w:lvl>
    <w:lvl w:ilvl="6">
      <w:start w:val="1"/>
      <w:numFmt w:val="decimal"/>
      <w:lvlText w:val="%1.%2.%3.%4.%5.%6.%7."/>
      <w:lvlJc w:val="left"/>
      <w:pPr>
        <w:ind w:left="4642" w:hanging="1080"/>
      </w:pPr>
    </w:lvl>
    <w:lvl w:ilvl="7">
      <w:start w:val="1"/>
      <w:numFmt w:val="decimal"/>
      <w:lvlText w:val="%1.%2.%3.%4.%5.%6.%7.%8."/>
      <w:lvlJc w:val="left"/>
      <w:pPr>
        <w:ind w:left="5146" w:hanging="1224"/>
      </w:pPr>
    </w:lvl>
    <w:lvl w:ilvl="8">
      <w:start w:val="1"/>
      <w:numFmt w:val="decimal"/>
      <w:lvlText w:val="%1.%2.%3.%4.%5.%6.%7.%8.%9."/>
      <w:lvlJc w:val="left"/>
      <w:pPr>
        <w:ind w:left="5722" w:hanging="1440"/>
      </w:pPr>
    </w:lvl>
  </w:abstractNum>
  <w:abstractNum w:abstractNumId="16" w15:restartNumberingAfterBreak="0">
    <w:nsid w:val="48621BE9"/>
    <w:multiLevelType w:val="hybridMultilevel"/>
    <w:tmpl w:val="BF521EE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CC6048E"/>
    <w:multiLevelType w:val="hybridMultilevel"/>
    <w:tmpl w:val="ADEE103A"/>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8" w15:restartNumberingAfterBreak="0">
    <w:nsid w:val="4D6B57F2"/>
    <w:multiLevelType w:val="hybridMultilevel"/>
    <w:tmpl w:val="4204083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578C5167"/>
    <w:multiLevelType w:val="multilevel"/>
    <w:tmpl w:val="4E7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B226B"/>
    <w:multiLevelType w:val="hybridMultilevel"/>
    <w:tmpl w:val="381AAF7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642C3CC2"/>
    <w:multiLevelType w:val="hybridMultilevel"/>
    <w:tmpl w:val="63F6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E5F59"/>
    <w:multiLevelType w:val="multilevel"/>
    <w:tmpl w:val="32CAE0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740705DA"/>
    <w:multiLevelType w:val="hybridMultilevel"/>
    <w:tmpl w:val="38BAB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634DAB"/>
    <w:multiLevelType w:val="multilevel"/>
    <w:tmpl w:val="A34E64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751582918">
    <w:abstractNumId w:val="9"/>
  </w:num>
  <w:num w:numId="2" w16cid:durableId="176241460">
    <w:abstractNumId w:val="3"/>
  </w:num>
  <w:num w:numId="3" w16cid:durableId="1474787049">
    <w:abstractNumId w:val="7"/>
  </w:num>
  <w:num w:numId="4" w16cid:durableId="1963533898">
    <w:abstractNumId w:val="19"/>
  </w:num>
  <w:num w:numId="5" w16cid:durableId="816654993">
    <w:abstractNumId w:val="12"/>
  </w:num>
  <w:num w:numId="6" w16cid:durableId="540750505">
    <w:abstractNumId w:val="8"/>
  </w:num>
  <w:num w:numId="7" w16cid:durableId="490221736">
    <w:abstractNumId w:val="0"/>
  </w:num>
  <w:num w:numId="8" w16cid:durableId="8265549">
    <w:abstractNumId w:val="17"/>
  </w:num>
  <w:num w:numId="9" w16cid:durableId="1395201315">
    <w:abstractNumId w:val="13"/>
  </w:num>
  <w:num w:numId="10" w16cid:durableId="1839534676">
    <w:abstractNumId w:val="10"/>
  </w:num>
  <w:num w:numId="11" w16cid:durableId="640158547">
    <w:abstractNumId w:val="4"/>
  </w:num>
  <w:num w:numId="12" w16cid:durableId="1683775028">
    <w:abstractNumId w:val="11"/>
  </w:num>
  <w:num w:numId="13" w16cid:durableId="297342306">
    <w:abstractNumId w:val="6"/>
  </w:num>
  <w:num w:numId="14" w16cid:durableId="487021592">
    <w:abstractNumId w:val="2"/>
  </w:num>
  <w:num w:numId="15" w16cid:durableId="1031876438">
    <w:abstractNumId w:val="22"/>
  </w:num>
  <w:num w:numId="16" w16cid:durableId="1004622813">
    <w:abstractNumId w:val="24"/>
  </w:num>
  <w:num w:numId="17" w16cid:durableId="1471943655">
    <w:abstractNumId w:val="15"/>
  </w:num>
  <w:num w:numId="18" w16cid:durableId="367802734">
    <w:abstractNumId w:val="20"/>
  </w:num>
  <w:num w:numId="19" w16cid:durableId="534733798">
    <w:abstractNumId w:val="16"/>
  </w:num>
  <w:num w:numId="20" w16cid:durableId="243805926">
    <w:abstractNumId w:val="21"/>
  </w:num>
  <w:num w:numId="21" w16cid:durableId="1592622267">
    <w:abstractNumId w:val="14"/>
  </w:num>
  <w:num w:numId="22" w16cid:durableId="1763910365">
    <w:abstractNumId w:val="5"/>
  </w:num>
  <w:num w:numId="23" w16cid:durableId="1083453039">
    <w:abstractNumId w:val="1"/>
  </w:num>
  <w:num w:numId="24" w16cid:durableId="203492048">
    <w:abstractNumId w:val="23"/>
  </w:num>
  <w:num w:numId="25" w16cid:durableId="4098095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92"/>
    <w:rsid w:val="0000092D"/>
    <w:rsid w:val="00003143"/>
    <w:rsid w:val="000068B0"/>
    <w:rsid w:val="00006920"/>
    <w:rsid w:val="000148F6"/>
    <w:rsid w:val="000157D7"/>
    <w:rsid w:val="00015C11"/>
    <w:rsid w:val="00017107"/>
    <w:rsid w:val="000229A2"/>
    <w:rsid w:val="00026025"/>
    <w:rsid w:val="00030283"/>
    <w:rsid w:val="00031271"/>
    <w:rsid w:val="00031904"/>
    <w:rsid w:val="00034103"/>
    <w:rsid w:val="000375C6"/>
    <w:rsid w:val="0003777F"/>
    <w:rsid w:val="000422A6"/>
    <w:rsid w:val="00042611"/>
    <w:rsid w:val="00057C83"/>
    <w:rsid w:val="0006270F"/>
    <w:rsid w:val="000673E1"/>
    <w:rsid w:val="00067909"/>
    <w:rsid w:val="00067B7C"/>
    <w:rsid w:val="0007126B"/>
    <w:rsid w:val="00073682"/>
    <w:rsid w:val="00077BF3"/>
    <w:rsid w:val="0008006B"/>
    <w:rsid w:val="00081E1D"/>
    <w:rsid w:val="000826DC"/>
    <w:rsid w:val="0008277A"/>
    <w:rsid w:val="000829B0"/>
    <w:rsid w:val="0008355C"/>
    <w:rsid w:val="000854B5"/>
    <w:rsid w:val="000860A7"/>
    <w:rsid w:val="000916D5"/>
    <w:rsid w:val="00095B06"/>
    <w:rsid w:val="000966DB"/>
    <w:rsid w:val="000A1FC4"/>
    <w:rsid w:val="000A558B"/>
    <w:rsid w:val="000B0C24"/>
    <w:rsid w:val="000B162B"/>
    <w:rsid w:val="000B2929"/>
    <w:rsid w:val="000B2E1E"/>
    <w:rsid w:val="000B3DE3"/>
    <w:rsid w:val="000B6D1B"/>
    <w:rsid w:val="000B7264"/>
    <w:rsid w:val="000B7B2D"/>
    <w:rsid w:val="000C212A"/>
    <w:rsid w:val="000C652B"/>
    <w:rsid w:val="000C7325"/>
    <w:rsid w:val="000C7E7B"/>
    <w:rsid w:val="000D4BBB"/>
    <w:rsid w:val="000D7F8F"/>
    <w:rsid w:val="000E1405"/>
    <w:rsid w:val="000E5B61"/>
    <w:rsid w:val="000E7F13"/>
    <w:rsid w:val="000F002B"/>
    <w:rsid w:val="0010205B"/>
    <w:rsid w:val="00102F5E"/>
    <w:rsid w:val="001054B3"/>
    <w:rsid w:val="00110577"/>
    <w:rsid w:val="0011068D"/>
    <w:rsid w:val="0011234C"/>
    <w:rsid w:val="00120FAE"/>
    <w:rsid w:val="00124660"/>
    <w:rsid w:val="00126AA8"/>
    <w:rsid w:val="00134378"/>
    <w:rsid w:val="00135139"/>
    <w:rsid w:val="00135DF2"/>
    <w:rsid w:val="00150B3A"/>
    <w:rsid w:val="00151151"/>
    <w:rsid w:val="001515E4"/>
    <w:rsid w:val="00152A99"/>
    <w:rsid w:val="00153E4A"/>
    <w:rsid w:val="0016019C"/>
    <w:rsid w:val="0016048D"/>
    <w:rsid w:val="00162803"/>
    <w:rsid w:val="00164661"/>
    <w:rsid w:val="00167235"/>
    <w:rsid w:val="00167800"/>
    <w:rsid w:val="00174D9A"/>
    <w:rsid w:val="00177637"/>
    <w:rsid w:val="001820A3"/>
    <w:rsid w:val="00192E69"/>
    <w:rsid w:val="001935B4"/>
    <w:rsid w:val="001944D4"/>
    <w:rsid w:val="001968BD"/>
    <w:rsid w:val="00196B28"/>
    <w:rsid w:val="001A0B6E"/>
    <w:rsid w:val="001A250E"/>
    <w:rsid w:val="001A5A9A"/>
    <w:rsid w:val="001A6CA9"/>
    <w:rsid w:val="001B2BA3"/>
    <w:rsid w:val="001B3B49"/>
    <w:rsid w:val="001B48F5"/>
    <w:rsid w:val="001C0AF0"/>
    <w:rsid w:val="001C6807"/>
    <w:rsid w:val="001D2564"/>
    <w:rsid w:val="001D5CC4"/>
    <w:rsid w:val="001E2889"/>
    <w:rsid w:val="001E6B6F"/>
    <w:rsid w:val="001F6D17"/>
    <w:rsid w:val="001F70BA"/>
    <w:rsid w:val="001F733E"/>
    <w:rsid w:val="00200628"/>
    <w:rsid w:val="0020178F"/>
    <w:rsid w:val="00202498"/>
    <w:rsid w:val="00206575"/>
    <w:rsid w:val="00206BF4"/>
    <w:rsid w:val="00214180"/>
    <w:rsid w:val="00222C7F"/>
    <w:rsid w:val="00230CFE"/>
    <w:rsid w:val="00233075"/>
    <w:rsid w:val="00233FA1"/>
    <w:rsid w:val="002344C4"/>
    <w:rsid w:val="00236D77"/>
    <w:rsid w:val="002423DA"/>
    <w:rsid w:val="00244454"/>
    <w:rsid w:val="002537E2"/>
    <w:rsid w:val="0026044F"/>
    <w:rsid w:val="0026118A"/>
    <w:rsid w:val="00270B9E"/>
    <w:rsid w:val="002725D4"/>
    <w:rsid w:val="0027382D"/>
    <w:rsid w:val="00276EC6"/>
    <w:rsid w:val="002800EA"/>
    <w:rsid w:val="00282CB5"/>
    <w:rsid w:val="00291FEF"/>
    <w:rsid w:val="0029367F"/>
    <w:rsid w:val="00295516"/>
    <w:rsid w:val="002A071C"/>
    <w:rsid w:val="002A3AE1"/>
    <w:rsid w:val="002B22DD"/>
    <w:rsid w:val="002B6FC3"/>
    <w:rsid w:val="002C2154"/>
    <w:rsid w:val="002C5E67"/>
    <w:rsid w:val="002D3C78"/>
    <w:rsid w:val="002E1A15"/>
    <w:rsid w:val="002E4874"/>
    <w:rsid w:val="002E6CFA"/>
    <w:rsid w:val="002F24D3"/>
    <w:rsid w:val="002F37A5"/>
    <w:rsid w:val="002F57A6"/>
    <w:rsid w:val="002F5BA1"/>
    <w:rsid w:val="002F737A"/>
    <w:rsid w:val="003068BC"/>
    <w:rsid w:val="003155D0"/>
    <w:rsid w:val="00320EAD"/>
    <w:rsid w:val="003215A6"/>
    <w:rsid w:val="00322675"/>
    <w:rsid w:val="00322BFC"/>
    <w:rsid w:val="003300F9"/>
    <w:rsid w:val="00330A79"/>
    <w:rsid w:val="00331B72"/>
    <w:rsid w:val="00332F6D"/>
    <w:rsid w:val="00335DA1"/>
    <w:rsid w:val="003360FB"/>
    <w:rsid w:val="00336427"/>
    <w:rsid w:val="00337CCD"/>
    <w:rsid w:val="00343336"/>
    <w:rsid w:val="00344065"/>
    <w:rsid w:val="00344BEE"/>
    <w:rsid w:val="0035038C"/>
    <w:rsid w:val="0035103C"/>
    <w:rsid w:val="00352D7D"/>
    <w:rsid w:val="00353840"/>
    <w:rsid w:val="00355847"/>
    <w:rsid w:val="00355F3C"/>
    <w:rsid w:val="0036186B"/>
    <w:rsid w:val="00362ED2"/>
    <w:rsid w:val="00365266"/>
    <w:rsid w:val="00365648"/>
    <w:rsid w:val="00370FCE"/>
    <w:rsid w:val="00371D18"/>
    <w:rsid w:val="00372AD6"/>
    <w:rsid w:val="00373A2E"/>
    <w:rsid w:val="00376C56"/>
    <w:rsid w:val="00377E4D"/>
    <w:rsid w:val="00380169"/>
    <w:rsid w:val="0038343D"/>
    <w:rsid w:val="00387002"/>
    <w:rsid w:val="0039139F"/>
    <w:rsid w:val="00392336"/>
    <w:rsid w:val="00393EE2"/>
    <w:rsid w:val="0039558F"/>
    <w:rsid w:val="00395DA6"/>
    <w:rsid w:val="003A452F"/>
    <w:rsid w:val="003A4F9D"/>
    <w:rsid w:val="003B2DE3"/>
    <w:rsid w:val="003B4740"/>
    <w:rsid w:val="003C7E25"/>
    <w:rsid w:val="003D05D5"/>
    <w:rsid w:val="003E1740"/>
    <w:rsid w:val="003E25C6"/>
    <w:rsid w:val="003E774B"/>
    <w:rsid w:val="003F10A1"/>
    <w:rsid w:val="003F2960"/>
    <w:rsid w:val="004015C2"/>
    <w:rsid w:val="00402061"/>
    <w:rsid w:val="00402586"/>
    <w:rsid w:val="004175E3"/>
    <w:rsid w:val="004203DE"/>
    <w:rsid w:val="00421C91"/>
    <w:rsid w:val="00424C63"/>
    <w:rsid w:val="0042552D"/>
    <w:rsid w:val="004319FE"/>
    <w:rsid w:val="00434482"/>
    <w:rsid w:val="0043515D"/>
    <w:rsid w:val="00436414"/>
    <w:rsid w:val="00442E32"/>
    <w:rsid w:val="00453D93"/>
    <w:rsid w:val="00472098"/>
    <w:rsid w:val="0047247B"/>
    <w:rsid w:val="00475308"/>
    <w:rsid w:val="004811F1"/>
    <w:rsid w:val="00484E63"/>
    <w:rsid w:val="00485542"/>
    <w:rsid w:val="004864E5"/>
    <w:rsid w:val="00486742"/>
    <w:rsid w:val="00495781"/>
    <w:rsid w:val="00495863"/>
    <w:rsid w:val="00497CDF"/>
    <w:rsid w:val="004A2BC8"/>
    <w:rsid w:val="004A7E05"/>
    <w:rsid w:val="004B0D34"/>
    <w:rsid w:val="004B168C"/>
    <w:rsid w:val="004B2163"/>
    <w:rsid w:val="004B2B85"/>
    <w:rsid w:val="004B6E89"/>
    <w:rsid w:val="004C236F"/>
    <w:rsid w:val="004C2453"/>
    <w:rsid w:val="004C442C"/>
    <w:rsid w:val="004C46F2"/>
    <w:rsid w:val="004C58F6"/>
    <w:rsid w:val="004C7F36"/>
    <w:rsid w:val="004D02F0"/>
    <w:rsid w:val="004D31B9"/>
    <w:rsid w:val="004D3CB6"/>
    <w:rsid w:val="004D47B0"/>
    <w:rsid w:val="004D601C"/>
    <w:rsid w:val="004D61F4"/>
    <w:rsid w:val="004E0ED5"/>
    <w:rsid w:val="004E4335"/>
    <w:rsid w:val="004E44A6"/>
    <w:rsid w:val="004E5F8E"/>
    <w:rsid w:val="004E6A2D"/>
    <w:rsid w:val="004E6CC3"/>
    <w:rsid w:val="004F07F9"/>
    <w:rsid w:val="004F1E5F"/>
    <w:rsid w:val="004F2E79"/>
    <w:rsid w:val="004F3055"/>
    <w:rsid w:val="004F7CCD"/>
    <w:rsid w:val="00500D45"/>
    <w:rsid w:val="005010D9"/>
    <w:rsid w:val="00511A05"/>
    <w:rsid w:val="005215BC"/>
    <w:rsid w:val="0052201A"/>
    <w:rsid w:val="00531EED"/>
    <w:rsid w:val="00540784"/>
    <w:rsid w:val="00543425"/>
    <w:rsid w:val="00543986"/>
    <w:rsid w:val="00543FDF"/>
    <w:rsid w:val="00552679"/>
    <w:rsid w:val="005533C1"/>
    <w:rsid w:val="00560083"/>
    <w:rsid w:val="00560D28"/>
    <w:rsid w:val="005623EA"/>
    <w:rsid w:val="00562FD8"/>
    <w:rsid w:val="00563D0F"/>
    <w:rsid w:val="005651A9"/>
    <w:rsid w:val="00565A79"/>
    <w:rsid w:val="00571E48"/>
    <w:rsid w:val="00576EE9"/>
    <w:rsid w:val="00577B89"/>
    <w:rsid w:val="00581555"/>
    <w:rsid w:val="0058577F"/>
    <w:rsid w:val="00585ABC"/>
    <w:rsid w:val="005878CA"/>
    <w:rsid w:val="00591526"/>
    <w:rsid w:val="005A0DB4"/>
    <w:rsid w:val="005A0F5F"/>
    <w:rsid w:val="005A3A17"/>
    <w:rsid w:val="005A790A"/>
    <w:rsid w:val="005B358D"/>
    <w:rsid w:val="005B62D9"/>
    <w:rsid w:val="005C49E6"/>
    <w:rsid w:val="005C5EAA"/>
    <w:rsid w:val="005D4520"/>
    <w:rsid w:val="005D4953"/>
    <w:rsid w:val="005D5EF1"/>
    <w:rsid w:val="005E7DB0"/>
    <w:rsid w:val="005F3460"/>
    <w:rsid w:val="00601254"/>
    <w:rsid w:val="00601738"/>
    <w:rsid w:val="006042E5"/>
    <w:rsid w:val="00615F56"/>
    <w:rsid w:val="0062212B"/>
    <w:rsid w:val="0062342E"/>
    <w:rsid w:val="00623B57"/>
    <w:rsid w:val="006269A3"/>
    <w:rsid w:val="006317B2"/>
    <w:rsid w:val="00634737"/>
    <w:rsid w:val="00636F14"/>
    <w:rsid w:val="00640B63"/>
    <w:rsid w:val="00641F47"/>
    <w:rsid w:val="00643E97"/>
    <w:rsid w:val="00646442"/>
    <w:rsid w:val="00652C76"/>
    <w:rsid w:val="006554FE"/>
    <w:rsid w:val="00662AF2"/>
    <w:rsid w:val="00664089"/>
    <w:rsid w:val="0067041C"/>
    <w:rsid w:val="006726B6"/>
    <w:rsid w:val="006731DF"/>
    <w:rsid w:val="00674D71"/>
    <w:rsid w:val="006770DF"/>
    <w:rsid w:val="0068048D"/>
    <w:rsid w:val="00681B23"/>
    <w:rsid w:val="00682C70"/>
    <w:rsid w:val="00683332"/>
    <w:rsid w:val="006875DA"/>
    <w:rsid w:val="0069017E"/>
    <w:rsid w:val="006946FB"/>
    <w:rsid w:val="00695EF0"/>
    <w:rsid w:val="006A5580"/>
    <w:rsid w:val="006A5874"/>
    <w:rsid w:val="006A717D"/>
    <w:rsid w:val="006B5030"/>
    <w:rsid w:val="006B536F"/>
    <w:rsid w:val="006C4B6D"/>
    <w:rsid w:val="006C7227"/>
    <w:rsid w:val="006D2089"/>
    <w:rsid w:val="006D57A4"/>
    <w:rsid w:val="006E1E74"/>
    <w:rsid w:val="006E22A8"/>
    <w:rsid w:val="006E2E58"/>
    <w:rsid w:val="006E394D"/>
    <w:rsid w:val="006F04E7"/>
    <w:rsid w:val="006F42E5"/>
    <w:rsid w:val="00701509"/>
    <w:rsid w:val="00701708"/>
    <w:rsid w:val="007038A9"/>
    <w:rsid w:val="0071076B"/>
    <w:rsid w:val="00721928"/>
    <w:rsid w:val="00724C1E"/>
    <w:rsid w:val="007258BF"/>
    <w:rsid w:val="007331F9"/>
    <w:rsid w:val="007422B9"/>
    <w:rsid w:val="00743BC2"/>
    <w:rsid w:val="00754079"/>
    <w:rsid w:val="007565EF"/>
    <w:rsid w:val="00756D95"/>
    <w:rsid w:val="007610F1"/>
    <w:rsid w:val="007625EB"/>
    <w:rsid w:val="00763F50"/>
    <w:rsid w:val="00764362"/>
    <w:rsid w:val="00764D1C"/>
    <w:rsid w:val="00766CB1"/>
    <w:rsid w:val="00770BF8"/>
    <w:rsid w:val="00770FE7"/>
    <w:rsid w:val="00774312"/>
    <w:rsid w:val="00781100"/>
    <w:rsid w:val="00783441"/>
    <w:rsid w:val="0079074F"/>
    <w:rsid w:val="007911A6"/>
    <w:rsid w:val="007949F1"/>
    <w:rsid w:val="007A13C3"/>
    <w:rsid w:val="007A330E"/>
    <w:rsid w:val="007A35F3"/>
    <w:rsid w:val="007A5F83"/>
    <w:rsid w:val="007B1AD3"/>
    <w:rsid w:val="007B406D"/>
    <w:rsid w:val="007C029B"/>
    <w:rsid w:val="007C2ECF"/>
    <w:rsid w:val="007C7EA0"/>
    <w:rsid w:val="007D1EDA"/>
    <w:rsid w:val="007D58BB"/>
    <w:rsid w:val="007E1187"/>
    <w:rsid w:val="007E70AE"/>
    <w:rsid w:val="00802A61"/>
    <w:rsid w:val="00804C7A"/>
    <w:rsid w:val="008053B5"/>
    <w:rsid w:val="00805881"/>
    <w:rsid w:val="00810AA3"/>
    <w:rsid w:val="008118CB"/>
    <w:rsid w:val="008149C9"/>
    <w:rsid w:val="00816250"/>
    <w:rsid w:val="00817049"/>
    <w:rsid w:val="0082107B"/>
    <w:rsid w:val="0082233B"/>
    <w:rsid w:val="0082593E"/>
    <w:rsid w:val="00826AE9"/>
    <w:rsid w:val="00834807"/>
    <w:rsid w:val="00834D80"/>
    <w:rsid w:val="00836E09"/>
    <w:rsid w:val="00841AFA"/>
    <w:rsid w:val="00844492"/>
    <w:rsid w:val="00847551"/>
    <w:rsid w:val="00847B5F"/>
    <w:rsid w:val="00850C83"/>
    <w:rsid w:val="00855E6D"/>
    <w:rsid w:val="00856D31"/>
    <w:rsid w:val="0085770C"/>
    <w:rsid w:val="00857A7B"/>
    <w:rsid w:val="00860E43"/>
    <w:rsid w:val="0086251C"/>
    <w:rsid w:val="0086507F"/>
    <w:rsid w:val="00866A4D"/>
    <w:rsid w:val="00870C9E"/>
    <w:rsid w:val="0087233D"/>
    <w:rsid w:val="0087758D"/>
    <w:rsid w:val="00877D20"/>
    <w:rsid w:val="00885F98"/>
    <w:rsid w:val="008928B0"/>
    <w:rsid w:val="00892B9B"/>
    <w:rsid w:val="008A0444"/>
    <w:rsid w:val="008A067F"/>
    <w:rsid w:val="008B0ABD"/>
    <w:rsid w:val="008B1762"/>
    <w:rsid w:val="008B5012"/>
    <w:rsid w:val="008B67F3"/>
    <w:rsid w:val="008C3AC1"/>
    <w:rsid w:val="008C51FC"/>
    <w:rsid w:val="008C5A41"/>
    <w:rsid w:val="008D1F44"/>
    <w:rsid w:val="008D20A1"/>
    <w:rsid w:val="008D282B"/>
    <w:rsid w:val="008D2AFA"/>
    <w:rsid w:val="008D4CBE"/>
    <w:rsid w:val="008D4D1F"/>
    <w:rsid w:val="008D5289"/>
    <w:rsid w:val="008D7250"/>
    <w:rsid w:val="008E48A3"/>
    <w:rsid w:val="008E626C"/>
    <w:rsid w:val="008F0F61"/>
    <w:rsid w:val="008F10AF"/>
    <w:rsid w:val="008F6295"/>
    <w:rsid w:val="008F72C0"/>
    <w:rsid w:val="00900B99"/>
    <w:rsid w:val="00912304"/>
    <w:rsid w:val="00914FAE"/>
    <w:rsid w:val="009153F2"/>
    <w:rsid w:val="009237B6"/>
    <w:rsid w:val="00925D38"/>
    <w:rsid w:val="00926BEA"/>
    <w:rsid w:val="0093011B"/>
    <w:rsid w:val="00934B84"/>
    <w:rsid w:val="00936CD4"/>
    <w:rsid w:val="00942264"/>
    <w:rsid w:val="00943F00"/>
    <w:rsid w:val="00947BD8"/>
    <w:rsid w:val="00950E36"/>
    <w:rsid w:val="00961BD4"/>
    <w:rsid w:val="009624D5"/>
    <w:rsid w:val="009670A9"/>
    <w:rsid w:val="0097025F"/>
    <w:rsid w:val="0097240A"/>
    <w:rsid w:val="00972F4D"/>
    <w:rsid w:val="009769DC"/>
    <w:rsid w:val="009774F6"/>
    <w:rsid w:val="00983CE3"/>
    <w:rsid w:val="00991497"/>
    <w:rsid w:val="00994916"/>
    <w:rsid w:val="00996462"/>
    <w:rsid w:val="009A0E8D"/>
    <w:rsid w:val="009A185D"/>
    <w:rsid w:val="009A6C4F"/>
    <w:rsid w:val="009A6C67"/>
    <w:rsid w:val="009B28CB"/>
    <w:rsid w:val="009B345C"/>
    <w:rsid w:val="009B35E0"/>
    <w:rsid w:val="009B4E53"/>
    <w:rsid w:val="009B6747"/>
    <w:rsid w:val="009C08F3"/>
    <w:rsid w:val="009C1639"/>
    <w:rsid w:val="009C49AC"/>
    <w:rsid w:val="009D48FB"/>
    <w:rsid w:val="009E2585"/>
    <w:rsid w:val="009E69A2"/>
    <w:rsid w:val="009E7F11"/>
    <w:rsid w:val="009F1258"/>
    <w:rsid w:val="009F56B4"/>
    <w:rsid w:val="009F7A5D"/>
    <w:rsid w:val="00A06622"/>
    <w:rsid w:val="00A10DB8"/>
    <w:rsid w:val="00A12F9F"/>
    <w:rsid w:val="00A13349"/>
    <w:rsid w:val="00A15200"/>
    <w:rsid w:val="00A21859"/>
    <w:rsid w:val="00A2610E"/>
    <w:rsid w:val="00A26B07"/>
    <w:rsid w:val="00A2749D"/>
    <w:rsid w:val="00A279B6"/>
    <w:rsid w:val="00A30820"/>
    <w:rsid w:val="00A316E7"/>
    <w:rsid w:val="00A33BEC"/>
    <w:rsid w:val="00A350EB"/>
    <w:rsid w:val="00A362C7"/>
    <w:rsid w:val="00A445E5"/>
    <w:rsid w:val="00A4773E"/>
    <w:rsid w:val="00A51E9A"/>
    <w:rsid w:val="00A5278B"/>
    <w:rsid w:val="00A55646"/>
    <w:rsid w:val="00A624ED"/>
    <w:rsid w:val="00A66F89"/>
    <w:rsid w:val="00A6714D"/>
    <w:rsid w:val="00A7045E"/>
    <w:rsid w:val="00A71FD4"/>
    <w:rsid w:val="00A75525"/>
    <w:rsid w:val="00A75D24"/>
    <w:rsid w:val="00A83463"/>
    <w:rsid w:val="00A87A49"/>
    <w:rsid w:val="00A914D1"/>
    <w:rsid w:val="00A92DF5"/>
    <w:rsid w:val="00A94CDD"/>
    <w:rsid w:val="00A94D07"/>
    <w:rsid w:val="00A9511C"/>
    <w:rsid w:val="00A9518C"/>
    <w:rsid w:val="00A95722"/>
    <w:rsid w:val="00A960E8"/>
    <w:rsid w:val="00A9756D"/>
    <w:rsid w:val="00AA71DE"/>
    <w:rsid w:val="00AB7B54"/>
    <w:rsid w:val="00AC00E6"/>
    <w:rsid w:val="00AD15C4"/>
    <w:rsid w:val="00AD6B5C"/>
    <w:rsid w:val="00AF1874"/>
    <w:rsid w:val="00AF280B"/>
    <w:rsid w:val="00AF2D22"/>
    <w:rsid w:val="00AF6167"/>
    <w:rsid w:val="00B04E55"/>
    <w:rsid w:val="00B056A6"/>
    <w:rsid w:val="00B061FD"/>
    <w:rsid w:val="00B0660F"/>
    <w:rsid w:val="00B16B63"/>
    <w:rsid w:val="00B20C2F"/>
    <w:rsid w:val="00B25252"/>
    <w:rsid w:val="00B2580B"/>
    <w:rsid w:val="00B310BB"/>
    <w:rsid w:val="00B31585"/>
    <w:rsid w:val="00B33354"/>
    <w:rsid w:val="00B335B8"/>
    <w:rsid w:val="00B428E7"/>
    <w:rsid w:val="00B43331"/>
    <w:rsid w:val="00B45522"/>
    <w:rsid w:val="00B50E50"/>
    <w:rsid w:val="00B50F00"/>
    <w:rsid w:val="00B514D4"/>
    <w:rsid w:val="00B517BE"/>
    <w:rsid w:val="00B5349E"/>
    <w:rsid w:val="00B55855"/>
    <w:rsid w:val="00B6506E"/>
    <w:rsid w:val="00B70389"/>
    <w:rsid w:val="00B73174"/>
    <w:rsid w:val="00B75A28"/>
    <w:rsid w:val="00B82063"/>
    <w:rsid w:val="00B8212A"/>
    <w:rsid w:val="00B830F8"/>
    <w:rsid w:val="00B85BE7"/>
    <w:rsid w:val="00B8609F"/>
    <w:rsid w:val="00B87D2F"/>
    <w:rsid w:val="00B92057"/>
    <w:rsid w:val="00B92AE8"/>
    <w:rsid w:val="00B9478C"/>
    <w:rsid w:val="00B96F4F"/>
    <w:rsid w:val="00B96FE4"/>
    <w:rsid w:val="00B973D9"/>
    <w:rsid w:val="00B97790"/>
    <w:rsid w:val="00BA23AE"/>
    <w:rsid w:val="00BA321E"/>
    <w:rsid w:val="00BA40F5"/>
    <w:rsid w:val="00BA5A3B"/>
    <w:rsid w:val="00BA673A"/>
    <w:rsid w:val="00BA6E88"/>
    <w:rsid w:val="00BB2D47"/>
    <w:rsid w:val="00BB3C2E"/>
    <w:rsid w:val="00BB3CF3"/>
    <w:rsid w:val="00BC04B7"/>
    <w:rsid w:val="00BC175E"/>
    <w:rsid w:val="00BC286D"/>
    <w:rsid w:val="00BC4C96"/>
    <w:rsid w:val="00BD2AD2"/>
    <w:rsid w:val="00BD6F1E"/>
    <w:rsid w:val="00BF10C4"/>
    <w:rsid w:val="00BF2198"/>
    <w:rsid w:val="00BF2B26"/>
    <w:rsid w:val="00BF3D04"/>
    <w:rsid w:val="00BF43D2"/>
    <w:rsid w:val="00BF7BDE"/>
    <w:rsid w:val="00C04D90"/>
    <w:rsid w:val="00C04E0F"/>
    <w:rsid w:val="00C201F3"/>
    <w:rsid w:val="00C22459"/>
    <w:rsid w:val="00C24F4D"/>
    <w:rsid w:val="00C353FA"/>
    <w:rsid w:val="00C36BEC"/>
    <w:rsid w:val="00C4517D"/>
    <w:rsid w:val="00C46D2E"/>
    <w:rsid w:val="00C50633"/>
    <w:rsid w:val="00C51566"/>
    <w:rsid w:val="00C52231"/>
    <w:rsid w:val="00C53FF8"/>
    <w:rsid w:val="00C568B2"/>
    <w:rsid w:val="00C61475"/>
    <w:rsid w:val="00C61D22"/>
    <w:rsid w:val="00C62434"/>
    <w:rsid w:val="00C66529"/>
    <w:rsid w:val="00C70F7B"/>
    <w:rsid w:val="00C739BB"/>
    <w:rsid w:val="00C74CD7"/>
    <w:rsid w:val="00C8105D"/>
    <w:rsid w:val="00C8112D"/>
    <w:rsid w:val="00C8379A"/>
    <w:rsid w:val="00C87CC1"/>
    <w:rsid w:val="00C924AC"/>
    <w:rsid w:val="00CA5153"/>
    <w:rsid w:val="00CA5811"/>
    <w:rsid w:val="00CB004A"/>
    <w:rsid w:val="00CB132E"/>
    <w:rsid w:val="00CB2EEE"/>
    <w:rsid w:val="00CB3EBE"/>
    <w:rsid w:val="00CB4F56"/>
    <w:rsid w:val="00CB5DCF"/>
    <w:rsid w:val="00CC2AAF"/>
    <w:rsid w:val="00CC3158"/>
    <w:rsid w:val="00CC6F86"/>
    <w:rsid w:val="00CC7E32"/>
    <w:rsid w:val="00CD2382"/>
    <w:rsid w:val="00CD3DBE"/>
    <w:rsid w:val="00CE0EFE"/>
    <w:rsid w:val="00CE4425"/>
    <w:rsid w:val="00CE4869"/>
    <w:rsid w:val="00CE5D45"/>
    <w:rsid w:val="00CF0CB7"/>
    <w:rsid w:val="00CF3884"/>
    <w:rsid w:val="00CF40C6"/>
    <w:rsid w:val="00CF4764"/>
    <w:rsid w:val="00D002CA"/>
    <w:rsid w:val="00D009DB"/>
    <w:rsid w:val="00D025F6"/>
    <w:rsid w:val="00D07986"/>
    <w:rsid w:val="00D114E3"/>
    <w:rsid w:val="00D114F4"/>
    <w:rsid w:val="00D11E18"/>
    <w:rsid w:val="00D12C3B"/>
    <w:rsid w:val="00D1402F"/>
    <w:rsid w:val="00D20F42"/>
    <w:rsid w:val="00D217CA"/>
    <w:rsid w:val="00D235C1"/>
    <w:rsid w:val="00D236B3"/>
    <w:rsid w:val="00D23752"/>
    <w:rsid w:val="00D23AC2"/>
    <w:rsid w:val="00D271B3"/>
    <w:rsid w:val="00D37560"/>
    <w:rsid w:val="00D3ACA0"/>
    <w:rsid w:val="00D43C2B"/>
    <w:rsid w:val="00D44B63"/>
    <w:rsid w:val="00D4533B"/>
    <w:rsid w:val="00D4767E"/>
    <w:rsid w:val="00D50CDE"/>
    <w:rsid w:val="00D51C40"/>
    <w:rsid w:val="00D51EA9"/>
    <w:rsid w:val="00D520E2"/>
    <w:rsid w:val="00D559B5"/>
    <w:rsid w:val="00D5FE32"/>
    <w:rsid w:val="00D60429"/>
    <w:rsid w:val="00D60FE4"/>
    <w:rsid w:val="00D62982"/>
    <w:rsid w:val="00D66FDC"/>
    <w:rsid w:val="00D67C1C"/>
    <w:rsid w:val="00D709C9"/>
    <w:rsid w:val="00D71251"/>
    <w:rsid w:val="00D72C7C"/>
    <w:rsid w:val="00D769CC"/>
    <w:rsid w:val="00D76C16"/>
    <w:rsid w:val="00D837B9"/>
    <w:rsid w:val="00D841C8"/>
    <w:rsid w:val="00D851DF"/>
    <w:rsid w:val="00D8580A"/>
    <w:rsid w:val="00D86410"/>
    <w:rsid w:val="00D94659"/>
    <w:rsid w:val="00D9501B"/>
    <w:rsid w:val="00DA23E5"/>
    <w:rsid w:val="00DA2CC9"/>
    <w:rsid w:val="00DA4976"/>
    <w:rsid w:val="00DC4B78"/>
    <w:rsid w:val="00DC6290"/>
    <w:rsid w:val="00DD05CF"/>
    <w:rsid w:val="00DD4877"/>
    <w:rsid w:val="00DD4CD2"/>
    <w:rsid w:val="00DD51AD"/>
    <w:rsid w:val="00DD5C09"/>
    <w:rsid w:val="00DE0D3B"/>
    <w:rsid w:val="00DE2FB3"/>
    <w:rsid w:val="00DE5FD3"/>
    <w:rsid w:val="00DF65BF"/>
    <w:rsid w:val="00E01515"/>
    <w:rsid w:val="00E04AC4"/>
    <w:rsid w:val="00E07434"/>
    <w:rsid w:val="00E107AD"/>
    <w:rsid w:val="00E11861"/>
    <w:rsid w:val="00E151D5"/>
    <w:rsid w:val="00E16041"/>
    <w:rsid w:val="00E161A3"/>
    <w:rsid w:val="00E22F24"/>
    <w:rsid w:val="00E23962"/>
    <w:rsid w:val="00E24F87"/>
    <w:rsid w:val="00E25709"/>
    <w:rsid w:val="00E27F13"/>
    <w:rsid w:val="00E30745"/>
    <w:rsid w:val="00E31811"/>
    <w:rsid w:val="00E31AE2"/>
    <w:rsid w:val="00E33AC1"/>
    <w:rsid w:val="00E37742"/>
    <w:rsid w:val="00E40811"/>
    <w:rsid w:val="00E44268"/>
    <w:rsid w:val="00E44676"/>
    <w:rsid w:val="00E51C66"/>
    <w:rsid w:val="00E541A3"/>
    <w:rsid w:val="00E71C32"/>
    <w:rsid w:val="00E752C6"/>
    <w:rsid w:val="00E761CC"/>
    <w:rsid w:val="00E91EE5"/>
    <w:rsid w:val="00E94F83"/>
    <w:rsid w:val="00E95135"/>
    <w:rsid w:val="00E973DB"/>
    <w:rsid w:val="00EA05E0"/>
    <w:rsid w:val="00EA3F60"/>
    <w:rsid w:val="00EA40EA"/>
    <w:rsid w:val="00EA4B81"/>
    <w:rsid w:val="00EA56FE"/>
    <w:rsid w:val="00EB205D"/>
    <w:rsid w:val="00EB561E"/>
    <w:rsid w:val="00EB5767"/>
    <w:rsid w:val="00EB6B88"/>
    <w:rsid w:val="00EB7D1F"/>
    <w:rsid w:val="00EC1129"/>
    <w:rsid w:val="00EC2083"/>
    <w:rsid w:val="00EC2FC4"/>
    <w:rsid w:val="00EC40A6"/>
    <w:rsid w:val="00EC5CD1"/>
    <w:rsid w:val="00EC6CC4"/>
    <w:rsid w:val="00EC6F44"/>
    <w:rsid w:val="00ED1BBC"/>
    <w:rsid w:val="00ED4D59"/>
    <w:rsid w:val="00ED66E6"/>
    <w:rsid w:val="00EE3C1A"/>
    <w:rsid w:val="00EE58F4"/>
    <w:rsid w:val="00EF122F"/>
    <w:rsid w:val="00EF3B03"/>
    <w:rsid w:val="00EF4AAA"/>
    <w:rsid w:val="00F007AB"/>
    <w:rsid w:val="00F00F5A"/>
    <w:rsid w:val="00F02319"/>
    <w:rsid w:val="00F04AD2"/>
    <w:rsid w:val="00F113FA"/>
    <w:rsid w:val="00F11752"/>
    <w:rsid w:val="00F175F8"/>
    <w:rsid w:val="00F208DB"/>
    <w:rsid w:val="00F214DE"/>
    <w:rsid w:val="00F21570"/>
    <w:rsid w:val="00F22536"/>
    <w:rsid w:val="00F226CC"/>
    <w:rsid w:val="00F22792"/>
    <w:rsid w:val="00F32BF3"/>
    <w:rsid w:val="00F32DC4"/>
    <w:rsid w:val="00F44F47"/>
    <w:rsid w:val="00F51213"/>
    <w:rsid w:val="00F520B9"/>
    <w:rsid w:val="00F52A86"/>
    <w:rsid w:val="00F52E2A"/>
    <w:rsid w:val="00F61A67"/>
    <w:rsid w:val="00F62E71"/>
    <w:rsid w:val="00F714DD"/>
    <w:rsid w:val="00F8205D"/>
    <w:rsid w:val="00F82CA5"/>
    <w:rsid w:val="00F85063"/>
    <w:rsid w:val="00F8655D"/>
    <w:rsid w:val="00F86906"/>
    <w:rsid w:val="00F8780A"/>
    <w:rsid w:val="00F90B4B"/>
    <w:rsid w:val="00F9120A"/>
    <w:rsid w:val="00F92920"/>
    <w:rsid w:val="00F935CC"/>
    <w:rsid w:val="00F93AC1"/>
    <w:rsid w:val="00F95B2B"/>
    <w:rsid w:val="00F966B9"/>
    <w:rsid w:val="00F96D4E"/>
    <w:rsid w:val="00FA030B"/>
    <w:rsid w:val="00FA21EF"/>
    <w:rsid w:val="00FA7265"/>
    <w:rsid w:val="00FA7C8E"/>
    <w:rsid w:val="00FB3635"/>
    <w:rsid w:val="00FC14A9"/>
    <w:rsid w:val="00FC5FB1"/>
    <w:rsid w:val="00FC6C73"/>
    <w:rsid w:val="00FD22B1"/>
    <w:rsid w:val="00FD2F08"/>
    <w:rsid w:val="00FD35C5"/>
    <w:rsid w:val="00FD4408"/>
    <w:rsid w:val="00FD4A60"/>
    <w:rsid w:val="00FE1E5A"/>
    <w:rsid w:val="00FE3C8E"/>
    <w:rsid w:val="00FE7D0D"/>
    <w:rsid w:val="00FF16E8"/>
    <w:rsid w:val="00FF1AD2"/>
    <w:rsid w:val="00FF4D41"/>
    <w:rsid w:val="00FF4DBE"/>
    <w:rsid w:val="00FF52EB"/>
    <w:rsid w:val="00FF5AEB"/>
    <w:rsid w:val="013EBA13"/>
    <w:rsid w:val="01FF0EFC"/>
    <w:rsid w:val="0254D628"/>
    <w:rsid w:val="03205DB7"/>
    <w:rsid w:val="037EEC2D"/>
    <w:rsid w:val="0390C3F5"/>
    <w:rsid w:val="03B13B3C"/>
    <w:rsid w:val="040AF34E"/>
    <w:rsid w:val="045C05D2"/>
    <w:rsid w:val="047CC98C"/>
    <w:rsid w:val="049FD36B"/>
    <w:rsid w:val="04BB5CFF"/>
    <w:rsid w:val="05242DA4"/>
    <w:rsid w:val="05266EFF"/>
    <w:rsid w:val="055ED690"/>
    <w:rsid w:val="05C13D12"/>
    <w:rsid w:val="05E9E561"/>
    <w:rsid w:val="062C5245"/>
    <w:rsid w:val="06530CD3"/>
    <w:rsid w:val="0681B080"/>
    <w:rsid w:val="06D0C895"/>
    <w:rsid w:val="06F5D5B1"/>
    <w:rsid w:val="070AB89E"/>
    <w:rsid w:val="0724FD08"/>
    <w:rsid w:val="073ADA54"/>
    <w:rsid w:val="077EEEC8"/>
    <w:rsid w:val="07B5EEA9"/>
    <w:rsid w:val="07CE2D51"/>
    <w:rsid w:val="07D5CFAB"/>
    <w:rsid w:val="08595DF0"/>
    <w:rsid w:val="088A12F6"/>
    <w:rsid w:val="08B805F3"/>
    <w:rsid w:val="08F5AE4F"/>
    <w:rsid w:val="09090B6A"/>
    <w:rsid w:val="098B5198"/>
    <w:rsid w:val="09D76F53"/>
    <w:rsid w:val="0A02AFC9"/>
    <w:rsid w:val="0A08CEA3"/>
    <w:rsid w:val="0B357C5A"/>
    <w:rsid w:val="0B44BD26"/>
    <w:rsid w:val="0B7E48D8"/>
    <w:rsid w:val="0B7FCB9D"/>
    <w:rsid w:val="0B99098A"/>
    <w:rsid w:val="0BB41CD3"/>
    <w:rsid w:val="0BB96824"/>
    <w:rsid w:val="0BF1BD39"/>
    <w:rsid w:val="0C370E13"/>
    <w:rsid w:val="0CA26965"/>
    <w:rsid w:val="0DB7487F"/>
    <w:rsid w:val="0DBF2462"/>
    <w:rsid w:val="0E2229F0"/>
    <w:rsid w:val="0E590F9A"/>
    <w:rsid w:val="0ED2B0A2"/>
    <w:rsid w:val="0F7324A8"/>
    <w:rsid w:val="0FAC62DA"/>
    <w:rsid w:val="1004142C"/>
    <w:rsid w:val="100CAE92"/>
    <w:rsid w:val="106F306B"/>
    <w:rsid w:val="112A997E"/>
    <w:rsid w:val="113CB6B5"/>
    <w:rsid w:val="1151BC68"/>
    <w:rsid w:val="1164DFFF"/>
    <w:rsid w:val="11A4E87E"/>
    <w:rsid w:val="11A80D4A"/>
    <w:rsid w:val="11CA4231"/>
    <w:rsid w:val="1283D3D8"/>
    <w:rsid w:val="128EA788"/>
    <w:rsid w:val="12BC1E5A"/>
    <w:rsid w:val="12D1EAEE"/>
    <w:rsid w:val="12D7F5F6"/>
    <w:rsid w:val="12FC1FCB"/>
    <w:rsid w:val="130118CF"/>
    <w:rsid w:val="132E8749"/>
    <w:rsid w:val="13566F6E"/>
    <w:rsid w:val="1364B781"/>
    <w:rsid w:val="137D94A6"/>
    <w:rsid w:val="13ECB3CB"/>
    <w:rsid w:val="141FD966"/>
    <w:rsid w:val="1449551E"/>
    <w:rsid w:val="147D063E"/>
    <w:rsid w:val="14E8994F"/>
    <w:rsid w:val="1504A487"/>
    <w:rsid w:val="1509D7F5"/>
    <w:rsid w:val="151F99E7"/>
    <w:rsid w:val="153415BF"/>
    <w:rsid w:val="15A839FC"/>
    <w:rsid w:val="16F9A075"/>
    <w:rsid w:val="1704249A"/>
    <w:rsid w:val="1721AE6F"/>
    <w:rsid w:val="17FF015D"/>
    <w:rsid w:val="18335755"/>
    <w:rsid w:val="1835B362"/>
    <w:rsid w:val="18409F1E"/>
    <w:rsid w:val="1877CA6B"/>
    <w:rsid w:val="18CB7E4D"/>
    <w:rsid w:val="18DB222A"/>
    <w:rsid w:val="191B84C8"/>
    <w:rsid w:val="197A0BEC"/>
    <w:rsid w:val="198D11DE"/>
    <w:rsid w:val="19B53BD7"/>
    <w:rsid w:val="19BA4121"/>
    <w:rsid w:val="1A747383"/>
    <w:rsid w:val="1ADC376C"/>
    <w:rsid w:val="1B015F66"/>
    <w:rsid w:val="1B1135E8"/>
    <w:rsid w:val="1B66A163"/>
    <w:rsid w:val="1BEA88F6"/>
    <w:rsid w:val="1C025DF7"/>
    <w:rsid w:val="1C5B41EA"/>
    <w:rsid w:val="1C7EA897"/>
    <w:rsid w:val="1CA00B85"/>
    <w:rsid w:val="1CC597EE"/>
    <w:rsid w:val="1CC7BF0E"/>
    <w:rsid w:val="1CDC9A5F"/>
    <w:rsid w:val="1D1DE34C"/>
    <w:rsid w:val="1D34E6BB"/>
    <w:rsid w:val="1D6048B4"/>
    <w:rsid w:val="1D654052"/>
    <w:rsid w:val="1DCFADB9"/>
    <w:rsid w:val="1DF58411"/>
    <w:rsid w:val="1DFDB438"/>
    <w:rsid w:val="1E102787"/>
    <w:rsid w:val="1E1591D2"/>
    <w:rsid w:val="1E4B0DCD"/>
    <w:rsid w:val="1EF291FC"/>
    <w:rsid w:val="1F02B6F8"/>
    <w:rsid w:val="1FD6DE07"/>
    <w:rsid w:val="1FEF4BFC"/>
    <w:rsid w:val="2024484B"/>
    <w:rsid w:val="203763C9"/>
    <w:rsid w:val="204F7DB4"/>
    <w:rsid w:val="207C8A0E"/>
    <w:rsid w:val="20B6F7A2"/>
    <w:rsid w:val="20DE7020"/>
    <w:rsid w:val="21D44043"/>
    <w:rsid w:val="21E05F0F"/>
    <w:rsid w:val="21FA905E"/>
    <w:rsid w:val="22032C45"/>
    <w:rsid w:val="22241399"/>
    <w:rsid w:val="227F569B"/>
    <w:rsid w:val="22DB6B7B"/>
    <w:rsid w:val="230D00E4"/>
    <w:rsid w:val="23185D40"/>
    <w:rsid w:val="231C660B"/>
    <w:rsid w:val="238222C5"/>
    <w:rsid w:val="23A095F4"/>
    <w:rsid w:val="245ED2E0"/>
    <w:rsid w:val="24B155AA"/>
    <w:rsid w:val="24ED4EBA"/>
    <w:rsid w:val="255BEEDF"/>
    <w:rsid w:val="258E486D"/>
    <w:rsid w:val="259877F3"/>
    <w:rsid w:val="25A1B055"/>
    <w:rsid w:val="25D11B3F"/>
    <w:rsid w:val="25E33656"/>
    <w:rsid w:val="26047DB6"/>
    <w:rsid w:val="261933EE"/>
    <w:rsid w:val="26315828"/>
    <w:rsid w:val="264AC7CA"/>
    <w:rsid w:val="2699941C"/>
    <w:rsid w:val="26DDE320"/>
    <w:rsid w:val="26E80234"/>
    <w:rsid w:val="26FDCBD9"/>
    <w:rsid w:val="2746AD11"/>
    <w:rsid w:val="274D62D9"/>
    <w:rsid w:val="277CD54B"/>
    <w:rsid w:val="280C3D30"/>
    <w:rsid w:val="280F80F0"/>
    <w:rsid w:val="2896189F"/>
    <w:rsid w:val="291720E1"/>
    <w:rsid w:val="2958E538"/>
    <w:rsid w:val="29C798DB"/>
    <w:rsid w:val="2A09344F"/>
    <w:rsid w:val="2A27D7B9"/>
    <w:rsid w:val="2A97FF41"/>
    <w:rsid w:val="2AB755EE"/>
    <w:rsid w:val="2AD208CB"/>
    <w:rsid w:val="2B01FE5C"/>
    <w:rsid w:val="2B1FB6ED"/>
    <w:rsid w:val="2B65B4A9"/>
    <w:rsid w:val="2BB3ECDA"/>
    <w:rsid w:val="2BBAB07D"/>
    <w:rsid w:val="2BBC3850"/>
    <w:rsid w:val="2BF91C94"/>
    <w:rsid w:val="2C51F978"/>
    <w:rsid w:val="2C657EB4"/>
    <w:rsid w:val="2CD76E08"/>
    <w:rsid w:val="2CDE3EFE"/>
    <w:rsid w:val="2CDEC76A"/>
    <w:rsid w:val="2CE4ADFA"/>
    <w:rsid w:val="2D1464CC"/>
    <w:rsid w:val="2D25DA44"/>
    <w:rsid w:val="2DC418A3"/>
    <w:rsid w:val="2E47FCFF"/>
    <w:rsid w:val="2E63B052"/>
    <w:rsid w:val="2EA7B598"/>
    <w:rsid w:val="2ED6A8BB"/>
    <w:rsid w:val="3023ABC7"/>
    <w:rsid w:val="30412697"/>
    <w:rsid w:val="304E538D"/>
    <w:rsid w:val="3094212A"/>
    <w:rsid w:val="3125804F"/>
    <w:rsid w:val="3125D89E"/>
    <w:rsid w:val="3196FF86"/>
    <w:rsid w:val="31D9CD49"/>
    <w:rsid w:val="31F19B7D"/>
    <w:rsid w:val="31FA2D3A"/>
    <w:rsid w:val="3218342A"/>
    <w:rsid w:val="3271929A"/>
    <w:rsid w:val="327FC784"/>
    <w:rsid w:val="328C2961"/>
    <w:rsid w:val="33A52E02"/>
    <w:rsid w:val="33B68D00"/>
    <w:rsid w:val="3422DA7C"/>
    <w:rsid w:val="34239870"/>
    <w:rsid w:val="34C47691"/>
    <w:rsid w:val="3538EB62"/>
    <w:rsid w:val="355A1D96"/>
    <w:rsid w:val="3597990F"/>
    <w:rsid w:val="359FCC94"/>
    <w:rsid w:val="35AA0A7A"/>
    <w:rsid w:val="36216067"/>
    <w:rsid w:val="365890A1"/>
    <w:rsid w:val="3681E4AC"/>
    <w:rsid w:val="3699BE65"/>
    <w:rsid w:val="36C3153B"/>
    <w:rsid w:val="36E56080"/>
    <w:rsid w:val="37680204"/>
    <w:rsid w:val="37B69B6E"/>
    <w:rsid w:val="37BFC4E4"/>
    <w:rsid w:val="3806D027"/>
    <w:rsid w:val="381442FE"/>
    <w:rsid w:val="381686CC"/>
    <w:rsid w:val="383DB7E8"/>
    <w:rsid w:val="388F2742"/>
    <w:rsid w:val="3897E815"/>
    <w:rsid w:val="38CAE9DA"/>
    <w:rsid w:val="38CF5037"/>
    <w:rsid w:val="396B2A40"/>
    <w:rsid w:val="39B33047"/>
    <w:rsid w:val="39EE4442"/>
    <w:rsid w:val="3A0B7648"/>
    <w:rsid w:val="3ADAC16C"/>
    <w:rsid w:val="3AE27AE3"/>
    <w:rsid w:val="3AE357CC"/>
    <w:rsid w:val="3B0249F9"/>
    <w:rsid w:val="3B0E730D"/>
    <w:rsid w:val="3B65BBD0"/>
    <w:rsid w:val="3B71F130"/>
    <w:rsid w:val="3B7C6888"/>
    <w:rsid w:val="3BBE36B3"/>
    <w:rsid w:val="3BD46FEB"/>
    <w:rsid w:val="3BF1559F"/>
    <w:rsid w:val="3C001AC4"/>
    <w:rsid w:val="3C016FB1"/>
    <w:rsid w:val="3C16A9BB"/>
    <w:rsid w:val="3C575B89"/>
    <w:rsid w:val="3C5CF80D"/>
    <w:rsid w:val="3CAFEAF7"/>
    <w:rsid w:val="3CB3A17F"/>
    <w:rsid w:val="3CCC9E9F"/>
    <w:rsid w:val="3D4AAA34"/>
    <w:rsid w:val="3D7BF9D0"/>
    <w:rsid w:val="3E625A22"/>
    <w:rsid w:val="3EBA07D4"/>
    <w:rsid w:val="3F57D6CC"/>
    <w:rsid w:val="3F9FB133"/>
    <w:rsid w:val="3FF8FB8C"/>
    <w:rsid w:val="404FE158"/>
    <w:rsid w:val="4055AE69"/>
    <w:rsid w:val="4067CB9B"/>
    <w:rsid w:val="40B785F3"/>
    <w:rsid w:val="410D221F"/>
    <w:rsid w:val="416B01F4"/>
    <w:rsid w:val="41C17DE4"/>
    <w:rsid w:val="41E7EB1B"/>
    <w:rsid w:val="429BFA63"/>
    <w:rsid w:val="42C02170"/>
    <w:rsid w:val="430428DB"/>
    <w:rsid w:val="430F391A"/>
    <w:rsid w:val="4339E1EE"/>
    <w:rsid w:val="43792ADB"/>
    <w:rsid w:val="43A8B2ED"/>
    <w:rsid w:val="43F9C750"/>
    <w:rsid w:val="43FA8723"/>
    <w:rsid w:val="44543B74"/>
    <w:rsid w:val="447A264C"/>
    <w:rsid w:val="44FA2200"/>
    <w:rsid w:val="4535CFCE"/>
    <w:rsid w:val="4560F356"/>
    <w:rsid w:val="45BEE7A1"/>
    <w:rsid w:val="45CFCBA5"/>
    <w:rsid w:val="45D9276A"/>
    <w:rsid w:val="4687DF16"/>
    <w:rsid w:val="46A7BBD1"/>
    <w:rsid w:val="46AA22DD"/>
    <w:rsid w:val="46B3C8B2"/>
    <w:rsid w:val="46D509C8"/>
    <w:rsid w:val="47B5D9C1"/>
    <w:rsid w:val="47B98891"/>
    <w:rsid w:val="47BB50EF"/>
    <w:rsid w:val="47D5A402"/>
    <w:rsid w:val="47EB2049"/>
    <w:rsid w:val="488BD99D"/>
    <w:rsid w:val="48BCCA18"/>
    <w:rsid w:val="48D559FA"/>
    <w:rsid w:val="4924AAEF"/>
    <w:rsid w:val="495D030B"/>
    <w:rsid w:val="496A9DD6"/>
    <w:rsid w:val="497A9091"/>
    <w:rsid w:val="49C626C3"/>
    <w:rsid w:val="49C720F2"/>
    <w:rsid w:val="49CE88EB"/>
    <w:rsid w:val="49E0976E"/>
    <w:rsid w:val="49F9C5BE"/>
    <w:rsid w:val="4A8D1D93"/>
    <w:rsid w:val="4AA76E60"/>
    <w:rsid w:val="4B0BB9E5"/>
    <w:rsid w:val="4BD693D9"/>
    <w:rsid w:val="4C4371B6"/>
    <w:rsid w:val="4C4AA079"/>
    <w:rsid w:val="4C56382B"/>
    <w:rsid w:val="4C970BF8"/>
    <w:rsid w:val="4D36987D"/>
    <w:rsid w:val="4D5FC688"/>
    <w:rsid w:val="4D85B47B"/>
    <w:rsid w:val="4D9DC6C2"/>
    <w:rsid w:val="4DAAC90F"/>
    <w:rsid w:val="4DDC23C8"/>
    <w:rsid w:val="4DE46F5E"/>
    <w:rsid w:val="4EF6D2C0"/>
    <w:rsid w:val="4EFA8729"/>
    <w:rsid w:val="4F823435"/>
    <w:rsid w:val="4FFFC542"/>
    <w:rsid w:val="5008A889"/>
    <w:rsid w:val="501E2418"/>
    <w:rsid w:val="5049F5D6"/>
    <w:rsid w:val="50568E55"/>
    <w:rsid w:val="50A134BD"/>
    <w:rsid w:val="50B9BD08"/>
    <w:rsid w:val="51107B18"/>
    <w:rsid w:val="51B0B809"/>
    <w:rsid w:val="52096CAA"/>
    <w:rsid w:val="52234768"/>
    <w:rsid w:val="522FFA39"/>
    <w:rsid w:val="5230078E"/>
    <w:rsid w:val="523531F4"/>
    <w:rsid w:val="524F1DEE"/>
    <w:rsid w:val="527593E3"/>
    <w:rsid w:val="52B77A4E"/>
    <w:rsid w:val="52E88D05"/>
    <w:rsid w:val="52EC1F18"/>
    <w:rsid w:val="5320BBB0"/>
    <w:rsid w:val="534D3333"/>
    <w:rsid w:val="53695F7D"/>
    <w:rsid w:val="536B716B"/>
    <w:rsid w:val="5418D1C9"/>
    <w:rsid w:val="5507CDE6"/>
    <w:rsid w:val="5563A6DE"/>
    <w:rsid w:val="5580E69A"/>
    <w:rsid w:val="5596188E"/>
    <w:rsid w:val="55C6F1F7"/>
    <w:rsid w:val="55F87556"/>
    <w:rsid w:val="5620B52E"/>
    <w:rsid w:val="56F44E56"/>
    <w:rsid w:val="571A8B3D"/>
    <w:rsid w:val="57344C8E"/>
    <w:rsid w:val="574CA49E"/>
    <w:rsid w:val="57BE31E9"/>
    <w:rsid w:val="585CCFB4"/>
    <w:rsid w:val="586C0F41"/>
    <w:rsid w:val="586F2FDC"/>
    <w:rsid w:val="5870F974"/>
    <w:rsid w:val="58740D4F"/>
    <w:rsid w:val="5885B97D"/>
    <w:rsid w:val="5888D6A3"/>
    <w:rsid w:val="589E32D5"/>
    <w:rsid w:val="58E07C77"/>
    <w:rsid w:val="59470E5E"/>
    <w:rsid w:val="597E5CCE"/>
    <w:rsid w:val="59F812A9"/>
    <w:rsid w:val="5A404B46"/>
    <w:rsid w:val="5A61702F"/>
    <w:rsid w:val="5AEF9F28"/>
    <w:rsid w:val="5AF303BC"/>
    <w:rsid w:val="5B07CE4D"/>
    <w:rsid w:val="5B27AED1"/>
    <w:rsid w:val="5B812010"/>
    <w:rsid w:val="5B87642E"/>
    <w:rsid w:val="5B88F781"/>
    <w:rsid w:val="5BFD4C2B"/>
    <w:rsid w:val="5C05E061"/>
    <w:rsid w:val="5C2C96ED"/>
    <w:rsid w:val="5C32B1CA"/>
    <w:rsid w:val="5C834631"/>
    <w:rsid w:val="5C875418"/>
    <w:rsid w:val="5C8CFA78"/>
    <w:rsid w:val="5C8D4B4C"/>
    <w:rsid w:val="5C9FAE0F"/>
    <w:rsid w:val="5CB81D90"/>
    <w:rsid w:val="5CF8F714"/>
    <w:rsid w:val="5D16AD22"/>
    <w:rsid w:val="5D30ECC7"/>
    <w:rsid w:val="5E4677B1"/>
    <w:rsid w:val="5E73D776"/>
    <w:rsid w:val="5E834FA0"/>
    <w:rsid w:val="5EB15C77"/>
    <w:rsid w:val="5F2F53AF"/>
    <w:rsid w:val="5F9090CA"/>
    <w:rsid w:val="6017FED6"/>
    <w:rsid w:val="60335361"/>
    <w:rsid w:val="60376CE0"/>
    <w:rsid w:val="61146B4F"/>
    <w:rsid w:val="6159AB23"/>
    <w:rsid w:val="6194DB68"/>
    <w:rsid w:val="619B23E8"/>
    <w:rsid w:val="622C1725"/>
    <w:rsid w:val="62346927"/>
    <w:rsid w:val="6241CAA0"/>
    <w:rsid w:val="6242B119"/>
    <w:rsid w:val="6265575C"/>
    <w:rsid w:val="62BC722B"/>
    <w:rsid w:val="62C4205F"/>
    <w:rsid w:val="62E3446A"/>
    <w:rsid w:val="6318EC11"/>
    <w:rsid w:val="631C7004"/>
    <w:rsid w:val="633C9857"/>
    <w:rsid w:val="63471F70"/>
    <w:rsid w:val="6357A561"/>
    <w:rsid w:val="63CDD28A"/>
    <w:rsid w:val="63FBB74F"/>
    <w:rsid w:val="640F3809"/>
    <w:rsid w:val="64812915"/>
    <w:rsid w:val="64EEE3F7"/>
    <w:rsid w:val="651ABF22"/>
    <w:rsid w:val="654C81B2"/>
    <w:rsid w:val="65E0380E"/>
    <w:rsid w:val="662FA2A3"/>
    <w:rsid w:val="668569FF"/>
    <w:rsid w:val="66D29913"/>
    <w:rsid w:val="66D3B885"/>
    <w:rsid w:val="671CCBA8"/>
    <w:rsid w:val="672E8C59"/>
    <w:rsid w:val="673C0CA1"/>
    <w:rsid w:val="6760D0C5"/>
    <w:rsid w:val="67640118"/>
    <w:rsid w:val="67D193EE"/>
    <w:rsid w:val="67ECC76C"/>
    <w:rsid w:val="681A806E"/>
    <w:rsid w:val="684A350B"/>
    <w:rsid w:val="685A8CCC"/>
    <w:rsid w:val="68AE30C0"/>
    <w:rsid w:val="691DC4F6"/>
    <w:rsid w:val="697C767E"/>
    <w:rsid w:val="69A0EAD7"/>
    <w:rsid w:val="69AF9100"/>
    <w:rsid w:val="6A0D3B0B"/>
    <w:rsid w:val="6A7CF5F0"/>
    <w:rsid w:val="6AC6DE19"/>
    <w:rsid w:val="6B3F70A5"/>
    <w:rsid w:val="6B490F06"/>
    <w:rsid w:val="6B504F16"/>
    <w:rsid w:val="6B5B651F"/>
    <w:rsid w:val="6B650E6D"/>
    <w:rsid w:val="6BB6119D"/>
    <w:rsid w:val="6BB62E67"/>
    <w:rsid w:val="6C078A54"/>
    <w:rsid w:val="6C15ACC2"/>
    <w:rsid w:val="6C4CFE30"/>
    <w:rsid w:val="6D36BEF3"/>
    <w:rsid w:val="6D52BDC5"/>
    <w:rsid w:val="6D956F5A"/>
    <w:rsid w:val="6E589873"/>
    <w:rsid w:val="6F07957C"/>
    <w:rsid w:val="6F269F63"/>
    <w:rsid w:val="6F2FF34B"/>
    <w:rsid w:val="6F329673"/>
    <w:rsid w:val="6F7CCEA7"/>
    <w:rsid w:val="6F7DDB56"/>
    <w:rsid w:val="6F8879BA"/>
    <w:rsid w:val="6FB9F462"/>
    <w:rsid w:val="70029B36"/>
    <w:rsid w:val="701D3457"/>
    <w:rsid w:val="706D3CE2"/>
    <w:rsid w:val="71217D3C"/>
    <w:rsid w:val="715F9BD1"/>
    <w:rsid w:val="7163326C"/>
    <w:rsid w:val="716AC3EC"/>
    <w:rsid w:val="716F452E"/>
    <w:rsid w:val="71858CB8"/>
    <w:rsid w:val="718C1799"/>
    <w:rsid w:val="71A8AF9A"/>
    <w:rsid w:val="71DA2EBA"/>
    <w:rsid w:val="722DAC47"/>
    <w:rsid w:val="72719B3F"/>
    <w:rsid w:val="72F33345"/>
    <w:rsid w:val="72F50BC3"/>
    <w:rsid w:val="731B2CF8"/>
    <w:rsid w:val="73372E9E"/>
    <w:rsid w:val="73559CF0"/>
    <w:rsid w:val="73627F71"/>
    <w:rsid w:val="73845CB3"/>
    <w:rsid w:val="73C1A55D"/>
    <w:rsid w:val="74358F73"/>
    <w:rsid w:val="744BD0BE"/>
    <w:rsid w:val="746EBFC0"/>
    <w:rsid w:val="74844C1B"/>
    <w:rsid w:val="74881320"/>
    <w:rsid w:val="748B6315"/>
    <w:rsid w:val="74AECC39"/>
    <w:rsid w:val="74EAA816"/>
    <w:rsid w:val="75A28DDB"/>
    <w:rsid w:val="75D7FE0E"/>
    <w:rsid w:val="75FDB4B5"/>
    <w:rsid w:val="760E5E41"/>
    <w:rsid w:val="762382D5"/>
    <w:rsid w:val="76498780"/>
    <w:rsid w:val="767CD89E"/>
    <w:rsid w:val="76B7FCB7"/>
    <w:rsid w:val="76DC3EA3"/>
    <w:rsid w:val="774F5B3B"/>
    <w:rsid w:val="7766FEDF"/>
    <w:rsid w:val="776F82D9"/>
    <w:rsid w:val="778FC0A2"/>
    <w:rsid w:val="77BF8FE6"/>
    <w:rsid w:val="782C4F4B"/>
    <w:rsid w:val="7832D820"/>
    <w:rsid w:val="786A695F"/>
    <w:rsid w:val="78EB262E"/>
    <w:rsid w:val="79180F14"/>
    <w:rsid w:val="792E3EF5"/>
    <w:rsid w:val="79DACE33"/>
    <w:rsid w:val="7AC634A7"/>
    <w:rsid w:val="7ACC42C9"/>
    <w:rsid w:val="7B0B438C"/>
    <w:rsid w:val="7B1A830E"/>
    <w:rsid w:val="7B6A6C1D"/>
    <w:rsid w:val="7BCA3534"/>
    <w:rsid w:val="7BD7BCEC"/>
    <w:rsid w:val="7C03692A"/>
    <w:rsid w:val="7D098CD5"/>
    <w:rsid w:val="7D1E67C5"/>
    <w:rsid w:val="7D4F348F"/>
    <w:rsid w:val="7D77F52D"/>
    <w:rsid w:val="7D8B6FF9"/>
    <w:rsid w:val="7DA7C9CA"/>
    <w:rsid w:val="7DB14815"/>
    <w:rsid w:val="7DCFCFE1"/>
    <w:rsid w:val="7DEC72DB"/>
    <w:rsid w:val="7E496531"/>
    <w:rsid w:val="7E5C56A2"/>
    <w:rsid w:val="7E8FE9BD"/>
    <w:rsid w:val="7EA26145"/>
    <w:rsid w:val="7EA69C06"/>
    <w:rsid w:val="7EFABA89"/>
    <w:rsid w:val="7F10CF4F"/>
    <w:rsid w:val="7F4A5EED"/>
    <w:rsid w:val="7F79ED68"/>
    <w:rsid w:val="7FA07A6F"/>
    <w:rsid w:val="7FEABDC5"/>
    <w:rsid w:val="7FEF8966"/>
    <w:rsid w:val="7FF5803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B642"/>
  <w15:docId w15:val="{A1C95C83-DEC5-457E-B89C-81C3127F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B44BD26"/>
    <w:pPr>
      <w:pBdr>
        <w:top w:val="nil"/>
        <w:left w:val="nil"/>
        <w:bottom w:val="nil"/>
        <w:right w:val="nil"/>
        <w:between w:val="nil"/>
      </w:pBdr>
      <w:spacing w:after="60" w:line="276" w:lineRule="auto"/>
      <w:ind w:left="2" w:firstLineChars="171" w:firstLine="308"/>
      <w:jc w:val="both"/>
      <w:outlineLvl w:val="0"/>
    </w:pPr>
    <w:rPr>
      <w:rFonts w:ascii="Avenir Book" w:eastAsia="Yu Gothic" w:hAnsi="Avenir Book" w:cs="Yu Gothic"/>
      <w:color w:val="000000" w:themeColor="text1"/>
      <w:sz w:val="18"/>
      <w:szCs w:val="18"/>
      <w:lang w:val="es-419" w:eastAsia="ar-SA"/>
    </w:rPr>
  </w:style>
  <w:style w:type="paragraph" w:styleId="Heading1">
    <w:name w:val="heading 1"/>
    <w:basedOn w:val="Normal"/>
    <w:next w:val="Normal"/>
    <w:uiPriority w:val="9"/>
    <w:qFormat/>
    <w:rsid w:val="0B44BD26"/>
    <w:pPr>
      <w:ind w:hanging="2"/>
      <w:jc w:val="center"/>
    </w:pPr>
    <w:rPr>
      <w:color w:val="FFFFFF" w:themeColor="background1"/>
    </w:rPr>
  </w:style>
  <w:style w:type="paragraph" w:styleId="Heading2">
    <w:name w:val="heading 2"/>
    <w:basedOn w:val="Heading1"/>
    <w:uiPriority w:val="9"/>
    <w:unhideWhenUsed/>
    <w:qFormat/>
    <w:rsid w:val="00015C11"/>
    <w:pPr>
      <w:outlineLvl w:val="1"/>
    </w:pPr>
  </w:style>
  <w:style w:type="paragraph" w:styleId="Heading3">
    <w:name w:val="heading 3"/>
    <w:basedOn w:val="Normal"/>
    <w:uiPriority w:val="9"/>
    <w:semiHidden/>
    <w:unhideWhenUsed/>
    <w:qFormat/>
    <w:rsid w:val="0B44BD26"/>
    <w:pPr>
      <w:spacing w:beforeAutospacing="1" w:afterAutospacing="1"/>
      <w:outlineLvl w:val="2"/>
    </w:pPr>
    <w:rPr>
      <w:b/>
      <w:bCs/>
      <w:sz w:val="27"/>
      <w:szCs w:val="27"/>
      <w:lang w:eastAsia="es-CO"/>
    </w:rPr>
  </w:style>
  <w:style w:type="paragraph" w:styleId="Heading4">
    <w:name w:val="heading 4"/>
    <w:basedOn w:val="Normal"/>
    <w:next w:val="Normal"/>
    <w:uiPriority w:val="9"/>
    <w:semiHidden/>
    <w:unhideWhenUsed/>
    <w:qFormat/>
    <w:rsid w:val="0B44BD26"/>
    <w:pPr>
      <w:keepNext/>
      <w:keepLines/>
      <w:spacing w:before="200"/>
      <w:outlineLvl w:val="3"/>
    </w:pPr>
    <w:rPr>
      <w:rFonts w:ascii="Cambria" w:eastAsia="MS Gothic" w:hAnsi="Cambria"/>
      <w:b/>
      <w:bCs/>
      <w:i/>
      <w:iCs/>
      <w:color w:val="4F81BD" w:themeColor="accent1"/>
    </w:rPr>
  </w:style>
  <w:style w:type="paragraph" w:styleId="Heading5">
    <w:name w:val="heading 5"/>
    <w:basedOn w:val="Normal"/>
    <w:next w:val="Normal"/>
    <w:uiPriority w:val="9"/>
    <w:semiHidden/>
    <w:unhideWhenUsed/>
    <w:qFormat/>
    <w:rsid w:val="0B44BD26"/>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B44BD26"/>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Subtitle"/>
    <w:uiPriority w:val="10"/>
    <w:qFormat/>
    <w:rsid w:val="0B44BD26"/>
    <w:pPr>
      <w:jc w:val="center"/>
    </w:pPr>
    <w:rPr>
      <w:rFonts w:ascii="Helvetica-Bold" w:hAnsi="Helvetica-Bold"/>
      <w:b/>
      <w:bCs/>
      <w:sz w:val="24"/>
      <w:szCs w:val="24"/>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uiPriority w:val="1"/>
    <w:rsid w:val="0B44BD26"/>
    <w:rPr>
      <w:rFonts w:ascii="Helvetica" w:hAnsi="Helvetica"/>
      <w:sz w:val="24"/>
      <w:szCs w:val="24"/>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Header">
    <w:name w:val="header"/>
    <w:basedOn w:val="Normal"/>
    <w:next w:val="BodyText"/>
    <w:uiPriority w:val="1"/>
    <w:rsid w:val="0B44BD26"/>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uiPriority w:val="1"/>
    <w:rsid w:val="0B44BD26"/>
    <w:rPr>
      <w:rFonts w:ascii="Arial" w:hAnsi="Arial"/>
      <w:sz w:val="24"/>
      <w:szCs w:val="24"/>
    </w:rPr>
  </w:style>
  <w:style w:type="paragraph" w:customStyle="1" w:styleId="Textoindependiente31">
    <w:name w:val="Texto independiente 31"/>
    <w:basedOn w:val="Normal"/>
    <w:uiPriority w:val="1"/>
    <w:rsid w:val="0B44BD26"/>
    <w:pPr>
      <w:widowControl w:val="0"/>
      <w:spacing w:after="120"/>
    </w:pPr>
    <w:rPr>
      <w:rFonts w:ascii="Arial" w:hAnsi="Arial"/>
      <w:sz w:val="24"/>
      <w:szCs w:val="24"/>
    </w:rPr>
  </w:style>
  <w:style w:type="paragraph" w:styleId="Footer">
    <w:name w:val="footer"/>
    <w:basedOn w:val="Normal"/>
    <w:uiPriority w:val="1"/>
    <w:rsid w:val="0B44BD26"/>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FootnoteText">
    <w:name w:val="footnote text"/>
    <w:basedOn w:val="Normal"/>
    <w:uiPriority w:val="1"/>
    <w:rsid w:val="0B44BD26"/>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uiPriority w:val="1"/>
    <w:rsid w:val="0B44BD26"/>
    <w:pPr>
      <w:ind w:left="708"/>
    </w:pPr>
    <w:rPr>
      <w:sz w:val="24"/>
      <w:szCs w:val="24"/>
      <w:lang w:val="es-ES" w:eastAsia="es-ES"/>
    </w:rPr>
  </w:style>
  <w:style w:type="paragraph" w:styleId="ListParagraph">
    <w:name w:val="List Paragraph"/>
    <w:basedOn w:val="Normal"/>
    <w:uiPriority w:val="34"/>
    <w:qFormat/>
    <w:rsid w:val="0B44BD26"/>
    <w:pPr>
      <w:ind w:left="720"/>
      <w:contextualSpacing/>
    </w:pPr>
  </w:style>
  <w:style w:type="paragraph" w:styleId="Subtitle">
    <w:name w:val="Subtitle"/>
    <w:basedOn w:val="Normal"/>
    <w:next w:val="Normal"/>
    <w:uiPriority w:val="11"/>
    <w:qFormat/>
    <w:rsid w:val="0B44BD26"/>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MS Gothic" w:hAnsi="Cambria" w:cs="Times New Roman"/>
      <w:i/>
      <w:iCs/>
      <w:color w:val="4F81BD"/>
      <w:spacing w:val="15"/>
      <w:w w:val="100"/>
      <w:position w:val="-1"/>
      <w:sz w:val="24"/>
      <w:szCs w:val="24"/>
      <w:effect w:val="none"/>
      <w:vertAlign w:val="baseline"/>
      <w:cs w:val="0"/>
      <w:em w:val="none"/>
      <w:lang w:val="es-ES" w:eastAsia="ar-SA"/>
    </w:rPr>
  </w:style>
  <w:style w:type="paragraph" w:styleId="BalloonText">
    <w:name w:val="Balloon Text"/>
    <w:basedOn w:val="Normal"/>
    <w:uiPriority w:val="1"/>
    <w:qFormat/>
    <w:rsid w:val="0B44BD26"/>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uiPriority w:val="1"/>
    <w:qFormat/>
    <w:rsid w:val="0B44BD26"/>
    <w:rPr>
      <w:sz w:val="24"/>
      <w:szCs w:val="24"/>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CommentSubject">
    <w:name w:val="annotation subject"/>
    <w:basedOn w:val="CommentText"/>
    <w:next w:val="CommentText"/>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textDirection w:val="btLr"/>
      <w:textAlignment w:val="baseline"/>
      <w:outlineLvl w:val="0"/>
    </w:pPr>
    <w:rPr>
      <w:color w:val="000000"/>
      <w:position w:val="-1"/>
      <w:sz w:val="24"/>
      <w:szCs w:val="24"/>
    </w:rPr>
  </w:style>
  <w:style w:type="table" w:styleId="TableGrid">
    <w:name w:val="Table Grid"/>
    <w:basedOn w:val="TableNormal"/>
    <w:pPr>
      <w:suppressAutoHyphens/>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Arial" w:hAnsi="Arial" w:cs="Arial"/>
      <w:color w:val="000000"/>
      <w:position w:val="-1"/>
      <w:sz w:val="24"/>
      <w:szCs w:val="24"/>
    </w:rPr>
  </w:style>
  <w:style w:type="character" w:styleId="FootnoteReference">
    <w:name w:val="footnote reference"/>
    <w:rPr>
      <w:w w:val="100"/>
      <w:position w:val="-1"/>
      <w:effect w:val="none"/>
      <w:vertAlign w:val="superscript"/>
      <w:cs w:val="0"/>
      <w:em w:val="none"/>
    </w:rPr>
  </w:style>
  <w:style w:type="paragraph" w:customStyle="1" w:styleId="EstiloEstiloTtulo1LatinaArial11pt11pt">
    <w:name w:val="Estilo Estilo Título 1 + (Latina) Arial 11 pt + 11 pt"/>
    <w:basedOn w:val="Normal"/>
    <w:uiPriority w:val="1"/>
    <w:rsid w:val="0B44BD26"/>
    <w:pPr>
      <w:keepNext/>
      <w:jc w:val="center"/>
    </w:pPr>
    <w:rPr>
      <w:rFonts w:ascii="Arial" w:eastAsia="Arial Unicode MS" w:hAnsi="Arial"/>
      <w:b/>
      <w:bCs/>
      <w:sz w:val="22"/>
      <w:szCs w:val="22"/>
      <w:lang w:val="es-ES" w:eastAsia="es-ES"/>
    </w:rPr>
  </w:style>
  <w:style w:type="paragraph" w:styleId="BodyText3">
    <w:name w:val="Body Text 3"/>
    <w:basedOn w:val="Normal"/>
    <w:uiPriority w:val="1"/>
    <w:qFormat/>
    <w:rsid w:val="0B44BD26"/>
    <w:pPr>
      <w:spacing w:after="120"/>
    </w:pPr>
    <w:rPr>
      <w:sz w:val="16"/>
      <w:szCs w:val="16"/>
    </w:rPr>
  </w:style>
  <w:style w:type="character" w:customStyle="1" w:styleId="Textoindependiente3Car">
    <w:name w:val="Texto independiente 3 Car"/>
    <w:rPr>
      <w:rFonts w:ascii="Times New Roman" w:eastAsia="Times New Roman" w:hAnsi="Times New Roman" w:cs="Times New Roman"/>
      <w:w w:val="100"/>
      <w:position w:val="-1"/>
      <w:sz w:val="16"/>
      <w:szCs w:val="16"/>
      <w:effect w:val="none"/>
      <w:vertAlign w:val="baseline"/>
      <w:cs w:val="0"/>
      <w:em w:val="none"/>
      <w:lang w:eastAsia="ar-SA"/>
    </w:rPr>
  </w:style>
  <w:style w:type="paragraph" w:customStyle="1" w:styleId="Listavistosa-nfasis11">
    <w:name w:val="Lista vistosa - Énfasis 11"/>
    <w:basedOn w:val="Normal"/>
    <w:uiPriority w:val="1"/>
    <w:rsid w:val="0B44BD26"/>
    <w:pPr>
      <w:ind w:left="720"/>
    </w:pPr>
  </w:style>
  <w:style w:type="paragraph" w:styleId="EndnoteText">
    <w:name w:val="endnote text"/>
    <w:basedOn w:val="Normal"/>
    <w:uiPriority w:val="1"/>
    <w:qFormat/>
    <w:rsid w:val="0B44BD26"/>
  </w:style>
  <w:style w:type="character" w:customStyle="1" w:styleId="TextonotaalfinalCar">
    <w:name w:val="Texto nota al final Car"/>
    <w:rPr>
      <w:rFonts w:ascii="Times New Roman" w:eastAsia="Times New Roman" w:hAnsi="Times New Roman" w:cs="Times New Roman"/>
      <w:w w:val="100"/>
      <w:position w:val="-1"/>
      <w:sz w:val="20"/>
      <w:szCs w:val="20"/>
      <w:effect w:val="none"/>
      <w:vertAlign w:val="baseline"/>
      <w:cs w:val="0"/>
      <w:em w:val="none"/>
      <w:lang w:eastAsia="ar-SA"/>
    </w:rPr>
  </w:style>
  <w:style w:type="character" w:styleId="EndnoteReference">
    <w:name w:val="endnote reference"/>
    <w:qFormat/>
    <w:rPr>
      <w:w w:val="100"/>
      <w:position w:val="-1"/>
      <w:effect w:val="none"/>
      <w:vertAlign w:val="superscript"/>
      <w:cs w:val="0"/>
      <w:em w:val="none"/>
    </w:rPr>
  </w:style>
  <w:style w:type="character" w:styleId="Emphasis">
    <w:name w:val="Emphasis"/>
    <w:uiPriority w:val="20"/>
    <w:qFormat/>
    <w:rPr>
      <w:i/>
      <w:iCs/>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lang w:eastAsia="ar-SA"/>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CO"/>
    </w:rPr>
  </w:style>
  <w:style w:type="character" w:customStyle="1" w:styleId="Ttulo3Car">
    <w:name w:val="Título 3 Car"/>
    <w:rPr>
      <w:rFonts w:ascii="Times New Roman" w:eastAsia="Times New Roman" w:hAnsi="Times New Roman" w:cs="Times New Roman"/>
      <w:b/>
      <w:bCs/>
      <w:w w:val="100"/>
      <w:position w:val="-1"/>
      <w:sz w:val="27"/>
      <w:szCs w:val="27"/>
      <w:effect w:val="none"/>
      <w:vertAlign w:val="baseline"/>
      <w:cs w:val="0"/>
      <w:em w:val="none"/>
      <w:lang w:eastAsia="es-CO"/>
    </w:rPr>
  </w:style>
  <w:style w:type="paragraph" w:styleId="NormalWeb">
    <w:name w:val="Normal (Web)"/>
    <w:basedOn w:val="Normal"/>
    <w:uiPriority w:val="99"/>
    <w:qFormat/>
    <w:rsid w:val="0B44BD26"/>
    <w:pPr>
      <w:spacing w:beforeAutospacing="1" w:afterAutospacing="1"/>
    </w:pPr>
    <w:rPr>
      <w:sz w:val="24"/>
      <w:szCs w:val="24"/>
      <w:lang w:eastAsia="es-CO"/>
    </w:rPr>
  </w:style>
  <w:style w:type="paragraph" w:styleId="NoSpacing">
    <w:name w:val="No Spacing"/>
    <w:pPr>
      <w:overflowPunct w:val="0"/>
      <w:autoSpaceDE w:val="0"/>
      <w:spacing w:line="1" w:lineRule="atLeast"/>
      <w:ind w:leftChars="-1" w:left="-1" w:hangingChars="1"/>
      <w:textDirection w:val="btLr"/>
      <w:textAlignment w:val="baseline"/>
      <w:outlineLvl w:val="0"/>
    </w:pPr>
    <w:rPr>
      <w:position w:val="-1"/>
      <w:lang w:eastAsia="ar-SA"/>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Ttulo4Car">
    <w:name w:val="Título 4 Car"/>
    <w:rPr>
      <w:rFonts w:ascii="Cambria" w:eastAsia="MS Gothic" w:hAnsi="Cambria" w:cs="Times New Roman"/>
      <w:b/>
      <w:bCs/>
      <w:i/>
      <w:iCs/>
      <w:color w:val="4F81BD"/>
      <w:w w:val="100"/>
      <w:position w:val="-1"/>
      <w:sz w:val="20"/>
      <w:szCs w:val="20"/>
      <w:effect w:val="none"/>
      <w:vertAlign w:val="baseline"/>
      <w:cs w:val="0"/>
      <w:em w:val="none"/>
      <w:lang w:eastAsia="ar-SA"/>
    </w:rPr>
  </w:style>
  <w:style w:type="character" w:styleId="HTMLCite">
    <w:name w:val="HTML Cite"/>
    <w:qFormat/>
    <w:rPr>
      <w:i/>
      <w:iCs/>
      <w:w w:val="100"/>
      <w:position w:val="-1"/>
      <w:effect w:val="none"/>
      <w:vertAlign w:val="baseline"/>
      <w:cs w:val="0"/>
      <w:em w:val="none"/>
    </w:rPr>
  </w:style>
  <w:style w:type="paragraph" w:customStyle="1" w:styleId="TtuloparaEncabezado">
    <w:name w:val="Título para Encabezado"/>
    <w:basedOn w:val="Normal"/>
    <w:uiPriority w:val="1"/>
    <w:rsid w:val="0B44BD26"/>
    <w:pPr>
      <w:jc w:val="center"/>
    </w:pPr>
    <w:rPr>
      <w:rFonts w:ascii="Verdana" w:eastAsia="MS Gothic" w:hAnsi="Verdana"/>
      <w:color w:val="7F7F7F" w:themeColor="text1" w:themeTint="80"/>
      <w:sz w:val="22"/>
      <w:szCs w:val="22"/>
      <w:lang w:val="es-ES" w:eastAsia="en-US"/>
    </w:rPr>
  </w:style>
  <w:style w:type="character" w:customStyle="1" w:styleId="Ttulo1Car">
    <w:name w:val="Título 1 Car"/>
    <w:rPr>
      <w:rFonts w:ascii="Cambria" w:eastAsia="MS Gothic" w:hAnsi="Cambria" w:cs="Times New Roman"/>
      <w:color w:val="365F91"/>
      <w:w w:val="100"/>
      <w:position w:val="-1"/>
      <w:sz w:val="32"/>
      <w:szCs w:val="32"/>
      <w:effect w:val="none"/>
      <w:vertAlign w:val="baseline"/>
      <w:cs w:val="0"/>
      <w:em w:val="none"/>
      <w:lang w:eastAsia="ar-SA"/>
    </w:rPr>
  </w:style>
  <w:style w:type="table" w:styleId="LightList-Accent5">
    <w:name w:val="Light List Accent 5"/>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tblBorders>
    </w:tblPr>
  </w:style>
  <w:style w:type="table" w:styleId="LightList-Accent3">
    <w:name w:val="Light List Accent 3"/>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tblBorders>
    </w:tblPr>
  </w:style>
  <w:style w:type="table" w:styleId="LightList">
    <w:name w:val="Light List"/>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000000"/>
        <w:left w:val="single" w:sz="8" w:space="0" w:color="000000"/>
        <w:bottom w:val="single" w:sz="8" w:space="0" w:color="000000"/>
        <w:right w:val="single" w:sz="8" w:space="0" w:color="000000"/>
      </w:tblBorders>
    </w:tblPr>
  </w:style>
  <w:style w:type="table" w:styleId="LightGrid-Accent3">
    <w:name w:val="Light Grid Accent 3"/>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style>
  <w:style w:type="table" w:customStyle="1" w:styleId="a">
    <w:basedOn w:val="TableNormal9"/>
    <w:tblPr>
      <w:tblStyleRowBandSize w:val="1"/>
      <w:tblStyleColBandSize w:val="1"/>
      <w:tblCellMar>
        <w:left w:w="108" w:type="dxa"/>
        <w:right w:w="108" w:type="dxa"/>
      </w:tblCellMar>
    </w:tblPr>
  </w:style>
  <w:style w:type="table" w:customStyle="1" w:styleId="a0">
    <w:basedOn w:val="TableNormal9"/>
    <w:tblPr>
      <w:tblStyleRowBandSize w:val="1"/>
      <w:tblStyleColBandSize w:val="1"/>
      <w:tblCellMar>
        <w:left w:w="108" w:type="dxa"/>
        <w:right w:w="108" w:type="dxa"/>
      </w:tblCellMar>
    </w:tblPr>
  </w:style>
  <w:style w:type="table" w:customStyle="1" w:styleId="a1">
    <w:basedOn w:val="TableNormal9"/>
    <w:tblPr>
      <w:tblStyleRowBandSize w:val="1"/>
      <w:tblStyleColBandSize w:val="1"/>
      <w:tblCellMar>
        <w:left w:w="70" w:type="dxa"/>
        <w:right w:w="70" w:type="dxa"/>
      </w:tblCellMar>
    </w:tblPr>
  </w:style>
  <w:style w:type="table" w:customStyle="1" w:styleId="a2">
    <w:basedOn w:val="TableNormal9"/>
    <w:tblPr>
      <w:tblStyleRowBandSize w:val="1"/>
      <w:tblStyleColBandSize w:val="1"/>
      <w:tblCellMar>
        <w:left w:w="108" w:type="dxa"/>
        <w:right w:w="108" w:type="dxa"/>
      </w:tblCellMar>
    </w:tblPr>
  </w:style>
  <w:style w:type="table" w:customStyle="1" w:styleId="a3">
    <w:basedOn w:val="TableNormal9"/>
    <w:tblPr>
      <w:tblStyleRowBandSize w:val="1"/>
      <w:tblStyleColBandSize w:val="1"/>
      <w:tblCellMar>
        <w:left w:w="108" w:type="dxa"/>
        <w:right w:w="108" w:type="dxa"/>
      </w:tblCellMar>
    </w:tblPr>
  </w:style>
  <w:style w:type="table" w:customStyle="1" w:styleId="a4">
    <w:basedOn w:val="TableNormal9"/>
    <w:tblPr>
      <w:tblStyleRowBandSize w:val="1"/>
      <w:tblStyleColBandSize w:val="1"/>
      <w:tblCellMar>
        <w:left w:w="108" w:type="dxa"/>
        <w:right w:w="108" w:type="dxa"/>
      </w:tblCellMar>
    </w:tblPr>
  </w:style>
  <w:style w:type="table" w:customStyle="1" w:styleId="a5">
    <w:basedOn w:val="TableNormal9"/>
    <w:tblPr>
      <w:tblStyleRowBandSize w:val="1"/>
      <w:tblStyleColBandSize w:val="1"/>
      <w:tblCellMar>
        <w:left w:w="108" w:type="dxa"/>
        <w:right w:w="108" w:type="dxa"/>
      </w:tblCellMar>
    </w:tblPr>
  </w:style>
  <w:style w:type="table" w:customStyle="1" w:styleId="a6">
    <w:basedOn w:val="TableNormal9"/>
    <w:tblPr>
      <w:tblStyleRowBandSize w:val="1"/>
      <w:tblStyleColBandSize w:val="1"/>
      <w:tblCellMar>
        <w:left w:w="108" w:type="dxa"/>
        <w:right w:w="108" w:type="dxa"/>
      </w:tblCellMar>
    </w:tblPr>
  </w:style>
  <w:style w:type="table" w:customStyle="1" w:styleId="a7">
    <w:basedOn w:val="TableNormal9"/>
    <w:tblPr>
      <w:tblStyleRowBandSize w:val="1"/>
      <w:tblStyleColBandSize w:val="1"/>
      <w:tblCellMar>
        <w:left w:w="108" w:type="dxa"/>
        <w:right w:w="108" w:type="dxa"/>
      </w:tblCellMar>
    </w:tblPr>
  </w:style>
  <w:style w:type="table" w:customStyle="1" w:styleId="a8">
    <w:basedOn w:val="TableNormal9"/>
    <w:tblPr>
      <w:tblStyleRowBandSize w:val="1"/>
      <w:tblStyleColBandSize w:val="1"/>
      <w:tblCellMar>
        <w:left w:w="108" w:type="dxa"/>
        <w:right w:w="108" w:type="dxa"/>
      </w:tblCellMar>
    </w:tblPr>
  </w:style>
  <w:style w:type="table" w:customStyle="1" w:styleId="a9">
    <w:basedOn w:val="TableNormal9"/>
    <w:tblPr>
      <w:tblStyleRowBandSize w:val="1"/>
      <w:tblStyleColBandSize w:val="1"/>
      <w:tblCellMar>
        <w:left w:w="108" w:type="dxa"/>
        <w:right w:w="108" w:type="dxa"/>
      </w:tblCellMar>
    </w:tblPr>
  </w:style>
  <w:style w:type="table" w:customStyle="1" w:styleId="aa">
    <w:basedOn w:val="TableNormal9"/>
    <w:tblPr>
      <w:tblStyleRowBandSize w:val="1"/>
      <w:tblStyleColBandSize w:val="1"/>
      <w:tblCellMar>
        <w:left w:w="108" w:type="dxa"/>
        <w:right w:w="108" w:type="dxa"/>
      </w:tblCellMar>
    </w:tblPr>
  </w:style>
  <w:style w:type="table" w:customStyle="1" w:styleId="ab">
    <w:basedOn w:val="TableNormal9"/>
    <w:tblPr>
      <w:tblStyleRowBandSize w:val="1"/>
      <w:tblStyleColBandSize w:val="1"/>
      <w:tblCellMar>
        <w:left w:w="108" w:type="dxa"/>
        <w:right w:w="108" w:type="dxa"/>
      </w:tblCellMar>
    </w:tblPr>
  </w:style>
  <w:style w:type="table" w:customStyle="1" w:styleId="ac">
    <w:basedOn w:val="TableNormal9"/>
    <w:tblPr>
      <w:tblStyleRowBandSize w:val="1"/>
      <w:tblStyleColBandSize w:val="1"/>
      <w:tblCellMar>
        <w:left w:w="108" w:type="dxa"/>
        <w:right w:w="108" w:type="dxa"/>
      </w:tblCellMar>
    </w:tblPr>
  </w:style>
  <w:style w:type="table" w:customStyle="1" w:styleId="ad">
    <w:basedOn w:val="TableNormal9"/>
    <w:tblPr>
      <w:tblStyleRowBandSize w:val="1"/>
      <w:tblStyleColBandSize w:val="1"/>
      <w:tblCellMar>
        <w:left w:w="108" w:type="dxa"/>
        <w:right w:w="108" w:type="dxa"/>
      </w:tblCellMar>
    </w:tblPr>
  </w:style>
  <w:style w:type="table" w:customStyle="1" w:styleId="ae">
    <w:basedOn w:val="TableNormal9"/>
    <w:tblPr>
      <w:tblStyleRowBandSize w:val="1"/>
      <w:tblStyleColBandSize w:val="1"/>
      <w:tblCellMar>
        <w:left w:w="108" w:type="dxa"/>
        <w:right w:w="108" w:type="dxa"/>
      </w:tblCellMar>
    </w:tblPr>
  </w:style>
  <w:style w:type="table" w:customStyle="1" w:styleId="af">
    <w:basedOn w:val="TableNormal9"/>
    <w:tblPr>
      <w:tblStyleRowBandSize w:val="1"/>
      <w:tblStyleColBandSize w:val="1"/>
      <w:tblCellMar>
        <w:left w:w="108" w:type="dxa"/>
        <w:right w:w="108" w:type="dxa"/>
      </w:tblCellMar>
    </w:tblPr>
  </w:style>
  <w:style w:type="table" w:customStyle="1" w:styleId="af0">
    <w:basedOn w:val="TableNormal9"/>
    <w:tblPr>
      <w:tblStyleRowBandSize w:val="1"/>
      <w:tblStyleColBandSize w:val="1"/>
      <w:tblCellMar>
        <w:left w:w="108" w:type="dxa"/>
        <w:right w:w="108" w:type="dxa"/>
      </w:tblCellMar>
    </w:tblPr>
  </w:style>
  <w:style w:type="table" w:customStyle="1" w:styleId="af1">
    <w:basedOn w:val="TableNormal9"/>
    <w:tblPr>
      <w:tblStyleRowBandSize w:val="1"/>
      <w:tblStyleColBandSize w:val="1"/>
      <w:tblCellMar>
        <w:left w:w="108" w:type="dxa"/>
        <w:right w:w="108" w:type="dxa"/>
      </w:tblCellMar>
    </w:tblPr>
  </w:style>
  <w:style w:type="table" w:customStyle="1" w:styleId="af2">
    <w:basedOn w:val="TableNormal9"/>
    <w:tblPr>
      <w:tblStyleRowBandSize w:val="1"/>
      <w:tblStyleColBandSize w:val="1"/>
      <w:tblCellMar>
        <w:left w:w="108" w:type="dxa"/>
        <w:right w:w="108" w:type="dxa"/>
      </w:tblCellMar>
    </w:tblPr>
  </w:style>
  <w:style w:type="table" w:customStyle="1" w:styleId="af3">
    <w:basedOn w:val="TableNormal9"/>
    <w:tblPr>
      <w:tblStyleRowBandSize w:val="1"/>
      <w:tblStyleColBandSize w:val="1"/>
      <w:tblCellMar>
        <w:left w:w="108" w:type="dxa"/>
        <w:right w:w="108" w:type="dxa"/>
      </w:tblCellMar>
    </w:tblPr>
  </w:style>
  <w:style w:type="table" w:customStyle="1" w:styleId="af4">
    <w:basedOn w:val="TableNormal9"/>
    <w:tblPr>
      <w:tblStyleRowBandSize w:val="1"/>
      <w:tblStyleColBandSize w:val="1"/>
      <w:tblCellMar>
        <w:left w:w="108" w:type="dxa"/>
        <w:right w:w="108" w:type="dxa"/>
      </w:tblCellMar>
    </w:tblPr>
  </w:style>
  <w:style w:type="table" w:customStyle="1" w:styleId="af5">
    <w:basedOn w:val="TableNormal9"/>
    <w:tblPr>
      <w:tblStyleRowBandSize w:val="1"/>
      <w:tblStyleColBandSize w:val="1"/>
      <w:tblCellMar>
        <w:left w:w="108" w:type="dxa"/>
        <w:right w:w="108" w:type="dxa"/>
      </w:tblCellMar>
    </w:tblPr>
  </w:style>
  <w:style w:type="table" w:customStyle="1" w:styleId="af6">
    <w:basedOn w:val="TableNormal9"/>
    <w:tblPr>
      <w:tblStyleRowBandSize w:val="1"/>
      <w:tblStyleColBandSize w:val="1"/>
      <w:tblCellMar>
        <w:left w:w="108" w:type="dxa"/>
        <w:right w:w="108" w:type="dxa"/>
      </w:tblCellMar>
    </w:tblPr>
  </w:style>
  <w:style w:type="table" w:customStyle="1" w:styleId="af7">
    <w:basedOn w:val="TableNormal9"/>
    <w:tblPr>
      <w:tblStyleRowBandSize w:val="1"/>
      <w:tblStyleColBandSize w:val="1"/>
      <w:tblCellMar>
        <w:left w:w="108" w:type="dxa"/>
        <w:right w:w="108" w:type="dxa"/>
      </w:tblCellMar>
    </w:tblPr>
  </w:style>
  <w:style w:type="table" w:customStyle="1" w:styleId="af8">
    <w:basedOn w:val="TableNormal9"/>
    <w:tblPr>
      <w:tblStyleRowBandSize w:val="1"/>
      <w:tblStyleColBandSize w:val="1"/>
      <w:tblCellMar>
        <w:left w:w="108" w:type="dxa"/>
        <w:right w:w="108" w:type="dxa"/>
      </w:tblCellMar>
    </w:tblPr>
  </w:style>
  <w:style w:type="table" w:customStyle="1" w:styleId="af9">
    <w:basedOn w:val="TableNormal9"/>
    <w:tblPr>
      <w:tblStyleRowBandSize w:val="1"/>
      <w:tblStyleColBandSize w:val="1"/>
      <w:tblCellMar>
        <w:left w:w="108" w:type="dxa"/>
        <w:right w:w="108" w:type="dxa"/>
      </w:tblCellMar>
    </w:tblPr>
  </w:style>
  <w:style w:type="table" w:customStyle="1" w:styleId="afa">
    <w:basedOn w:val="TableNormal9"/>
    <w:tblPr>
      <w:tblStyleRowBandSize w:val="1"/>
      <w:tblStyleColBandSize w:val="1"/>
      <w:tblCellMar>
        <w:left w:w="108" w:type="dxa"/>
        <w:right w:w="108" w:type="dxa"/>
      </w:tblCellMar>
    </w:tblPr>
  </w:style>
  <w:style w:type="table" w:customStyle="1" w:styleId="afb">
    <w:basedOn w:val="TableNormal9"/>
    <w:tblPr>
      <w:tblStyleRowBandSize w:val="1"/>
      <w:tblStyleColBandSize w:val="1"/>
      <w:tblCellMar>
        <w:left w:w="108" w:type="dxa"/>
        <w:right w:w="108" w:type="dxa"/>
      </w:tblCellMar>
    </w:tblPr>
  </w:style>
  <w:style w:type="table" w:customStyle="1" w:styleId="afc">
    <w:basedOn w:val="TableNormal9"/>
    <w:tblPr>
      <w:tblStyleRowBandSize w:val="1"/>
      <w:tblStyleColBandSize w:val="1"/>
      <w:tblCellMar>
        <w:left w:w="108" w:type="dxa"/>
        <w:right w:w="108" w:type="dxa"/>
      </w:tblCellMar>
    </w:tblPr>
  </w:style>
  <w:style w:type="table" w:customStyle="1" w:styleId="afd">
    <w:basedOn w:val="TableNormal9"/>
    <w:tblPr>
      <w:tblStyleRowBandSize w:val="1"/>
      <w:tblStyleColBandSize w:val="1"/>
      <w:tblCellMar>
        <w:left w:w="108" w:type="dxa"/>
        <w:right w:w="108" w:type="dxa"/>
      </w:tblCellMar>
    </w:tblPr>
  </w:style>
  <w:style w:type="table" w:customStyle="1" w:styleId="afe">
    <w:basedOn w:val="TableNormal9"/>
    <w:tblPr>
      <w:tblStyleRowBandSize w:val="1"/>
      <w:tblStyleColBandSize w:val="1"/>
      <w:tblCellMar>
        <w:left w:w="108" w:type="dxa"/>
        <w:right w:w="108" w:type="dxa"/>
      </w:tblCellMar>
    </w:tblPr>
  </w:style>
  <w:style w:type="table" w:customStyle="1" w:styleId="aff">
    <w:basedOn w:val="TableNormal9"/>
    <w:tblPr>
      <w:tblStyleRowBandSize w:val="1"/>
      <w:tblStyleColBandSize w:val="1"/>
      <w:tblCellMar>
        <w:left w:w="108" w:type="dxa"/>
        <w:right w:w="108" w:type="dxa"/>
      </w:tblCellMar>
    </w:tblPr>
  </w:style>
  <w:style w:type="table" w:customStyle="1" w:styleId="aff0">
    <w:basedOn w:val="TableNormal9"/>
    <w:tblPr>
      <w:tblStyleRowBandSize w:val="1"/>
      <w:tblStyleColBandSize w:val="1"/>
      <w:tblCellMar>
        <w:left w:w="108" w:type="dxa"/>
        <w:right w:w="108" w:type="dxa"/>
      </w:tblCellMar>
    </w:tblPr>
  </w:style>
  <w:style w:type="table" w:customStyle="1" w:styleId="aff1">
    <w:basedOn w:val="TableNormal9"/>
    <w:tblPr>
      <w:tblStyleRowBandSize w:val="1"/>
      <w:tblStyleColBandSize w:val="1"/>
      <w:tblCellMar>
        <w:left w:w="108" w:type="dxa"/>
        <w:right w:w="108" w:type="dxa"/>
      </w:tblCellMar>
    </w:tblPr>
  </w:style>
  <w:style w:type="table" w:customStyle="1" w:styleId="aff2">
    <w:basedOn w:val="TableNormal9"/>
    <w:tblPr>
      <w:tblStyleRowBandSize w:val="1"/>
      <w:tblStyleColBandSize w:val="1"/>
      <w:tblCellMar>
        <w:left w:w="108" w:type="dxa"/>
        <w:right w:w="108" w:type="dxa"/>
      </w:tblCellMar>
    </w:tblPr>
  </w:style>
  <w:style w:type="table" w:customStyle="1" w:styleId="aff3">
    <w:basedOn w:val="TableNormal9"/>
    <w:tblPr>
      <w:tblStyleRowBandSize w:val="1"/>
      <w:tblStyleColBandSize w:val="1"/>
      <w:tblCellMar>
        <w:left w:w="108" w:type="dxa"/>
        <w:right w:w="108" w:type="dxa"/>
      </w:tblCellMar>
    </w:tblPr>
  </w:style>
  <w:style w:type="table" w:customStyle="1" w:styleId="aff4">
    <w:basedOn w:val="TableNormal9"/>
    <w:tblPr>
      <w:tblStyleRowBandSize w:val="1"/>
      <w:tblStyleColBandSize w:val="1"/>
      <w:tblCellMar>
        <w:left w:w="108" w:type="dxa"/>
        <w:right w:w="108" w:type="dxa"/>
      </w:tblCellMar>
    </w:tblPr>
  </w:style>
  <w:style w:type="table" w:customStyle="1" w:styleId="aff5">
    <w:basedOn w:val="TableNormal9"/>
    <w:tblPr>
      <w:tblStyleRowBandSize w:val="1"/>
      <w:tblStyleColBandSize w:val="1"/>
      <w:tblCellMar>
        <w:left w:w="108" w:type="dxa"/>
        <w:right w:w="108" w:type="dxa"/>
      </w:tblCellMar>
    </w:tblPr>
  </w:style>
  <w:style w:type="table" w:customStyle="1" w:styleId="aff6">
    <w:basedOn w:val="TableNormal9"/>
    <w:tblPr>
      <w:tblStyleRowBandSize w:val="1"/>
      <w:tblStyleColBandSize w:val="1"/>
      <w:tblCellMar>
        <w:left w:w="108" w:type="dxa"/>
        <w:right w:w="108" w:type="dxa"/>
      </w:tblCellMar>
    </w:tblPr>
  </w:style>
  <w:style w:type="table" w:customStyle="1" w:styleId="aff7">
    <w:basedOn w:val="TableNormal9"/>
    <w:tblPr>
      <w:tblStyleRowBandSize w:val="1"/>
      <w:tblStyleColBandSize w:val="1"/>
      <w:tblCellMar>
        <w:left w:w="108" w:type="dxa"/>
        <w:right w:w="108" w:type="dxa"/>
      </w:tblCellMar>
    </w:tblPr>
  </w:style>
  <w:style w:type="table" w:customStyle="1" w:styleId="aff8">
    <w:basedOn w:val="TableNormal8"/>
    <w:tblPr>
      <w:tblStyleRowBandSize w:val="1"/>
      <w:tblStyleColBandSize w:val="1"/>
      <w:tblCellMar>
        <w:left w:w="108" w:type="dxa"/>
        <w:right w:w="108" w:type="dxa"/>
      </w:tblCellMar>
    </w:tblPr>
  </w:style>
  <w:style w:type="table" w:customStyle="1" w:styleId="aff9">
    <w:basedOn w:val="TableNormal8"/>
    <w:tblPr>
      <w:tblStyleRowBandSize w:val="1"/>
      <w:tblStyleColBandSize w:val="1"/>
      <w:tblCellMar>
        <w:left w:w="108" w:type="dxa"/>
        <w:right w:w="108" w:type="dxa"/>
      </w:tblCellMar>
    </w:tblPr>
  </w:style>
  <w:style w:type="table" w:customStyle="1" w:styleId="affa">
    <w:basedOn w:val="TableNormal8"/>
    <w:tblPr>
      <w:tblStyleRowBandSize w:val="1"/>
      <w:tblStyleColBandSize w:val="1"/>
      <w:tblCellMar>
        <w:left w:w="108" w:type="dxa"/>
        <w:right w:w="108" w:type="dxa"/>
      </w:tblCellMar>
    </w:tblPr>
  </w:style>
  <w:style w:type="table" w:customStyle="1" w:styleId="affb">
    <w:basedOn w:val="TableNormal8"/>
    <w:tblPr>
      <w:tblStyleRowBandSize w:val="1"/>
      <w:tblStyleColBandSize w:val="1"/>
      <w:tblCellMar>
        <w:left w:w="108" w:type="dxa"/>
        <w:right w:w="108" w:type="dxa"/>
      </w:tblCellMar>
    </w:tblPr>
  </w:style>
  <w:style w:type="table" w:customStyle="1" w:styleId="affc">
    <w:basedOn w:val="TableNormal8"/>
    <w:tblPr>
      <w:tblStyleRowBandSize w:val="1"/>
      <w:tblStyleColBandSize w:val="1"/>
      <w:tblCellMar>
        <w:left w:w="108" w:type="dxa"/>
        <w:right w:w="108" w:type="dxa"/>
      </w:tblCellMar>
    </w:tblPr>
  </w:style>
  <w:style w:type="table" w:customStyle="1" w:styleId="affd">
    <w:basedOn w:val="TableNormal8"/>
    <w:tblPr>
      <w:tblStyleRowBandSize w:val="1"/>
      <w:tblStyleColBandSize w:val="1"/>
      <w:tblCellMar>
        <w:left w:w="108" w:type="dxa"/>
        <w:right w:w="108" w:type="dxa"/>
      </w:tblCellMar>
    </w:tblPr>
  </w:style>
  <w:style w:type="table" w:customStyle="1" w:styleId="affe">
    <w:basedOn w:val="TableNormal8"/>
    <w:tblPr>
      <w:tblStyleRowBandSize w:val="1"/>
      <w:tblStyleColBandSize w:val="1"/>
      <w:tblCellMar>
        <w:left w:w="108" w:type="dxa"/>
        <w:right w:w="108" w:type="dxa"/>
      </w:tblCellMar>
    </w:tblPr>
  </w:style>
  <w:style w:type="table" w:customStyle="1" w:styleId="afff">
    <w:basedOn w:val="TableNormal8"/>
    <w:tblPr>
      <w:tblStyleRowBandSize w:val="1"/>
      <w:tblStyleColBandSize w:val="1"/>
      <w:tblCellMar>
        <w:left w:w="108" w:type="dxa"/>
        <w:right w:w="108" w:type="dxa"/>
      </w:tblCellMar>
    </w:tblPr>
  </w:style>
  <w:style w:type="table" w:customStyle="1" w:styleId="afff0">
    <w:basedOn w:val="TableNormal8"/>
    <w:tblPr>
      <w:tblStyleRowBandSize w:val="1"/>
      <w:tblStyleColBandSize w:val="1"/>
      <w:tblCellMar>
        <w:left w:w="108" w:type="dxa"/>
        <w:right w:w="108" w:type="dxa"/>
      </w:tblCellMar>
    </w:tblPr>
  </w:style>
  <w:style w:type="table" w:customStyle="1" w:styleId="afff1">
    <w:basedOn w:val="TableNormal8"/>
    <w:tblPr>
      <w:tblStyleRowBandSize w:val="1"/>
      <w:tblStyleColBandSize w:val="1"/>
      <w:tblCellMar>
        <w:left w:w="108" w:type="dxa"/>
        <w:right w:w="108" w:type="dxa"/>
      </w:tblCellMar>
    </w:tblPr>
  </w:style>
  <w:style w:type="table" w:customStyle="1" w:styleId="afff2">
    <w:basedOn w:val="TableNormal8"/>
    <w:tblPr>
      <w:tblStyleRowBandSize w:val="1"/>
      <w:tblStyleColBandSize w:val="1"/>
      <w:tblCellMar>
        <w:left w:w="108" w:type="dxa"/>
        <w:right w:w="108" w:type="dxa"/>
      </w:tblCellMar>
    </w:tblPr>
  </w:style>
  <w:style w:type="table" w:customStyle="1" w:styleId="afff3">
    <w:basedOn w:val="TableNormal8"/>
    <w:tblPr>
      <w:tblStyleRowBandSize w:val="1"/>
      <w:tblStyleColBandSize w:val="1"/>
      <w:tblCellMar>
        <w:left w:w="108" w:type="dxa"/>
        <w:right w:w="108" w:type="dxa"/>
      </w:tblCellMar>
    </w:tblPr>
  </w:style>
  <w:style w:type="table" w:customStyle="1" w:styleId="afff4">
    <w:basedOn w:val="TableNormal8"/>
    <w:tblPr>
      <w:tblStyleRowBandSize w:val="1"/>
      <w:tblStyleColBandSize w:val="1"/>
      <w:tblCellMar>
        <w:left w:w="108" w:type="dxa"/>
        <w:right w:w="108" w:type="dxa"/>
      </w:tblCellMar>
    </w:tblPr>
  </w:style>
  <w:style w:type="table" w:customStyle="1" w:styleId="afff5">
    <w:basedOn w:val="TableNormal8"/>
    <w:tblPr>
      <w:tblStyleRowBandSize w:val="1"/>
      <w:tblStyleColBandSize w:val="1"/>
      <w:tblCellMar>
        <w:left w:w="108" w:type="dxa"/>
        <w:right w:w="108" w:type="dxa"/>
      </w:tblCellMar>
    </w:tblPr>
  </w:style>
  <w:style w:type="table" w:customStyle="1" w:styleId="afff6">
    <w:basedOn w:val="TableNormal8"/>
    <w:tblPr>
      <w:tblStyleRowBandSize w:val="1"/>
      <w:tblStyleColBandSize w:val="1"/>
      <w:tblCellMar>
        <w:left w:w="108" w:type="dxa"/>
        <w:right w:w="108" w:type="dxa"/>
      </w:tblCellMar>
    </w:tblPr>
  </w:style>
  <w:style w:type="table" w:customStyle="1" w:styleId="afff7">
    <w:basedOn w:val="TableNormal8"/>
    <w:tblPr>
      <w:tblStyleRowBandSize w:val="1"/>
      <w:tblStyleColBandSize w:val="1"/>
      <w:tblCellMar>
        <w:left w:w="108" w:type="dxa"/>
        <w:right w:w="108" w:type="dxa"/>
      </w:tblCellMar>
    </w:tblPr>
  </w:style>
  <w:style w:type="table" w:customStyle="1" w:styleId="afff8">
    <w:basedOn w:val="TableNormal8"/>
    <w:tblPr>
      <w:tblStyleRowBandSize w:val="1"/>
      <w:tblStyleColBandSize w:val="1"/>
      <w:tblCellMar>
        <w:left w:w="108" w:type="dxa"/>
        <w:right w:w="108" w:type="dxa"/>
      </w:tblCellMar>
    </w:tblPr>
  </w:style>
  <w:style w:type="table" w:customStyle="1" w:styleId="afff9">
    <w:basedOn w:val="TableNormal7"/>
    <w:tblPr>
      <w:tblStyleRowBandSize w:val="1"/>
      <w:tblStyleColBandSize w:val="1"/>
      <w:tblCellMar>
        <w:left w:w="108" w:type="dxa"/>
        <w:right w:w="108" w:type="dxa"/>
      </w:tblCellMar>
    </w:tblPr>
  </w:style>
  <w:style w:type="table" w:customStyle="1" w:styleId="afffa">
    <w:basedOn w:val="TableNormal7"/>
    <w:tblPr>
      <w:tblStyleRowBandSize w:val="1"/>
      <w:tblStyleColBandSize w:val="1"/>
      <w:tblCellMar>
        <w:left w:w="108" w:type="dxa"/>
        <w:right w:w="108" w:type="dxa"/>
      </w:tblCellMar>
    </w:tblPr>
  </w:style>
  <w:style w:type="table" w:customStyle="1" w:styleId="afffb">
    <w:basedOn w:val="TableNormal7"/>
    <w:tblPr>
      <w:tblStyleRowBandSize w:val="1"/>
      <w:tblStyleColBandSize w:val="1"/>
      <w:tblCellMar>
        <w:left w:w="108" w:type="dxa"/>
        <w:right w:w="108" w:type="dxa"/>
      </w:tblCellMar>
    </w:tblPr>
  </w:style>
  <w:style w:type="table" w:customStyle="1" w:styleId="afffc">
    <w:basedOn w:val="TableNormal7"/>
    <w:tblPr>
      <w:tblStyleRowBandSize w:val="1"/>
      <w:tblStyleColBandSize w:val="1"/>
      <w:tblCellMar>
        <w:left w:w="108" w:type="dxa"/>
        <w:right w:w="108" w:type="dxa"/>
      </w:tblCellMar>
    </w:tblPr>
  </w:style>
  <w:style w:type="table" w:customStyle="1" w:styleId="afffd">
    <w:basedOn w:val="TableNormal7"/>
    <w:tblPr>
      <w:tblStyleRowBandSize w:val="1"/>
      <w:tblStyleColBandSize w:val="1"/>
      <w:tblCellMar>
        <w:left w:w="108" w:type="dxa"/>
        <w:right w:w="108" w:type="dxa"/>
      </w:tblCellMar>
    </w:tblPr>
  </w:style>
  <w:style w:type="table" w:customStyle="1" w:styleId="afffe">
    <w:basedOn w:val="TableNormal7"/>
    <w:tblPr>
      <w:tblStyleRowBandSize w:val="1"/>
      <w:tblStyleColBandSize w:val="1"/>
      <w:tblCellMar>
        <w:left w:w="108" w:type="dxa"/>
        <w:right w:w="108" w:type="dxa"/>
      </w:tblCellMar>
    </w:tblPr>
  </w:style>
  <w:style w:type="table" w:customStyle="1" w:styleId="affff">
    <w:basedOn w:val="TableNormal7"/>
    <w:tblPr>
      <w:tblStyleRowBandSize w:val="1"/>
      <w:tblStyleColBandSize w:val="1"/>
      <w:tblCellMar>
        <w:left w:w="108" w:type="dxa"/>
        <w:right w:w="108" w:type="dxa"/>
      </w:tblCellMar>
    </w:tblPr>
  </w:style>
  <w:style w:type="table" w:customStyle="1" w:styleId="affff0">
    <w:basedOn w:val="TableNormal7"/>
    <w:tblPr>
      <w:tblStyleRowBandSize w:val="1"/>
      <w:tblStyleColBandSize w:val="1"/>
      <w:tblCellMar>
        <w:left w:w="108" w:type="dxa"/>
        <w:right w:w="108" w:type="dxa"/>
      </w:tblCellMar>
    </w:tblPr>
  </w:style>
  <w:style w:type="table" w:customStyle="1" w:styleId="affff1">
    <w:basedOn w:val="TableNormal7"/>
    <w:tblPr>
      <w:tblStyleRowBandSize w:val="1"/>
      <w:tblStyleColBandSize w:val="1"/>
      <w:tblCellMar>
        <w:left w:w="108" w:type="dxa"/>
        <w:right w:w="108" w:type="dxa"/>
      </w:tblCellMar>
    </w:tblPr>
  </w:style>
  <w:style w:type="table" w:customStyle="1" w:styleId="affff2">
    <w:basedOn w:val="TableNormal7"/>
    <w:tblPr>
      <w:tblStyleRowBandSize w:val="1"/>
      <w:tblStyleColBandSize w:val="1"/>
      <w:tblCellMar>
        <w:left w:w="108" w:type="dxa"/>
        <w:right w:w="108" w:type="dxa"/>
      </w:tblCellMar>
    </w:tblPr>
  </w:style>
  <w:style w:type="table" w:customStyle="1" w:styleId="affff3">
    <w:basedOn w:val="TableNormal7"/>
    <w:tblPr>
      <w:tblStyleRowBandSize w:val="1"/>
      <w:tblStyleColBandSize w:val="1"/>
      <w:tblCellMar>
        <w:left w:w="108" w:type="dxa"/>
        <w:right w:w="108" w:type="dxa"/>
      </w:tblCellMar>
    </w:tblPr>
  </w:style>
  <w:style w:type="table" w:customStyle="1" w:styleId="affff4">
    <w:basedOn w:val="TableNormal7"/>
    <w:tblPr>
      <w:tblStyleRowBandSize w:val="1"/>
      <w:tblStyleColBandSize w:val="1"/>
      <w:tblCellMar>
        <w:left w:w="108" w:type="dxa"/>
        <w:right w:w="108" w:type="dxa"/>
      </w:tblCellMar>
    </w:tblPr>
  </w:style>
  <w:style w:type="table" w:customStyle="1" w:styleId="affff5">
    <w:basedOn w:val="TableNormal7"/>
    <w:tblPr>
      <w:tblStyleRowBandSize w:val="1"/>
      <w:tblStyleColBandSize w:val="1"/>
      <w:tblCellMar>
        <w:left w:w="108" w:type="dxa"/>
        <w:right w:w="108" w:type="dxa"/>
      </w:tblCellMar>
    </w:tblPr>
  </w:style>
  <w:style w:type="table" w:customStyle="1" w:styleId="affff6">
    <w:basedOn w:val="TableNormal7"/>
    <w:tblPr>
      <w:tblStyleRowBandSize w:val="1"/>
      <w:tblStyleColBandSize w:val="1"/>
      <w:tblCellMar>
        <w:left w:w="108" w:type="dxa"/>
        <w:right w:w="108" w:type="dxa"/>
      </w:tblCellMar>
    </w:tblPr>
  </w:style>
  <w:style w:type="table" w:customStyle="1" w:styleId="affff7">
    <w:basedOn w:val="TableNormal7"/>
    <w:tblPr>
      <w:tblStyleRowBandSize w:val="1"/>
      <w:tblStyleColBandSize w:val="1"/>
      <w:tblCellMar>
        <w:left w:w="108" w:type="dxa"/>
        <w:right w:w="108" w:type="dxa"/>
      </w:tblCellMar>
    </w:tblPr>
  </w:style>
  <w:style w:type="table" w:customStyle="1" w:styleId="affff8">
    <w:basedOn w:val="TableNormal7"/>
    <w:tblPr>
      <w:tblStyleRowBandSize w:val="1"/>
      <w:tblStyleColBandSize w:val="1"/>
      <w:tblCellMar>
        <w:left w:w="108" w:type="dxa"/>
        <w:right w:w="108" w:type="dxa"/>
      </w:tblCellMar>
    </w:tblPr>
  </w:style>
  <w:style w:type="table" w:customStyle="1" w:styleId="affff9">
    <w:basedOn w:val="TableNormal7"/>
    <w:tblPr>
      <w:tblStyleRowBandSize w:val="1"/>
      <w:tblStyleColBandSize w:val="1"/>
      <w:tblCellMar>
        <w:left w:w="108" w:type="dxa"/>
        <w:right w:w="108" w:type="dxa"/>
      </w:tblCellMar>
    </w:tblPr>
  </w:style>
  <w:style w:type="table" w:customStyle="1" w:styleId="affffa">
    <w:basedOn w:val="TableNormal6"/>
    <w:tblPr>
      <w:tblStyleRowBandSize w:val="1"/>
      <w:tblStyleColBandSize w:val="1"/>
      <w:tblCellMar>
        <w:left w:w="108" w:type="dxa"/>
        <w:right w:w="108" w:type="dxa"/>
      </w:tblCellMar>
    </w:tblPr>
  </w:style>
  <w:style w:type="table" w:customStyle="1" w:styleId="affffb">
    <w:basedOn w:val="TableNormal6"/>
    <w:tblPr>
      <w:tblStyleRowBandSize w:val="1"/>
      <w:tblStyleColBandSize w:val="1"/>
      <w:tblCellMar>
        <w:left w:w="108" w:type="dxa"/>
        <w:right w:w="108" w:type="dxa"/>
      </w:tblCellMar>
    </w:tblPr>
  </w:style>
  <w:style w:type="table" w:customStyle="1" w:styleId="affffc">
    <w:basedOn w:val="TableNormal6"/>
    <w:tblPr>
      <w:tblStyleRowBandSize w:val="1"/>
      <w:tblStyleColBandSize w:val="1"/>
      <w:tblCellMar>
        <w:left w:w="108" w:type="dxa"/>
        <w:right w:w="108" w:type="dxa"/>
      </w:tblCellMar>
    </w:tblPr>
  </w:style>
  <w:style w:type="table" w:customStyle="1" w:styleId="affffd">
    <w:basedOn w:val="TableNormal6"/>
    <w:tblPr>
      <w:tblStyleRowBandSize w:val="1"/>
      <w:tblStyleColBandSize w:val="1"/>
      <w:tblCellMar>
        <w:left w:w="108" w:type="dxa"/>
        <w:right w:w="108" w:type="dxa"/>
      </w:tblCellMar>
    </w:tblPr>
  </w:style>
  <w:style w:type="table" w:customStyle="1" w:styleId="affffe">
    <w:basedOn w:val="TableNormal6"/>
    <w:tblPr>
      <w:tblStyleRowBandSize w:val="1"/>
      <w:tblStyleColBandSize w:val="1"/>
      <w:tblCellMar>
        <w:left w:w="108" w:type="dxa"/>
        <w:right w:w="108" w:type="dxa"/>
      </w:tblCellMar>
    </w:tblPr>
  </w:style>
  <w:style w:type="table" w:customStyle="1" w:styleId="afffff">
    <w:basedOn w:val="TableNormal6"/>
    <w:tblPr>
      <w:tblStyleRowBandSize w:val="1"/>
      <w:tblStyleColBandSize w:val="1"/>
      <w:tblCellMar>
        <w:left w:w="108" w:type="dxa"/>
        <w:right w:w="108" w:type="dxa"/>
      </w:tblCellMar>
    </w:tblPr>
  </w:style>
  <w:style w:type="table" w:customStyle="1" w:styleId="afffff0">
    <w:basedOn w:val="TableNormal6"/>
    <w:tblPr>
      <w:tblStyleRowBandSize w:val="1"/>
      <w:tblStyleColBandSize w:val="1"/>
      <w:tblCellMar>
        <w:left w:w="108" w:type="dxa"/>
        <w:right w:w="108" w:type="dxa"/>
      </w:tblCellMar>
    </w:tblPr>
  </w:style>
  <w:style w:type="table" w:customStyle="1" w:styleId="afffff1">
    <w:basedOn w:val="TableNormal6"/>
    <w:tblPr>
      <w:tblStyleRowBandSize w:val="1"/>
      <w:tblStyleColBandSize w:val="1"/>
      <w:tblCellMar>
        <w:left w:w="108" w:type="dxa"/>
        <w:right w:w="108" w:type="dxa"/>
      </w:tblCellMar>
    </w:tblPr>
  </w:style>
  <w:style w:type="table" w:customStyle="1" w:styleId="afffff2">
    <w:basedOn w:val="TableNormal6"/>
    <w:tblPr>
      <w:tblStyleRowBandSize w:val="1"/>
      <w:tblStyleColBandSize w:val="1"/>
      <w:tblCellMar>
        <w:left w:w="108" w:type="dxa"/>
        <w:right w:w="108" w:type="dxa"/>
      </w:tblCellMar>
    </w:tblPr>
  </w:style>
  <w:style w:type="table" w:customStyle="1" w:styleId="afffff3">
    <w:basedOn w:val="TableNormal6"/>
    <w:tblPr>
      <w:tblStyleRowBandSize w:val="1"/>
      <w:tblStyleColBandSize w:val="1"/>
      <w:tblCellMar>
        <w:left w:w="108" w:type="dxa"/>
        <w:right w:w="108" w:type="dxa"/>
      </w:tblCellMar>
    </w:tblPr>
  </w:style>
  <w:style w:type="table" w:customStyle="1" w:styleId="afffff4">
    <w:basedOn w:val="TableNormal6"/>
    <w:tblPr>
      <w:tblStyleRowBandSize w:val="1"/>
      <w:tblStyleColBandSize w:val="1"/>
      <w:tblCellMar>
        <w:left w:w="108" w:type="dxa"/>
        <w:right w:w="108" w:type="dxa"/>
      </w:tblCellMar>
    </w:tblPr>
  </w:style>
  <w:style w:type="table" w:customStyle="1" w:styleId="afffff5">
    <w:basedOn w:val="TableNormal6"/>
    <w:tblPr>
      <w:tblStyleRowBandSize w:val="1"/>
      <w:tblStyleColBandSize w:val="1"/>
      <w:tblCellMar>
        <w:left w:w="108" w:type="dxa"/>
        <w:right w:w="108" w:type="dxa"/>
      </w:tblCellMar>
    </w:tblPr>
  </w:style>
  <w:style w:type="table" w:customStyle="1" w:styleId="afffff6">
    <w:basedOn w:val="TableNormal6"/>
    <w:tblPr>
      <w:tblStyleRowBandSize w:val="1"/>
      <w:tblStyleColBandSize w:val="1"/>
      <w:tblCellMar>
        <w:left w:w="108" w:type="dxa"/>
        <w:right w:w="108" w:type="dxa"/>
      </w:tblCellMar>
    </w:tblPr>
  </w:style>
  <w:style w:type="table" w:customStyle="1" w:styleId="afffff7">
    <w:basedOn w:val="TableNormal6"/>
    <w:tblPr>
      <w:tblStyleRowBandSize w:val="1"/>
      <w:tblStyleColBandSize w:val="1"/>
      <w:tblCellMar>
        <w:left w:w="108" w:type="dxa"/>
        <w:right w:w="108" w:type="dxa"/>
      </w:tblCellMar>
    </w:tblPr>
  </w:style>
  <w:style w:type="table" w:customStyle="1" w:styleId="afffff8">
    <w:basedOn w:val="TableNormal6"/>
    <w:tblPr>
      <w:tblStyleRowBandSize w:val="1"/>
      <w:tblStyleColBandSize w:val="1"/>
      <w:tblCellMar>
        <w:left w:w="108" w:type="dxa"/>
        <w:right w:w="108" w:type="dxa"/>
      </w:tblCellMar>
    </w:tblPr>
  </w:style>
  <w:style w:type="table" w:customStyle="1" w:styleId="afffff9">
    <w:basedOn w:val="TableNormal6"/>
    <w:tblPr>
      <w:tblStyleRowBandSize w:val="1"/>
      <w:tblStyleColBandSize w:val="1"/>
      <w:tblCellMar>
        <w:left w:w="108" w:type="dxa"/>
        <w:right w:w="108" w:type="dxa"/>
      </w:tblCellMar>
    </w:tblPr>
  </w:style>
  <w:style w:type="table" w:customStyle="1" w:styleId="afffffa">
    <w:basedOn w:val="TableNormal6"/>
    <w:tblPr>
      <w:tblStyleRowBandSize w:val="1"/>
      <w:tblStyleColBandSize w:val="1"/>
      <w:tblCellMar>
        <w:left w:w="108" w:type="dxa"/>
        <w:right w:w="108" w:type="dxa"/>
      </w:tblCellMar>
    </w:tblPr>
  </w:style>
  <w:style w:type="table" w:customStyle="1" w:styleId="afffffb">
    <w:basedOn w:val="TableNormal5"/>
    <w:tblPr>
      <w:tblStyleRowBandSize w:val="1"/>
      <w:tblStyleColBandSize w:val="1"/>
      <w:tblCellMar>
        <w:left w:w="108" w:type="dxa"/>
        <w:right w:w="108" w:type="dxa"/>
      </w:tblCellMar>
    </w:tblPr>
  </w:style>
  <w:style w:type="table" w:customStyle="1" w:styleId="afffffc">
    <w:basedOn w:val="TableNormal5"/>
    <w:tblPr>
      <w:tblStyleRowBandSize w:val="1"/>
      <w:tblStyleColBandSize w:val="1"/>
      <w:tblCellMar>
        <w:left w:w="108" w:type="dxa"/>
        <w:right w:w="108" w:type="dxa"/>
      </w:tblCellMar>
    </w:tblPr>
  </w:style>
  <w:style w:type="table" w:customStyle="1" w:styleId="afffffd">
    <w:basedOn w:val="TableNormal5"/>
    <w:tblPr>
      <w:tblStyleRowBandSize w:val="1"/>
      <w:tblStyleColBandSize w:val="1"/>
      <w:tblCellMar>
        <w:left w:w="108" w:type="dxa"/>
        <w:right w:w="108" w:type="dxa"/>
      </w:tblCellMar>
    </w:tblPr>
  </w:style>
  <w:style w:type="table" w:customStyle="1" w:styleId="afffffe">
    <w:basedOn w:val="TableNormal5"/>
    <w:tblPr>
      <w:tblStyleRowBandSize w:val="1"/>
      <w:tblStyleColBandSize w:val="1"/>
      <w:tblCellMar>
        <w:left w:w="108" w:type="dxa"/>
        <w:right w:w="108" w:type="dxa"/>
      </w:tblCellMar>
    </w:tblPr>
  </w:style>
  <w:style w:type="table" w:customStyle="1" w:styleId="affffff">
    <w:basedOn w:val="TableNormal5"/>
    <w:tblPr>
      <w:tblStyleRowBandSize w:val="1"/>
      <w:tblStyleColBandSize w:val="1"/>
      <w:tblCellMar>
        <w:left w:w="108" w:type="dxa"/>
        <w:right w:w="108" w:type="dxa"/>
      </w:tblCellMar>
    </w:tblPr>
  </w:style>
  <w:style w:type="table" w:customStyle="1" w:styleId="affffff0">
    <w:basedOn w:val="TableNormal5"/>
    <w:tblPr>
      <w:tblStyleRowBandSize w:val="1"/>
      <w:tblStyleColBandSize w:val="1"/>
      <w:tblCellMar>
        <w:left w:w="108" w:type="dxa"/>
        <w:right w:w="108" w:type="dxa"/>
      </w:tblCellMar>
    </w:tblPr>
  </w:style>
  <w:style w:type="table" w:customStyle="1" w:styleId="affffff1">
    <w:basedOn w:val="TableNormal5"/>
    <w:tblPr>
      <w:tblStyleRowBandSize w:val="1"/>
      <w:tblStyleColBandSize w:val="1"/>
      <w:tblCellMar>
        <w:left w:w="108" w:type="dxa"/>
        <w:right w:w="108" w:type="dxa"/>
      </w:tblCellMar>
    </w:tblPr>
  </w:style>
  <w:style w:type="table" w:customStyle="1" w:styleId="affffff2">
    <w:basedOn w:val="TableNormal5"/>
    <w:tblPr>
      <w:tblStyleRowBandSize w:val="1"/>
      <w:tblStyleColBandSize w:val="1"/>
      <w:tblCellMar>
        <w:left w:w="108" w:type="dxa"/>
        <w:right w:w="108" w:type="dxa"/>
      </w:tblCellMar>
    </w:tblPr>
  </w:style>
  <w:style w:type="table" w:customStyle="1" w:styleId="affffff3">
    <w:basedOn w:val="TableNormal5"/>
    <w:tblPr>
      <w:tblStyleRowBandSize w:val="1"/>
      <w:tblStyleColBandSize w:val="1"/>
      <w:tblCellMar>
        <w:left w:w="108" w:type="dxa"/>
        <w:right w:w="108" w:type="dxa"/>
      </w:tblCellMar>
    </w:tblPr>
  </w:style>
  <w:style w:type="table" w:customStyle="1" w:styleId="affffff4">
    <w:basedOn w:val="TableNormal5"/>
    <w:tblPr>
      <w:tblStyleRowBandSize w:val="1"/>
      <w:tblStyleColBandSize w:val="1"/>
      <w:tblCellMar>
        <w:left w:w="108" w:type="dxa"/>
        <w:right w:w="108" w:type="dxa"/>
      </w:tblCellMar>
    </w:tblPr>
  </w:style>
  <w:style w:type="table" w:customStyle="1" w:styleId="affffff5">
    <w:basedOn w:val="TableNormal5"/>
    <w:tblPr>
      <w:tblStyleRowBandSize w:val="1"/>
      <w:tblStyleColBandSize w:val="1"/>
      <w:tblCellMar>
        <w:left w:w="108" w:type="dxa"/>
        <w:right w:w="108" w:type="dxa"/>
      </w:tblCellMar>
    </w:tblPr>
  </w:style>
  <w:style w:type="table" w:customStyle="1" w:styleId="affffff6">
    <w:basedOn w:val="TableNormal5"/>
    <w:tblPr>
      <w:tblStyleRowBandSize w:val="1"/>
      <w:tblStyleColBandSize w:val="1"/>
      <w:tblCellMar>
        <w:left w:w="108" w:type="dxa"/>
        <w:right w:w="108" w:type="dxa"/>
      </w:tblCellMar>
    </w:tblPr>
  </w:style>
  <w:style w:type="table" w:customStyle="1" w:styleId="affffff7">
    <w:basedOn w:val="TableNormal5"/>
    <w:tblPr>
      <w:tblStyleRowBandSize w:val="1"/>
      <w:tblStyleColBandSize w:val="1"/>
      <w:tblCellMar>
        <w:left w:w="108" w:type="dxa"/>
        <w:right w:w="108" w:type="dxa"/>
      </w:tblCellMar>
    </w:tblPr>
  </w:style>
  <w:style w:type="table" w:customStyle="1" w:styleId="affffff8">
    <w:basedOn w:val="TableNormal5"/>
    <w:tblPr>
      <w:tblStyleRowBandSize w:val="1"/>
      <w:tblStyleColBandSize w:val="1"/>
      <w:tblCellMar>
        <w:left w:w="108" w:type="dxa"/>
        <w:right w:w="108" w:type="dxa"/>
      </w:tblCellMar>
    </w:tblPr>
  </w:style>
  <w:style w:type="table" w:customStyle="1" w:styleId="affffff9">
    <w:basedOn w:val="TableNormal4"/>
    <w:tblPr>
      <w:tblStyleRowBandSize w:val="1"/>
      <w:tblStyleColBandSize w:val="1"/>
      <w:tblCellMar>
        <w:left w:w="108" w:type="dxa"/>
        <w:right w:w="108" w:type="dxa"/>
      </w:tblCellMar>
    </w:tblPr>
  </w:style>
  <w:style w:type="table" w:customStyle="1" w:styleId="affffffa">
    <w:basedOn w:val="TableNormal4"/>
    <w:tblPr>
      <w:tblStyleRowBandSize w:val="1"/>
      <w:tblStyleColBandSize w:val="1"/>
      <w:tblCellMar>
        <w:left w:w="108" w:type="dxa"/>
        <w:right w:w="108" w:type="dxa"/>
      </w:tblCellMar>
    </w:tblPr>
  </w:style>
  <w:style w:type="table" w:customStyle="1" w:styleId="affffffb">
    <w:basedOn w:val="TableNormal4"/>
    <w:tblPr>
      <w:tblStyleRowBandSize w:val="1"/>
      <w:tblStyleColBandSize w:val="1"/>
      <w:tblCellMar>
        <w:left w:w="108" w:type="dxa"/>
        <w:right w:w="108" w:type="dxa"/>
      </w:tblCellMar>
    </w:tblPr>
  </w:style>
  <w:style w:type="table" w:customStyle="1" w:styleId="affffffc">
    <w:basedOn w:val="TableNormal4"/>
    <w:tblPr>
      <w:tblStyleRowBandSize w:val="1"/>
      <w:tblStyleColBandSize w:val="1"/>
      <w:tblCellMar>
        <w:left w:w="108" w:type="dxa"/>
        <w:right w:w="108" w:type="dxa"/>
      </w:tblCellMar>
    </w:tblPr>
  </w:style>
  <w:style w:type="table" w:customStyle="1" w:styleId="affffffd">
    <w:basedOn w:val="TableNormal4"/>
    <w:tblPr>
      <w:tblStyleRowBandSize w:val="1"/>
      <w:tblStyleColBandSize w:val="1"/>
      <w:tblCellMar>
        <w:left w:w="108" w:type="dxa"/>
        <w:right w:w="108" w:type="dxa"/>
      </w:tblCellMar>
    </w:tblPr>
  </w:style>
  <w:style w:type="table" w:customStyle="1" w:styleId="affffffe">
    <w:basedOn w:val="TableNormal4"/>
    <w:tblPr>
      <w:tblStyleRowBandSize w:val="1"/>
      <w:tblStyleColBandSize w:val="1"/>
      <w:tblCellMar>
        <w:left w:w="108" w:type="dxa"/>
        <w:right w:w="108" w:type="dxa"/>
      </w:tblCellMar>
    </w:tblPr>
  </w:style>
  <w:style w:type="table" w:customStyle="1" w:styleId="afffffff">
    <w:basedOn w:val="TableNormal4"/>
    <w:tblPr>
      <w:tblStyleRowBandSize w:val="1"/>
      <w:tblStyleColBandSize w:val="1"/>
      <w:tblCellMar>
        <w:left w:w="108" w:type="dxa"/>
        <w:right w:w="108" w:type="dxa"/>
      </w:tblCellMar>
    </w:tblPr>
  </w:style>
  <w:style w:type="table" w:customStyle="1" w:styleId="afffffff0">
    <w:basedOn w:val="TableNormal4"/>
    <w:tblPr>
      <w:tblStyleRowBandSize w:val="1"/>
      <w:tblStyleColBandSize w:val="1"/>
      <w:tblCellMar>
        <w:left w:w="108" w:type="dxa"/>
        <w:right w:w="108" w:type="dxa"/>
      </w:tblCellMar>
    </w:tblPr>
  </w:style>
  <w:style w:type="table" w:customStyle="1" w:styleId="afffffff1">
    <w:basedOn w:val="TableNormal4"/>
    <w:tblPr>
      <w:tblStyleRowBandSize w:val="1"/>
      <w:tblStyleColBandSize w:val="1"/>
      <w:tblCellMar>
        <w:left w:w="108" w:type="dxa"/>
        <w:right w:w="108" w:type="dxa"/>
      </w:tblCellMar>
    </w:tblPr>
  </w:style>
  <w:style w:type="table" w:customStyle="1" w:styleId="afffffff2">
    <w:basedOn w:val="TableNormal4"/>
    <w:tblPr>
      <w:tblStyleRowBandSize w:val="1"/>
      <w:tblStyleColBandSize w:val="1"/>
      <w:tblCellMar>
        <w:left w:w="108" w:type="dxa"/>
        <w:right w:w="108" w:type="dxa"/>
      </w:tblCellMar>
    </w:tblPr>
  </w:style>
  <w:style w:type="table" w:customStyle="1" w:styleId="afffffff3">
    <w:basedOn w:val="TableNormal4"/>
    <w:tblPr>
      <w:tblStyleRowBandSize w:val="1"/>
      <w:tblStyleColBandSize w:val="1"/>
      <w:tblCellMar>
        <w:left w:w="108" w:type="dxa"/>
        <w:right w:w="108" w:type="dxa"/>
      </w:tblCellMar>
    </w:tblPr>
  </w:style>
  <w:style w:type="table" w:customStyle="1" w:styleId="afffffff4">
    <w:basedOn w:val="TableNormal4"/>
    <w:tblPr>
      <w:tblStyleRowBandSize w:val="1"/>
      <w:tblStyleColBandSize w:val="1"/>
      <w:tblCellMar>
        <w:left w:w="108" w:type="dxa"/>
        <w:right w:w="108" w:type="dxa"/>
      </w:tblCellMar>
    </w:tblPr>
  </w:style>
  <w:style w:type="table" w:customStyle="1" w:styleId="afffffff5">
    <w:basedOn w:val="TableNormal4"/>
    <w:tblPr>
      <w:tblStyleRowBandSize w:val="1"/>
      <w:tblStyleColBandSize w:val="1"/>
      <w:tblCellMar>
        <w:left w:w="108" w:type="dxa"/>
        <w:right w:w="108" w:type="dxa"/>
      </w:tblCellMar>
    </w:tblPr>
  </w:style>
  <w:style w:type="table" w:customStyle="1" w:styleId="afffffff6">
    <w:basedOn w:val="TableNormal3"/>
    <w:tblPr>
      <w:tblStyleRowBandSize w:val="1"/>
      <w:tblStyleColBandSize w:val="1"/>
      <w:tblCellMar>
        <w:left w:w="108" w:type="dxa"/>
        <w:right w:w="108" w:type="dxa"/>
      </w:tblCellMar>
    </w:tblPr>
  </w:style>
  <w:style w:type="table" w:customStyle="1" w:styleId="afffffff7">
    <w:basedOn w:val="TableNormal3"/>
    <w:tblPr>
      <w:tblStyleRowBandSize w:val="1"/>
      <w:tblStyleColBandSize w:val="1"/>
      <w:tblCellMar>
        <w:left w:w="108" w:type="dxa"/>
        <w:right w:w="108" w:type="dxa"/>
      </w:tblCellMar>
    </w:tblPr>
  </w:style>
  <w:style w:type="table" w:customStyle="1" w:styleId="afffffff8">
    <w:basedOn w:val="TableNormal3"/>
    <w:tblPr>
      <w:tblStyleRowBandSize w:val="1"/>
      <w:tblStyleColBandSize w:val="1"/>
      <w:tblCellMar>
        <w:left w:w="108" w:type="dxa"/>
        <w:right w:w="108" w:type="dxa"/>
      </w:tblCellMar>
    </w:tblPr>
  </w:style>
  <w:style w:type="table" w:customStyle="1" w:styleId="afffffff9">
    <w:basedOn w:val="TableNormal3"/>
    <w:tblPr>
      <w:tblStyleRowBandSize w:val="1"/>
      <w:tblStyleColBandSize w:val="1"/>
      <w:tblCellMar>
        <w:left w:w="108" w:type="dxa"/>
        <w:right w:w="108" w:type="dxa"/>
      </w:tblCellMar>
    </w:tblPr>
  </w:style>
  <w:style w:type="table" w:customStyle="1" w:styleId="afffffffa">
    <w:basedOn w:val="TableNormal3"/>
    <w:tblPr>
      <w:tblStyleRowBandSize w:val="1"/>
      <w:tblStyleColBandSize w:val="1"/>
      <w:tblCellMar>
        <w:left w:w="108" w:type="dxa"/>
        <w:right w:w="108" w:type="dxa"/>
      </w:tblCellMar>
    </w:tblPr>
  </w:style>
  <w:style w:type="table" w:customStyle="1" w:styleId="afffffffb">
    <w:basedOn w:val="TableNormal3"/>
    <w:tblPr>
      <w:tblStyleRowBandSize w:val="1"/>
      <w:tblStyleColBandSize w:val="1"/>
      <w:tblCellMar>
        <w:left w:w="108" w:type="dxa"/>
        <w:right w:w="108" w:type="dxa"/>
      </w:tblCellMar>
    </w:tblPr>
  </w:style>
  <w:style w:type="table" w:customStyle="1" w:styleId="afffffffc">
    <w:basedOn w:val="TableNormal3"/>
    <w:tblPr>
      <w:tblStyleRowBandSize w:val="1"/>
      <w:tblStyleColBandSize w:val="1"/>
      <w:tblCellMar>
        <w:left w:w="108" w:type="dxa"/>
        <w:right w:w="108" w:type="dxa"/>
      </w:tblCellMar>
    </w:tblPr>
  </w:style>
  <w:style w:type="table" w:customStyle="1" w:styleId="afffffffd">
    <w:basedOn w:val="TableNormal3"/>
    <w:tblPr>
      <w:tblStyleRowBandSize w:val="1"/>
      <w:tblStyleColBandSize w:val="1"/>
      <w:tblCellMar>
        <w:left w:w="108" w:type="dxa"/>
        <w:right w:w="108" w:type="dxa"/>
      </w:tblCellMar>
    </w:tblPr>
  </w:style>
  <w:style w:type="table" w:customStyle="1" w:styleId="afffffffe">
    <w:basedOn w:val="TableNormal3"/>
    <w:tblPr>
      <w:tblStyleRowBandSize w:val="1"/>
      <w:tblStyleColBandSize w:val="1"/>
      <w:tblCellMar>
        <w:left w:w="108" w:type="dxa"/>
        <w:right w:w="108" w:type="dxa"/>
      </w:tblCellMar>
    </w:tblPr>
  </w:style>
  <w:style w:type="table" w:customStyle="1" w:styleId="affffffff">
    <w:basedOn w:val="TableNormal3"/>
    <w:tblPr>
      <w:tblStyleRowBandSize w:val="1"/>
      <w:tblStyleColBandSize w:val="1"/>
      <w:tblCellMar>
        <w:left w:w="108" w:type="dxa"/>
        <w:right w:w="108" w:type="dxa"/>
      </w:tblCellMar>
    </w:tblPr>
  </w:style>
  <w:style w:type="table" w:customStyle="1" w:styleId="affffffff0">
    <w:basedOn w:val="TableNormal3"/>
    <w:tblPr>
      <w:tblStyleRowBandSize w:val="1"/>
      <w:tblStyleColBandSize w:val="1"/>
      <w:tblCellMar>
        <w:left w:w="108" w:type="dxa"/>
        <w:right w:w="108" w:type="dxa"/>
      </w:tblCellMar>
    </w:tblPr>
  </w:style>
  <w:style w:type="table" w:customStyle="1" w:styleId="affffffff1">
    <w:basedOn w:val="TableNormal3"/>
    <w:tblPr>
      <w:tblStyleRowBandSize w:val="1"/>
      <w:tblStyleColBandSize w:val="1"/>
      <w:tblCellMar>
        <w:left w:w="108" w:type="dxa"/>
        <w:right w:w="108" w:type="dxa"/>
      </w:tblCellMar>
    </w:tblPr>
  </w:style>
  <w:style w:type="table" w:customStyle="1" w:styleId="affffffff2">
    <w:basedOn w:val="TableNormal3"/>
    <w:tblPr>
      <w:tblStyleRowBandSize w:val="1"/>
      <w:tblStyleColBandSize w:val="1"/>
      <w:tblCellMar>
        <w:left w:w="108" w:type="dxa"/>
        <w:right w:w="108" w:type="dxa"/>
      </w:tblCellMar>
    </w:tblPr>
  </w:style>
  <w:style w:type="table" w:customStyle="1" w:styleId="affffffff3">
    <w:basedOn w:val="TableNormal3"/>
    <w:tblPr>
      <w:tblStyleRowBandSize w:val="1"/>
      <w:tblStyleColBandSize w:val="1"/>
      <w:tblCellMar>
        <w:top w:w="15" w:type="dxa"/>
        <w:left w:w="15" w:type="dxa"/>
        <w:bottom w:w="15" w:type="dxa"/>
        <w:right w:w="15" w:type="dxa"/>
      </w:tblCellMar>
    </w:tblPr>
  </w:style>
  <w:style w:type="table" w:customStyle="1" w:styleId="affffffff4">
    <w:basedOn w:val="TableNormal3"/>
    <w:tblPr>
      <w:tblStyleRowBandSize w:val="1"/>
      <w:tblStyleColBandSize w:val="1"/>
      <w:tblCellMar>
        <w:left w:w="108" w:type="dxa"/>
        <w:right w:w="108" w:type="dxa"/>
      </w:tblCellMar>
    </w:tblPr>
  </w:style>
  <w:style w:type="table" w:customStyle="1" w:styleId="affffffff5">
    <w:basedOn w:val="TableNormal3"/>
    <w:tblPr>
      <w:tblStyleRowBandSize w:val="1"/>
      <w:tblStyleColBandSize w:val="1"/>
      <w:tblCellMar>
        <w:left w:w="108" w:type="dxa"/>
        <w:right w:w="108" w:type="dxa"/>
      </w:tblCellMar>
    </w:tblPr>
  </w:style>
  <w:style w:type="table" w:customStyle="1" w:styleId="affffffff6">
    <w:basedOn w:val="TableNormal2"/>
    <w:tblPr>
      <w:tblStyleRowBandSize w:val="1"/>
      <w:tblStyleColBandSize w:val="1"/>
      <w:tblCellMar>
        <w:left w:w="108" w:type="dxa"/>
        <w:right w:w="108" w:type="dxa"/>
      </w:tblCellMar>
    </w:tblPr>
  </w:style>
  <w:style w:type="table" w:customStyle="1" w:styleId="affffffff7">
    <w:basedOn w:val="TableNormal2"/>
    <w:tblPr>
      <w:tblStyleRowBandSize w:val="1"/>
      <w:tblStyleColBandSize w:val="1"/>
      <w:tblCellMar>
        <w:left w:w="108" w:type="dxa"/>
        <w:right w:w="108" w:type="dxa"/>
      </w:tblCellMar>
    </w:tblPr>
  </w:style>
  <w:style w:type="table" w:customStyle="1" w:styleId="affffffff8">
    <w:basedOn w:val="TableNormal2"/>
    <w:tblPr>
      <w:tblStyleRowBandSize w:val="1"/>
      <w:tblStyleColBandSize w:val="1"/>
      <w:tblCellMar>
        <w:left w:w="108" w:type="dxa"/>
        <w:right w:w="108" w:type="dxa"/>
      </w:tblCellMar>
    </w:tblPr>
  </w:style>
  <w:style w:type="table" w:customStyle="1" w:styleId="affffffff9">
    <w:basedOn w:val="TableNormal2"/>
    <w:tblPr>
      <w:tblStyleRowBandSize w:val="1"/>
      <w:tblStyleColBandSize w:val="1"/>
      <w:tblCellMar>
        <w:left w:w="108" w:type="dxa"/>
        <w:right w:w="108" w:type="dxa"/>
      </w:tblCellMar>
    </w:tblPr>
  </w:style>
  <w:style w:type="table" w:customStyle="1" w:styleId="affffffffa">
    <w:basedOn w:val="TableNormal2"/>
    <w:tblPr>
      <w:tblStyleRowBandSize w:val="1"/>
      <w:tblStyleColBandSize w:val="1"/>
      <w:tblCellMar>
        <w:left w:w="108" w:type="dxa"/>
        <w:right w:w="108" w:type="dxa"/>
      </w:tblCellMar>
    </w:tblPr>
  </w:style>
  <w:style w:type="table" w:customStyle="1" w:styleId="affffffffb">
    <w:basedOn w:val="TableNormal2"/>
    <w:tblPr>
      <w:tblStyleRowBandSize w:val="1"/>
      <w:tblStyleColBandSize w:val="1"/>
      <w:tblCellMar>
        <w:left w:w="108" w:type="dxa"/>
        <w:right w:w="108" w:type="dxa"/>
      </w:tblCellMar>
    </w:tblPr>
  </w:style>
  <w:style w:type="table" w:customStyle="1" w:styleId="affffffffc">
    <w:basedOn w:val="TableNormal2"/>
    <w:tblPr>
      <w:tblStyleRowBandSize w:val="1"/>
      <w:tblStyleColBandSize w:val="1"/>
      <w:tblCellMar>
        <w:left w:w="108" w:type="dxa"/>
        <w:right w:w="108" w:type="dxa"/>
      </w:tblCellMar>
    </w:tblPr>
  </w:style>
  <w:style w:type="table" w:customStyle="1" w:styleId="affffffffd">
    <w:basedOn w:val="TableNormal2"/>
    <w:tblPr>
      <w:tblStyleRowBandSize w:val="1"/>
      <w:tblStyleColBandSize w:val="1"/>
      <w:tblCellMar>
        <w:left w:w="108" w:type="dxa"/>
        <w:right w:w="108" w:type="dxa"/>
      </w:tblCellMar>
    </w:tblPr>
  </w:style>
  <w:style w:type="table" w:customStyle="1" w:styleId="affffffffe">
    <w:basedOn w:val="TableNormal2"/>
    <w:tblPr>
      <w:tblStyleRowBandSize w:val="1"/>
      <w:tblStyleColBandSize w:val="1"/>
      <w:tblCellMar>
        <w:left w:w="108" w:type="dxa"/>
        <w:right w:w="108" w:type="dxa"/>
      </w:tblCellMar>
    </w:tblPr>
  </w:style>
  <w:style w:type="table" w:customStyle="1" w:styleId="afffffffff">
    <w:basedOn w:val="TableNormal2"/>
    <w:tblPr>
      <w:tblStyleRowBandSize w:val="1"/>
      <w:tblStyleColBandSize w:val="1"/>
      <w:tblCellMar>
        <w:left w:w="108" w:type="dxa"/>
        <w:right w:w="108" w:type="dxa"/>
      </w:tblCellMar>
    </w:tblPr>
  </w:style>
  <w:style w:type="table" w:customStyle="1" w:styleId="afffffffff0">
    <w:basedOn w:val="TableNormal2"/>
    <w:tblPr>
      <w:tblStyleRowBandSize w:val="1"/>
      <w:tblStyleColBandSize w:val="1"/>
      <w:tblCellMar>
        <w:left w:w="108" w:type="dxa"/>
        <w:right w:w="108" w:type="dxa"/>
      </w:tblCellMar>
    </w:tblPr>
  </w:style>
  <w:style w:type="table" w:customStyle="1" w:styleId="afffffffff1">
    <w:basedOn w:val="TableNormal2"/>
    <w:tblPr>
      <w:tblStyleRowBandSize w:val="1"/>
      <w:tblStyleColBandSize w:val="1"/>
      <w:tblCellMar>
        <w:left w:w="108" w:type="dxa"/>
        <w:right w:w="108" w:type="dxa"/>
      </w:tblCellMar>
    </w:tblPr>
  </w:style>
  <w:style w:type="table" w:customStyle="1" w:styleId="afffffffff2">
    <w:basedOn w:val="TableNormal2"/>
    <w:tblPr>
      <w:tblStyleRowBandSize w:val="1"/>
      <w:tblStyleColBandSize w:val="1"/>
      <w:tblCellMar>
        <w:left w:w="108" w:type="dxa"/>
        <w:right w:w="108" w:type="dxa"/>
      </w:tblCellMar>
    </w:tblPr>
  </w:style>
  <w:style w:type="table" w:customStyle="1" w:styleId="afffffffff3">
    <w:basedOn w:val="TableNormal2"/>
    <w:tblPr>
      <w:tblStyleRowBandSize w:val="1"/>
      <w:tblStyleColBandSize w:val="1"/>
      <w:tblCellMar>
        <w:top w:w="15" w:type="dxa"/>
        <w:left w:w="15" w:type="dxa"/>
        <w:bottom w:w="15" w:type="dxa"/>
        <w:right w:w="15" w:type="dxa"/>
      </w:tblCellMar>
    </w:tblPr>
  </w:style>
  <w:style w:type="table" w:customStyle="1" w:styleId="afffffffff4">
    <w:basedOn w:val="TableNormal2"/>
    <w:tblPr>
      <w:tblStyleRowBandSize w:val="1"/>
      <w:tblStyleColBandSize w:val="1"/>
      <w:tblCellMar>
        <w:left w:w="108" w:type="dxa"/>
        <w:right w:w="108" w:type="dxa"/>
      </w:tblCellMar>
    </w:tblPr>
  </w:style>
  <w:style w:type="table" w:customStyle="1" w:styleId="afffffffff5">
    <w:basedOn w:val="TableNormal2"/>
    <w:tblPr>
      <w:tblStyleRowBandSize w:val="1"/>
      <w:tblStyleColBandSize w:val="1"/>
      <w:tblCellMar>
        <w:left w:w="108" w:type="dxa"/>
        <w:right w:w="108" w:type="dxa"/>
      </w:tblCellMar>
    </w:tblPr>
  </w:style>
  <w:style w:type="table" w:customStyle="1" w:styleId="afffffffff6">
    <w:basedOn w:val="TableNormal2"/>
    <w:tblPr>
      <w:tblStyleRowBandSize w:val="1"/>
      <w:tblStyleColBandSize w:val="1"/>
      <w:tblCellMar>
        <w:left w:w="108" w:type="dxa"/>
        <w:right w:w="108" w:type="dxa"/>
      </w:tblCellMar>
    </w:tblPr>
  </w:style>
  <w:style w:type="paragraph" w:styleId="Bibliography">
    <w:name w:val="Bibliography"/>
    <w:basedOn w:val="Normal"/>
    <w:next w:val="Normal"/>
    <w:link w:val="BibliographyChar"/>
    <w:uiPriority w:val="37"/>
    <w:unhideWhenUsed/>
    <w:rsid w:val="0B44BD26"/>
    <w:pPr>
      <w:spacing w:after="0" w:line="480" w:lineRule="atLeast"/>
      <w:ind w:left="720" w:hanging="720"/>
    </w:pPr>
  </w:style>
  <w:style w:type="paragraph" w:customStyle="1" w:styleId="nota">
    <w:name w:val="nota"/>
    <w:basedOn w:val="Normal"/>
    <w:link w:val="notaChar"/>
    <w:uiPriority w:val="1"/>
    <w:qFormat/>
    <w:rsid w:val="0B44BD26"/>
    <w:rPr>
      <w:i/>
      <w:iCs/>
      <w:color w:val="FF0000"/>
      <w:sz w:val="14"/>
      <w:szCs w:val="14"/>
    </w:rPr>
  </w:style>
  <w:style w:type="character" w:customStyle="1" w:styleId="notaChar">
    <w:name w:val="nota Char"/>
    <w:basedOn w:val="DefaultParagraphFont"/>
    <w:link w:val="nota"/>
    <w:rsid w:val="00D025F6"/>
    <w:rPr>
      <w:rFonts w:ascii="Avenir Book" w:eastAsia="Yu Gothic" w:hAnsi="Avenir Book" w:cs="Yu Gothic"/>
      <w:i/>
      <w:color w:val="FF0000"/>
      <w:position w:val="-1"/>
      <w:sz w:val="14"/>
      <w:szCs w:val="14"/>
      <w:lang w:eastAsia="ar-SA"/>
    </w:rPr>
  </w:style>
  <w:style w:type="paragraph" w:customStyle="1" w:styleId="Referencias">
    <w:name w:val="Referencias"/>
    <w:basedOn w:val="Bibliography"/>
    <w:link w:val="ReferenciasChar"/>
    <w:qFormat/>
    <w:rsid w:val="00F966B9"/>
    <w:pPr>
      <w:spacing w:after="60" w:line="240" w:lineRule="auto"/>
      <w:ind w:left="320" w:hangingChars="201" w:hanging="322"/>
      <w:outlineLvl w:val="9"/>
    </w:pPr>
    <w:rPr>
      <w:sz w:val="16"/>
      <w:szCs w:val="16"/>
      <w:lang w:val="en-GB"/>
    </w:rPr>
  </w:style>
  <w:style w:type="character" w:customStyle="1" w:styleId="BibliographyChar">
    <w:name w:val="Bibliography Char"/>
    <w:basedOn w:val="DefaultParagraphFont"/>
    <w:link w:val="Bibliography"/>
    <w:uiPriority w:val="37"/>
    <w:rsid w:val="00E107AD"/>
    <w:rPr>
      <w:rFonts w:ascii="Avenir Book" w:eastAsia="Yu Gothic" w:hAnsi="Avenir Book" w:cs="Yu Gothic"/>
      <w:color w:val="000000" w:themeColor="text1"/>
      <w:sz w:val="18"/>
      <w:szCs w:val="18"/>
      <w:lang w:val="es-419" w:eastAsia="ar-SA"/>
    </w:rPr>
  </w:style>
  <w:style w:type="character" w:customStyle="1" w:styleId="ReferenciasChar">
    <w:name w:val="Referencias Char"/>
    <w:basedOn w:val="BibliographyChar"/>
    <w:link w:val="Referencias"/>
    <w:rsid w:val="00F966B9"/>
    <w:rPr>
      <w:rFonts w:ascii="Avenir Book" w:eastAsia="Yu Gothic" w:hAnsi="Avenir Book" w:cs="Yu Gothic"/>
      <w:color w:val="000000" w:themeColor="text1"/>
      <w:position w:val="-1"/>
      <w:sz w:val="16"/>
      <w:szCs w:val="16"/>
      <w:lang w:val="en-GB" w:eastAsia="ar-SA"/>
    </w:rPr>
  </w:style>
  <w:style w:type="character" w:styleId="Mention">
    <w:name w:val="Mention"/>
    <w:basedOn w:val="DefaultParagraphFont"/>
    <w:uiPriority w:val="99"/>
    <w:unhideWhenUsed/>
    <w:rsid w:val="005F3460"/>
    <w:rPr>
      <w:color w:val="2B579A"/>
      <w:shd w:val="clear" w:color="auto" w:fill="E1DFDD"/>
    </w:rPr>
  </w:style>
  <w:style w:type="character" w:styleId="UnresolvedMention">
    <w:name w:val="Unresolved Mention"/>
    <w:basedOn w:val="DefaultParagraphFont"/>
    <w:uiPriority w:val="99"/>
    <w:semiHidden/>
    <w:unhideWhenUsed/>
    <w:rsid w:val="00D71251"/>
    <w:rPr>
      <w:color w:val="605E5C"/>
      <w:shd w:val="clear" w:color="auto" w:fill="E1DFDD"/>
    </w:rPr>
  </w:style>
  <w:style w:type="paragraph" w:styleId="Caption">
    <w:name w:val="caption"/>
    <w:basedOn w:val="Normal"/>
    <w:next w:val="Normal"/>
    <w:uiPriority w:val="35"/>
    <w:unhideWhenUsed/>
    <w:qFormat/>
    <w:rsid w:val="0B44BD26"/>
    <w:pPr>
      <w:spacing w:after="200"/>
    </w:pPr>
    <w:rPr>
      <w:i/>
      <w:iCs/>
      <w:color w:val="1F497D" w:themeColor="text2"/>
    </w:rPr>
  </w:style>
  <w:style w:type="paragraph" w:customStyle="1" w:styleId="CaptionJDL">
    <w:name w:val="Caption_JDL"/>
    <w:basedOn w:val="Normal"/>
    <w:link w:val="CaptionJDLChar"/>
    <w:uiPriority w:val="1"/>
    <w:qFormat/>
    <w:rsid w:val="0B44BD26"/>
    <w:rPr>
      <w:sz w:val="14"/>
      <w:szCs w:val="14"/>
      <w:lang w:val="es-ES"/>
    </w:rPr>
  </w:style>
  <w:style w:type="character" w:customStyle="1" w:styleId="CaptionJDLChar">
    <w:name w:val="Caption_JDL Char"/>
    <w:basedOn w:val="DefaultParagraphFont"/>
    <w:link w:val="CaptionJDL"/>
    <w:rsid w:val="00D12C3B"/>
    <w:rPr>
      <w:rFonts w:ascii="Avenir Book" w:eastAsia="Yu Gothic" w:hAnsi="Avenir Book" w:cs="Yu Gothic"/>
      <w:position w:val="-1"/>
      <w:sz w:val="14"/>
      <w:szCs w:val="14"/>
      <w:lang w:val="es-ES" w:eastAsia="ar-SA"/>
    </w:rPr>
  </w:style>
  <w:style w:type="character" w:styleId="Strong">
    <w:name w:val="Strong"/>
    <w:basedOn w:val="DefaultParagraphFont"/>
    <w:uiPriority w:val="22"/>
    <w:qFormat/>
    <w:rsid w:val="00604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497">
      <w:bodyDiv w:val="1"/>
      <w:marLeft w:val="0"/>
      <w:marRight w:val="0"/>
      <w:marTop w:val="0"/>
      <w:marBottom w:val="0"/>
      <w:divBdr>
        <w:top w:val="none" w:sz="0" w:space="0" w:color="auto"/>
        <w:left w:val="none" w:sz="0" w:space="0" w:color="auto"/>
        <w:bottom w:val="none" w:sz="0" w:space="0" w:color="auto"/>
        <w:right w:val="none" w:sz="0" w:space="0" w:color="auto"/>
      </w:divBdr>
    </w:div>
    <w:div w:id="51858239">
      <w:bodyDiv w:val="1"/>
      <w:marLeft w:val="0"/>
      <w:marRight w:val="0"/>
      <w:marTop w:val="0"/>
      <w:marBottom w:val="0"/>
      <w:divBdr>
        <w:top w:val="none" w:sz="0" w:space="0" w:color="auto"/>
        <w:left w:val="none" w:sz="0" w:space="0" w:color="auto"/>
        <w:bottom w:val="none" w:sz="0" w:space="0" w:color="auto"/>
        <w:right w:val="none" w:sz="0" w:space="0" w:color="auto"/>
      </w:divBdr>
    </w:div>
    <w:div w:id="82070988">
      <w:bodyDiv w:val="1"/>
      <w:marLeft w:val="0"/>
      <w:marRight w:val="0"/>
      <w:marTop w:val="0"/>
      <w:marBottom w:val="0"/>
      <w:divBdr>
        <w:top w:val="none" w:sz="0" w:space="0" w:color="auto"/>
        <w:left w:val="none" w:sz="0" w:space="0" w:color="auto"/>
        <w:bottom w:val="none" w:sz="0" w:space="0" w:color="auto"/>
        <w:right w:val="none" w:sz="0" w:space="0" w:color="auto"/>
      </w:divBdr>
    </w:div>
    <w:div w:id="221603518">
      <w:bodyDiv w:val="1"/>
      <w:marLeft w:val="0"/>
      <w:marRight w:val="0"/>
      <w:marTop w:val="0"/>
      <w:marBottom w:val="0"/>
      <w:divBdr>
        <w:top w:val="none" w:sz="0" w:space="0" w:color="auto"/>
        <w:left w:val="none" w:sz="0" w:space="0" w:color="auto"/>
        <w:bottom w:val="none" w:sz="0" w:space="0" w:color="auto"/>
        <w:right w:val="none" w:sz="0" w:space="0" w:color="auto"/>
      </w:divBdr>
    </w:div>
    <w:div w:id="334920737">
      <w:bodyDiv w:val="1"/>
      <w:marLeft w:val="0"/>
      <w:marRight w:val="0"/>
      <w:marTop w:val="0"/>
      <w:marBottom w:val="0"/>
      <w:divBdr>
        <w:top w:val="none" w:sz="0" w:space="0" w:color="auto"/>
        <w:left w:val="none" w:sz="0" w:space="0" w:color="auto"/>
        <w:bottom w:val="none" w:sz="0" w:space="0" w:color="auto"/>
        <w:right w:val="none" w:sz="0" w:space="0" w:color="auto"/>
      </w:divBdr>
    </w:div>
    <w:div w:id="362487080">
      <w:bodyDiv w:val="1"/>
      <w:marLeft w:val="0"/>
      <w:marRight w:val="0"/>
      <w:marTop w:val="0"/>
      <w:marBottom w:val="0"/>
      <w:divBdr>
        <w:top w:val="none" w:sz="0" w:space="0" w:color="auto"/>
        <w:left w:val="none" w:sz="0" w:space="0" w:color="auto"/>
        <w:bottom w:val="none" w:sz="0" w:space="0" w:color="auto"/>
        <w:right w:val="none" w:sz="0" w:space="0" w:color="auto"/>
      </w:divBdr>
    </w:div>
    <w:div w:id="487944895">
      <w:bodyDiv w:val="1"/>
      <w:marLeft w:val="0"/>
      <w:marRight w:val="0"/>
      <w:marTop w:val="0"/>
      <w:marBottom w:val="0"/>
      <w:divBdr>
        <w:top w:val="none" w:sz="0" w:space="0" w:color="auto"/>
        <w:left w:val="none" w:sz="0" w:space="0" w:color="auto"/>
        <w:bottom w:val="none" w:sz="0" w:space="0" w:color="auto"/>
        <w:right w:val="none" w:sz="0" w:space="0" w:color="auto"/>
      </w:divBdr>
    </w:div>
    <w:div w:id="540636139">
      <w:bodyDiv w:val="1"/>
      <w:marLeft w:val="0"/>
      <w:marRight w:val="0"/>
      <w:marTop w:val="0"/>
      <w:marBottom w:val="0"/>
      <w:divBdr>
        <w:top w:val="none" w:sz="0" w:space="0" w:color="auto"/>
        <w:left w:val="none" w:sz="0" w:space="0" w:color="auto"/>
        <w:bottom w:val="none" w:sz="0" w:space="0" w:color="auto"/>
        <w:right w:val="none" w:sz="0" w:space="0" w:color="auto"/>
      </w:divBdr>
    </w:div>
    <w:div w:id="547035498">
      <w:bodyDiv w:val="1"/>
      <w:marLeft w:val="0"/>
      <w:marRight w:val="0"/>
      <w:marTop w:val="0"/>
      <w:marBottom w:val="0"/>
      <w:divBdr>
        <w:top w:val="none" w:sz="0" w:space="0" w:color="auto"/>
        <w:left w:val="none" w:sz="0" w:space="0" w:color="auto"/>
        <w:bottom w:val="none" w:sz="0" w:space="0" w:color="auto"/>
        <w:right w:val="none" w:sz="0" w:space="0" w:color="auto"/>
      </w:divBdr>
    </w:div>
    <w:div w:id="574166497">
      <w:bodyDiv w:val="1"/>
      <w:marLeft w:val="0"/>
      <w:marRight w:val="0"/>
      <w:marTop w:val="0"/>
      <w:marBottom w:val="0"/>
      <w:divBdr>
        <w:top w:val="none" w:sz="0" w:space="0" w:color="auto"/>
        <w:left w:val="none" w:sz="0" w:space="0" w:color="auto"/>
        <w:bottom w:val="none" w:sz="0" w:space="0" w:color="auto"/>
        <w:right w:val="none" w:sz="0" w:space="0" w:color="auto"/>
      </w:divBdr>
    </w:div>
    <w:div w:id="602566234">
      <w:bodyDiv w:val="1"/>
      <w:marLeft w:val="0"/>
      <w:marRight w:val="0"/>
      <w:marTop w:val="0"/>
      <w:marBottom w:val="0"/>
      <w:divBdr>
        <w:top w:val="none" w:sz="0" w:space="0" w:color="auto"/>
        <w:left w:val="none" w:sz="0" w:space="0" w:color="auto"/>
        <w:bottom w:val="none" w:sz="0" w:space="0" w:color="auto"/>
        <w:right w:val="none" w:sz="0" w:space="0" w:color="auto"/>
      </w:divBdr>
      <w:divsChild>
        <w:div w:id="34047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178597">
      <w:bodyDiv w:val="1"/>
      <w:marLeft w:val="0"/>
      <w:marRight w:val="0"/>
      <w:marTop w:val="0"/>
      <w:marBottom w:val="0"/>
      <w:divBdr>
        <w:top w:val="none" w:sz="0" w:space="0" w:color="auto"/>
        <w:left w:val="none" w:sz="0" w:space="0" w:color="auto"/>
        <w:bottom w:val="none" w:sz="0" w:space="0" w:color="auto"/>
        <w:right w:val="none" w:sz="0" w:space="0" w:color="auto"/>
      </w:divBdr>
    </w:div>
    <w:div w:id="632904604">
      <w:bodyDiv w:val="1"/>
      <w:marLeft w:val="0"/>
      <w:marRight w:val="0"/>
      <w:marTop w:val="0"/>
      <w:marBottom w:val="0"/>
      <w:divBdr>
        <w:top w:val="none" w:sz="0" w:space="0" w:color="auto"/>
        <w:left w:val="none" w:sz="0" w:space="0" w:color="auto"/>
        <w:bottom w:val="none" w:sz="0" w:space="0" w:color="auto"/>
        <w:right w:val="none" w:sz="0" w:space="0" w:color="auto"/>
      </w:divBdr>
    </w:div>
    <w:div w:id="685639316">
      <w:bodyDiv w:val="1"/>
      <w:marLeft w:val="0"/>
      <w:marRight w:val="0"/>
      <w:marTop w:val="0"/>
      <w:marBottom w:val="0"/>
      <w:divBdr>
        <w:top w:val="none" w:sz="0" w:space="0" w:color="auto"/>
        <w:left w:val="none" w:sz="0" w:space="0" w:color="auto"/>
        <w:bottom w:val="none" w:sz="0" w:space="0" w:color="auto"/>
        <w:right w:val="none" w:sz="0" w:space="0" w:color="auto"/>
      </w:divBdr>
    </w:div>
    <w:div w:id="743071597">
      <w:bodyDiv w:val="1"/>
      <w:marLeft w:val="0"/>
      <w:marRight w:val="0"/>
      <w:marTop w:val="0"/>
      <w:marBottom w:val="0"/>
      <w:divBdr>
        <w:top w:val="none" w:sz="0" w:space="0" w:color="auto"/>
        <w:left w:val="none" w:sz="0" w:space="0" w:color="auto"/>
        <w:bottom w:val="none" w:sz="0" w:space="0" w:color="auto"/>
        <w:right w:val="none" w:sz="0" w:space="0" w:color="auto"/>
      </w:divBdr>
    </w:div>
    <w:div w:id="756705138">
      <w:bodyDiv w:val="1"/>
      <w:marLeft w:val="0"/>
      <w:marRight w:val="0"/>
      <w:marTop w:val="0"/>
      <w:marBottom w:val="0"/>
      <w:divBdr>
        <w:top w:val="none" w:sz="0" w:space="0" w:color="auto"/>
        <w:left w:val="none" w:sz="0" w:space="0" w:color="auto"/>
        <w:bottom w:val="none" w:sz="0" w:space="0" w:color="auto"/>
        <w:right w:val="none" w:sz="0" w:space="0" w:color="auto"/>
      </w:divBdr>
    </w:div>
    <w:div w:id="779682522">
      <w:bodyDiv w:val="1"/>
      <w:marLeft w:val="0"/>
      <w:marRight w:val="0"/>
      <w:marTop w:val="0"/>
      <w:marBottom w:val="0"/>
      <w:divBdr>
        <w:top w:val="none" w:sz="0" w:space="0" w:color="auto"/>
        <w:left w:val="none" w:sz="0" w:space="0" w:color="auto"/>
        <w:bottom w:val="none" w:sz="0" w:space="0" w:color="auto"/>
        <w:right w:val="none" w:sz="0" w:space="0" w:color="auto"/>
      </w:divBdr>
    </w:div>
    <w:div w:id="833691752">
      <w:bodyDiv w:val="1"/>
      <w:marLeft w:val="0"/>
      <w:marRight w:val="0"/>
      <w:marTop w:val="0"/>
      <w:marBottom w:val="0"/>
      <w:divBdr>
        <w:top w:val="none" w:sz="0" w:space="0" w:color="auto"/>
        <w:left w:val="none" w:sz="0" w:space="0" w:color="auto"/>
        <w:bottom w:val="none" w:sz="0" w:space="0" w:color="auto"/>
        <w:right w:val="none" w:sz="0" w:space="0" w:color="auto"/>
      </w:divBdr>
    </w:div>
    <w:div w:id="881794431">
      <w:bodyDiv w:val="1"/>
      <w:marLeft w:val="0"/>
      <w:marRight w:val="0"/>
      <w:marTop w:val="0"/>
      <w:marBottom w:val="0"/>
      <w:divBdr>
        <w:top w:val="none" w:sz="0" w:space="0" w:color="auto"/>
        <w:left w:val="none" w:sz="0" w:space="0" w:color="auto"/>
        <w:bottom w:val="none" w:sz="0" w:space="0" w:color="auto"/>
        <w:right w:val="none" w:sz="0" w:space="0" w:color="auto"/>
      </w:divBdr>
    </w:div>
    <w:div w:id="926160405">
      <w:bodyDiv w:val="1"/>
      <w:marLeft w:val="0"/>
      <w:marRight w:val="0"/>
      <w:marTop w:val="0"/>
      <w:marBottom w:val="0"/>
      <w:divBdr>
        <w:top w:val="none" w:sz="0" w:space="0" w:color="auto"/>
        <w:left w:val="none" w:sz="0" w:space="0" w:color="auto"/>
        <w:bottom w:val="none" w:sz="0" w:space="0" w:color="auto"/>
        <w:right w:val="none" w:sz="0" w:space="0" w:color="auto"/>
      </w:divBdr>
    </w:div>
    <w:div w:id="1032539333">
      <w:bodyDiv w:val="1"/>
      <w:marLeft w:val="0"/>
      <w:marRight w:val="0"/>
      <w:marTop w:val="0"/>
      <w:marBottom w:val="0"/>
      <w:divBdr>
        <w:top w:val="none" w:sz="0" w:space="0" w:color="auto"/>
        <w:left w:val="none" w:sz="0" w:space="0" w:color="auto"/>
        <w:bottom w:val="none" w:sz="0" w:space="0" w:color="auto"/>
        <w:right w:val="none" w:sz="0" w:space="0" w:color="auto"/>
      </w:divBdr>
    </w:div>
    <w:div w:id="1098914482">
      <w:bodyDiv w:val="1"/>
      <w:marLeft w:val="0"/>
      <w:marRight w:val="0"/>
      <w:marTop w:val="0"/>
      <w:marBottom w:val="0"/>
      <w:divBdr>
        <w:top w:val="none" w:sz="0" w:space="0" w:color="auto"/>
        <w:left w:val="none" w:sz="0" w:space="0" w:color="auto"/>
        <w:bottom w:val="none" w:sz="0" w:space="0" w:color="auto"/>
        <w:right w:val="none" w:sz="0" w:space="0" w:color="auto"/>
      </w:divBdr>
    </w:div>
    <w:div w:id="1099446588">
      <w:bodyDiv w:val="1"/>
      <w:marLeft w:val="0"/>
      <w:marRight w:val="0"/>
      <w:marTop w:val="0"/>
      <w:marBottom w:val="0"/>
      <w:divBdr>
        <w:top w:val="none" w:sz="0" w:space="0" w:color="auto"/>
        <w:left w:val="none" w:sz="0" w:space="0" w:color="auto"/>
        <w:bottom w:val="none" w:sz="0" w:space="0" w:color="auto"/>
        <w:right w:val="none" w:sz="0" w:space="0" w:color="auto"/>
      </w:divBdr>
    </w:div>
    <w:div w:id="1113328727">
      <w:bodyDiv w:val="1"/>
      <w:marLeft w:val="0"/>
      <w:marRight w:val="0"/>
      <w:marTop w:val="0"/>
      <w:marBottom w:val="0"/>
      <w:divBdr>
        <w:top w:val="none" w:sz="0" w:space="0" w:color="auto"/>
        <w:left w:val="none" w:sz="0" w:space="0" w:color="auto"/>
        <w:bottom w:val="none" w:sz="0" w:space="0" w:color="auto"/>
        <w:right w:val="none" w:sz="0" w:space="0" w:color="auto"/>
      </w:divBdr>
    </w:div>
    <w:div w:id="1214731425">
      <w:bodyDiv w:val="1"/>
      <w:marLeft w:val="0"/>
      <w:marRight w:val="0"/>
      <w:marTop w:val="0"/>
      <w:marBottom w:val="0"/>
      <w:divBdr>
        <w:top w:val="none" w:sz="0" w:space="0" w:color="auto"/>
        <w:left w:val="none" w:sz="0" w:space="0" w:color="auto"/>
        <w:bottom w:val="none" w:sz="0" w:space="0" w:color="auto"/>
        <w:right w:val="none" w:sz="0" w:space="0" w:color="auto"/>
      </w:divBdr>
    </w:div>
    <w:div w:id="1292133061">
      <w:bodyDiv w:val="1"/>
      <w:marLeft w:val="0"/>
      <w:marRight w:val="0"/>
      <w:marTop w:val="0"/>
      <w:marBottom w:val="0"/>
      <w:divBdr>
        <w:top w:val="none" w:sz="0" w:space="0" w:color="auto"/>
        <w:left w:val="none" w:sz="0" w:space="0" w:color="auto"/>
        <w:bottom w:val="none" w:sz="0" w:space="0" w:color="auto"/>
        <w:right w:val="none" w:sz="0" w:space="0" w:color="auto"/>
      </w:divBdr>
    </w:div>
    <w:div w:id="1314872899">
      <w:bodyDiv w:val="1"/>
      <w:marLeft w:val="0"/>
      <w:marRight w:val="0"/>
      <w:marTop w:val="0"/>
      <w:marBottom w:val="0"/>
      <w:divBdr>
        <w:top w:val="none" w:sz="0" w:space="0" w:color="auto"/>
        <w:left w:val="none" w:sz="0" w:space="0" w:color="auto"/>
        <w:bottom w:val="none" w:sz="0" w:space="0" w:color="auto"/>
        <w:right w:val="none" w:sz="0" w:space="0" w:color="auto"/>
      </w:divBdr>
    </w:div>
    <w:div w:id="1353646281">
      <w:bodyDiv w:val="1"/>
      <w:marLeft w:val="0"/>
      <w:marRight w:val="0"/>
      <w:marTop w:val="0"/>
      <w:marBottom w:val="0"/>
      <w:divBdr>
        <w:top w:val="none" w:sz="0" w:space="0" w:color="auto"/>
        <w:left w:val="none" w:sz="0" w:space="0" w:color="auto"/>
        <w:bottom w:val="none" w:sz="0" w:space="0" w:color="auto"/>
        <w:right w:val="none" w:sz="0" w:space="0" w:color="auto"/>
      </w:divBdr>
    </w:div>
    <w:div w:id="1385523818">
      <w:bodyDiv w:val="1"/>
      <w:marLeft w:val="0"/>
      <w:marRight w:val="0"/>
      <w:marTop w:val="0"/>
      <w:marBottom w:val="0"/>
      <w:divBdr>
        <w:top w:val="none" w:sz="0" w:space="0" w:color="auto"/>
        <w:left w:val="none" w:sz="0" w:space="0" w:color="auto"/>
        <w:bottom w:val="none" w:sz="0" w:space="0" w:color="auto"/>
        <w:right w:val="none" w:sz="0" w:space="0" w:color="auto"/>
      </w:divBdr>
      <w:divsChild>
        <w:div w:id="9175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8085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6529">
      <w:bodyDiv w:val="1"/>
      <w:marLeft w:val="0"/>
      <w:marRight w:val="0"/>
      <w:marTop w:val="0"/>
      <w:marBottom w:val="0"/>
      <w:divBdr>
        <w:top w:val="none" w:sz="0" w:space="0" w:color="auto"/>
        <w:left w:val="none" w:sz="0" w:space="0" w:color="auto"/>
        <w:bottom w:val="none" w:sz="0" w:space="0" w:color="auto"/>
        <w:right w:val="none" w:sz="0" w:space="0" w:color="auto"/>
      </w:divBdr>
    </w:div>
    <w:div w:id="1525749516">
      <w:bodyDiv w:val="1"/>
      <w:marLeft w:val="0"/>
      <w:marRight w:val="0"/>
      <w:marTop w:val="0"/>
      <w:marBottom w:val="0"/>
      <w:divBdr>
        <w:top w:val="none" w:sz="0" w:space="0" w:color="auto"/>
        <w:left w:val="none" w:sz="0" w:space="0" w:color="auto"/>
        <w:bottom w:val="none" w:sz="0" w:space="0" w:color="auto"/>
        <w:right w:val="none" w:sz="0" w:space="0" w:color="auto"/>
      </w:divBdr>
    </w:div>
    <w:div w:id="1527061969">
      <w:bodyDiv w:val="1"/>
      <w:marLeft w:val="0"/>
      <w:marRight w:val="0"/>
      <w:marTop w:val="0"/>
      <w:marBottom w:val="0"/>
      <w:divBdr>
        <w:top w:val="none" w:sz="0" w:space="0" w:color="auto"/>
        <w:left w:val="none" w:sz="0" w:space="0" w:color="auto"/>
        <w:bottom w:val="none" w:sz="0" w:space="0" w:color="auto"/>
        <w:right w:val="none" w:sz="0" w:space="0" w:color="auto"/>
      </w:divBdr>
    </w:div>
    <w:div w:id="1593275899">
      <w:bodyDiv w:val="1"/>
      <w:marLeft w:val="0"/>
      <w:marRight w:val="0"/>
      <w:marTop w:val="0"/>
      <w:marBottom w:val="0"/>
      <w:divBdr>
        <w:top w:val="none" w:sz="0" w:space="0" w:color="auto"/>
        <w:left w:val="none" w:sz="0" w:space="0" w:color="auto"/>
        <w:bottom w:val="none" w:sz="0" w:space="0" w:color="auto"/>
        <w:right w:val="none" w:sz="0" w:space="0" w:color="auto"/>
      </w:divBdr>
    </w:div>
    <w:div w:id="1661888221">
      <w:bodyDiv w:val="1"/>
      <w:marLeft w:val="0"/>
      <w:marRight w:val="0"/>
      <w:marTop w:val="0"/>
      <w:marBottom w:val="0"/>
      <w:divBdr>
        <w:top w:val="none" w:sz="0" w:space="0" w:color="auto"/>
        <w:left w:val="none" w:sz="0" w:space="0" w:color="auto"/>
        <w:bottom w:val="none" w:sz="0" w:space="0" w:color="auto"/>
        <w:right w:val="none" w:sz="0" w:space="0" w:color="auto"/>
      </w:divBdr>
    </w:div>
    <w:div w:id="1689137221">
      <w:bodyDiv w:val="1"/>
      <w:marLeft w:val="0"/>
      <w:marRight w:val="0"/>
      <w:marTop w:val="0"/>
      <w:marBottom w:val="0"/>
      <w:divBdr>
        <w:top w:val="none" w:sz="0" w:space="0" w:color="auto"/>
        <w:left w:val="none" w:sz="0" w:space="0" w:color="auto"/>
        <w:bottom w:val="none" w:sz="0" w:space="0" w:color="auto"/>
        <w:right w:val="none" w:sz="0" w:space="0" w:color="auto"/>
      </w:divBdr>
    </w:div>
    <w:div w:id="1707174280">
      <w:bodyDiv w:val="1"/>
      <w:marLeft w:val="0"/>
      <w:marRight w:val="0"/>
      <w:marTop w:val="0"/>
      <w:marBottom w:val="0"/>
      <w:divBdr>
        <w:top w:val="none" w:sz="0" w:space="0" w:color="auto"/>
        <w:left w:val="none" w:sz="0" w:space="0" w:color="auto"/>
        <w:bottom w:val="none" w:sz="0" w:space="0" w:color="auto"/>
        <w:right w:val="none" w:sz="0" w:space="0" w:color="auto"/>
      </w:divBdr>
    </w:div>
    <w:div w:id="1724333108">
      <w:bodyDiv w:val="1"/>
      <w:marLeft w:val="0"/>
      <w:marRight w:val="0"/>
      <w:marTop w:val="0"/>
      <w:marBottom w:val="0"/>
      <w:divBdr>
        <w:top w:val="none" w:sz="0" w:space="0" w:color="auto"/>
        <w:left w:val="none" w:sz="0" w:space="0" w:color="auto"/>
        <w:bottom w:val="none" w:sz="0" w:space="0" w:color="auto"/>
        <w:right w:val="none" w:sz="0" w:space="0" w:color="auto"/>
      </w:divBdr>
    </w:div>
    <w:div w:id="1756704873">
      <w:bodyDiv w:val="1"/>
      <w:marLeft w:val="0"/>
      <w:marRight w:val="0"/>
      <w:marTop w:val="0"/>
      <w:marBottom w:val="0"/>
      <w:divBdr>
        <w:top w:val="none" w:sz="0" w:space="0" w:color="auto"/>
        <w:left w:val="none" w:sz="0" w:space="0" w:color="auto"/>
        <w:bottom w:val="none" w:sz="0" w:space="0" w:color="auto"/>
        <w:right w:val="none" w:sz="0" w:space="0" w:color="auto"/>
      </w:divBdr>
    </w:div>
    <w:div w:id="1851989658">
      <w:bodyDiv w:val="1"/>
      <w:marLeft w:val="0"/>
      <w:marRight w:val="0"/>
      <w:marTop w:val="0"/>
      <w:marBottom w:val="0"/>
      <w:divBdr>
        <w:top w:val="none" w:sz="0" w:space="0" w:color="auto"/>
        <w:left w:val="none" w:sz="0" w:space="0" w:color="auto"/>
        <w:bottom w:val="none" w:sz="0" w:space="0" w:color="auto"/>
        <w:right w:val="none" w:sz="0" w:space="0" w:color="auto"/>
      </w:divBdr>
    </w:div>
    <w:div w:id="1858232740">
      <w:bodyDiv w:val="1"/>
      <w:marLeft w:val="0"/>
      <w:marRight w:val="0"/>
      <w:marTop w:val="0"/>
      <w:marBottom w:val="0"/>
      <w:divBdr>
        <w:top w:val="none" w:sz="0" w:space="0" w:color="auto"/>
        <w:left w:val="none" w:sz="0" w:space="0" w:color="auto"/>
        <w:bottom w:val="none" w:sz="0" w:space="0" w:color="auto"/>
        <w:right w:val="none" w:sz="0" w:space="0" w:color="auto"/>
      </w:divBdr>
    </w:div>
    <w:div w:id="1902716636">
      <w:bodyDiv w:val="1"/>
      <w:marLeft w:val="0"/>
      <w:marRight w:val="0"/>
      <w:marTop w:val="0"/>
      <w:marBottom w:val="0"/>
      <w:divBdr>
        <w:top w:val="none" w:sz="0" w:space="0" w:color="auto"/>
        <w:left w:val="none" w:sz="0" w:space="0" w:color="auto"/>
        <w:bottom w:val="none" w:sz="0" w:space="0" w:color="auto"/>
        <w:right w:val="none" w:sz="0" w:space="0" w:color="auto"/>
      </w:divBdr>
    </w:div>
    <w:div w:id="1980063376">
      <w:bodyDiv w:val="1"/>
      <w:marLeft w:val="0"/>
      <w:marRight w:val="0"/>
      <w:marTop w:val="0"/>
      <w:marBottom w:val="0"/>
      <w:divBdr>
        <w:top w:val="none" w:sz="0" w:space="0" w:color="auto"/>
        <w:left w:val="none" w:sz="0" w:space="0" w:color="auto"/>
        <w:bottom w:val="none" w:sz="0" w:space="0" w:color="auto"/>
        <w:right w:val="none" w:sz="0" w:space="0" w:color="auto"/>
      </w:divBdr>
      <w:divsChild>
        <w:div w:id="18892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2948">
      <w:bodyDiv w:val="1"/>
      <w:marLeft w:val="0"/>
      <w:marRight w:val="0"/>
      <w:marTop w:val="0"/>
      <w:marBottom w:val="0"/>
      <w:divBdr>
        <w:top w:val="none" w:sz="0" w:space="0" w:color="auto"/>
        <w:left w:val="none" w:sz="0" w:space="0" w:color="auto"/>
        <w:bottom w:val="none" w:sz="0" w:space="0" w:color="auto"/>
        <w:right w:val="none" w:sz="0" w:space="0" w:color="auto"/>
      </w:divBdr>
    </w:div>
    <w:div w:id="211578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github.com/JDLeongomez/Videos_IDS" TargetMode="External"/><Relationship Id="rId7" Type="http://schemas.openxmlformats.org/officeDocument/2006/relationships/footnotes" Target="footnotes.xml"/><Relationship Id="rId12" Type="http://schemas.openxmlformats.org/officeDocument/2006/relationships/hyperlink" Target="https://github.com/JDLeongomez/Proyecto-IDS/blob/master/Analisis_poder/Simulacion_Poder.pdf" TargetMode="External"/><Relationship Id="rId17" Type="http://schemas.openxmlformats.org/officeDocument/2006/relationships/image" Target="media/image7.png"/><Relationship Id="rId25" Type="http://schemas.openxmlformats.org/officeDocument/2006/relationships/header" Target="header1.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github.com/JDLeongomez/Proyecto-IDS/blob/master/Analisis_poder/Simulacion_Poder.pdf" TargetMode="External"/><Relationship Id="rId20" Type="http://schemas.openxmlformats.org/officeDocument/2006/relationships/hyperlink" Target="https://tehablo.jdl-svr.lat"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image" Target="media/image2.sv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ched.la.psu.edu/"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HcTerLMzKkqarVYG8L9t3Dn0g==">CgMxLjAyCWguMzBqMHpsbDIOaC5mdGg1ZHAzMDV1MHIyDmguaXRtNGozZGhhMGduMghoLmdqZGd4czIJaC4yZXQ5MnAwOAByITEyRFZYMm1SY3lqT1lnT01yN0NIVEFEY0ZIOUxZOWt5UA==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7C5B1E-FA58-4EDC-9077-79CE3032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33</Pages>
  <Words>90680</Words>
  <Characters>516879</Characters>
  <Application>Microsoft Office Word</Application>
  <DocSecurity>0</DocSecurity>
  <Lines>4307</Lines>
  <Paragraphs>1212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Vicerrectoría de Investigaciones</dc:creator>
  <cp:keywords/>
  <cp:lastModifiedBy>Juan David Leongómez</cp:lastModifiedBy>
  <cp:revision>678</cp:revision>
  <cp:lastPrinted>2025-08-31T21:29:00Z</cp:lastPrinted>
  <dcterms:created xsi:type="dcterms:W3CDTF">2025-07-30T16:52:00Z</dcterms:created>
  <dcterms:modified xsi:type="dcterms:W3CDTF">2025-08-31T22:20:00Z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id="FkXSkFSh"/&gt;&lt;style id="http://www.zotero.org/styles/apa-numeric-superscript" locale="es-MX" hasBibliography="1" bibliographyStyleHasBeenSet="1"/&gt;&lt;prefs&gt;&lt;pref name="fieldType" value="Field"/&gt;&lt;/pref</vt:lpwstr>
  </property>
  <property fmtid="{D5CDD505-2E9C-101B-9397-08002B2CF9AE}" pid="3" name="ZOTERO_PREF_2">
    <vt:lpwstr>s&gt;&lt;/data&gt;</vt:lpwstr>
  </property>
</Properties>
</file>