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Design ideas</w:t>
      </w:r>
    </w:p>
    <w:p>
      <w:pPr>
        <w:pStyle w:val="Heading1"/>
        <w:rPr>
          <w:b/>
          <w:bCs/>
          <w:sz w:val="24"/>
          <w:szCs w:val="24"/>
        </w:rPr>
      </w:pPr>
      <w:r>
        <w:rPr/>
        <w:t>Study 1:</w:t>
      </w:r>
    </w:p>
    <w:p>
      <w:pPr>
        <w:pStyle w:val="Heading2"/>
        <w:rPr>
          <w:b/>
          <w:bCs/>
          <w:sz w:val="24"/>
          <w:szCs w:val="24"/>
        </w:rPr>
      </w:pPr>
      <w:r>
        <w:rPr/>
        <w:t>Manipulations (2-way interactions)</w:t>
      </w:r>
    </w:p>
    <w:p>
      <w:pPr>
        <w:pStyle w:val="ListParagraph"/>
        <w:numPr>
          <w:ilvl w:val="0"/>
          <w:numId w:val="3"/>
        </w:numPr>
        <w:spacing w:lineRule="auto" w:line="240" w:beforeAutospacing="0" w:before="240" w:afterAutospacing="0" w:after="0"/>
        <w:contextualSpacing/>
        <w:jc w:val="both"/>
        <w:rPr>
          <w:rFonts w:ascii="Aptos" w:hAnsi="Aptos" w:eastAsia="Aptos" w:cs="Aptos"/>
          <w:b w:val="false"/>
          <w:bCs w:val="false"/>
          <w:i w:val="false"/>
          <w:i w:val="false"/>
          <w:iCs w:val="false"/>
          <w:color w:themeColor="text1" w:val="000000"/>
          <w:sz w:val="24"/>
          <w:szCs w:val="24"/>
          <w:lang w:val="en-GB"/>
        </w:rPr>
      </w:pPr>
      <w:r>
        <w:rPr>
          <w:rFonts w:eastAsia="Aptos" w:cs="Aptos"/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>mean f0 and f0-SD:</w:t>
      </w:r>
    </w:p>
    <w:p>
      <w:pPr>
        <w:pStyle w:val="ListParagraph"/>
        <w:numPr>
          <w:ilvl w:val="1"/>
          <w:numId w:val="3"/>
        </w:numPr>
        <w:spacing w:lineRule="auto" w:line="240" w:beforeAutospacing="0" w:before="0" w:afterAutospacing="0" w:after="0"/>
        <w:contextualSpacing/>
        <w:jc w:val="both"/>
        <w:rPr>
          <w:rFonts w:ascii="Aptos" w:hAnsi="Aptos" w:eastAsia="Aptos" w:cs="Aptos"/>
          <w:b w:val="false"/>
          <w:bCs w:val="false"/>
          <w:i w:val="false"/>
          <w:i w:val="false"/>
          <w:iCs w:val="false"/>
          <w:color w:themeColor="text1" w:val="000000"/>
          <w:sz w:val="22"/>
          <w:szCs w:val="22"/>
          <w:lang w:val="en-GB"/>
        </w:rPr>
      </w:pPr>
      <w:r>
        <w:rPr>
          <w:rFonts w:eastAsia="Aptos" w:cs="Aptos"/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>mean f0 ↑ - f0-SD ↑</w:t>
      </w:r>
    </w:p>
    <w:p>
      <w:pPr>
        <w:pStyle w:val="ListParagraph"/>
        <w:numPr>
          <w:ilvl w:val="1"/>
          <w:numId w:val="3"/>
        </w:numPr>
        <w:spacing w:lineRule="auto" w:line="240" w:beforeAutospacing="0" w:before="0" w:afterAutospacing="0" w:after="0"/>
        <w:contextualSpacing/>
        <w:jc w:val="both"/>
        <w:rPr>
          <w:rFonts w:ascii="Aptos" w:hAnsi="Aptos" w:eastAsia="Aptos" w:cs="Aptos"/>
          <w:b w:val="false"/>
          <w:bCs w:val="false"/>
          <w:i w:val="false"/>
          <w:i w:val="false"/>
          <w:iCs w:val="false"/>
          <w:color w:themeColor="text1" w:val="000000"/>
          <w:sz w:val="24"/>
          <w:szCs w:val="24"/>
          <w:lang w:val="en-GB"/>
        </w:rPr>
      </w:pPr>
      <w:r>
        <w:rPr>
          <w:rFonts w:eastAsia="Aptos" w:cs="Aptos"/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>mean f0 ↑ - f0-SD ↓</w:t>
      </w:r>
    </w:p>
    <w:p>
      <w:pPr>
        <w:pStyle w:val="ListParagraph"/>
        <w:numPr>
          <w:ilvl w:val="1"/>
          <w:numId w:val="3"/>
        </w:numPr>
        <w:spacing w:lineRule="auto" w:line="240" w:beforeAutospacing="0" w:before="0" w:afterAutospacing="0" w:after="0"/>
        <w:contextualSpacing/>
        <w:jc w:val="both"/>
        <w:rPr>
          <w:rFonts w:ascii="Aptos" w:hAnsi="Aptos" w:eastAsia="Aptos" w:cs="Aptos"/>
          <w:b w:val="false"/>
          <w:bCs w:val="false"/>
          <w:i w:val="false"/>
          <w:i w:val="false"/>
          <w:iCs w:val="false"/>
          <w:color w:themeColor="text1" w:val="000000"/>
          <w:sz w:val="22"/>
          <w:szCs w:val="22"/>
          <w:lang w:val="en-GB"/>
        </w:rPr>
      </w:pPr>
      <w:r>
        <w:rPr>
          <w:rFonts w:eastAsia="Aptos" w:cs="Aptos"/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>mean f0 ↓ - f0-SD ↑</w:t>
      </w:r>
    </w:p>
    <w:p>
      <w:pPr>
        <w:pStyle w:val="ListParagraph"/>
        <w:numPr>
          <w:ilvl w:val="1"/>
          <w:numId w:val="3"/>
        </w:numPr>
        <w:spacing w:lineRule="auto" w:line="240" w:beforeAutospacing="0" w:before="0" w:afterAutospacing="0" w:after="0"/>
        <w:contextualSpacing/>
        <w:jc w:val="both"/>
        <w:rPr>
          <w:rFonts w:ascii="Aptos" w:hAnsi="Aptos" w:eastAsia="Aptos" w:cs="Aptos"/>
          <w:b w:val="false"/>
          <w:bCs w:val="false"/>
          <w:i w:val="false"/>
          <w:i w:val="false"/>
          <w:iCs w:val="false"/>
          <w:color w:themeColor="text1" w:val="000000"/>
          <w:sz w:val="24"/>
          <w:szCs w:val="24"/>
          <w:lang w:val="en-GB"/>
        </w:rPr>
      </w:pPr>
      <w:r>
        <w:rPr>
          <w:rFonts w:eastAsia="Aptos" w:cs="Aptos"/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>mean f0 ↓ - f0-SD ↓</w:t>
      </w:r>
    </w:p>
    <w:p>
      <w:pPr>
        <w:pStyle w:val="ListParagraph"/>
        <w:numPr>
          <w:ilvl w:val="0"/>
          <w:numId w:val="3"/>
        </w:numPr>
        <w:spacing w:lineRule="auto" w:line="240" w:beforeAutospacing="0" w:before="0" w:afterAutospacing="0" w:after="0"/>
        <w:contextualSpacing/>
        <w:jc w:val="both"/>
        <w:rPr>
          <w:rFonts w:ascii="Aptos" w:hAnsi="Aptos" w:eastAsia="Aptos" w:cs="Aptos"/>
          <w:b w:val="false"/>
          <w:bCs w:val="false"/>
          <w:i w:val="false"/>
          <w:i w:val="false"/>
          <w:iCs w:val="false"/>
          <w:color w:themeColor="text1" w:val="000000"/>
          <w:sz w:val="24"/>
          <w:szCs w:val="24"/>
          <w:lang w:val="en-GB"/>
        </w:rPr>
      </w:pPr>
      <w:r>
        <w:rPr>
          <w:rFonts w:eastAsia="Aptos" w:cs="Aptos"/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>mean f0 and formants</w:t>
      </w:r>
    </w:p>
    <w:p>
      <w:pPr>
        <w:pStyle w:val="ListParagraph"/>
        <w:numPr>
          <w:ilvl w:val="1"/>
          <w:numId w:val="3"/>
        </w:numPr>
        <w:spacing w:lineRule="auto" w:line="240" w:beforeAutospacing="0" w:before="0" w:afterAutospacing="0" w:after="0"/>
        <w:contextualSpacing/>
        <w:jc w:val="both"/>
        <w:rPr>
          <w:rFonts w:ascii="Aptos" w:hAnsi="Aptos" w:eastAsia="Aptos" w:cs="Aptos"/>
          <w:b w:val="false"/>
          <w:bCs w:val="false"/>
          <w:i w:val="false"/>
          <w:i w:val="false"/>
          <w:iCs w:val="false"/>
          <w:color w:themeColor="text1" w:val="000000"/>
          <w:sz w:val="24"/>
          <w:szCs w:val="24"/>
          <w:lang w:val="en-GB"/>
        </w:rPr>
      </w:pPr>
      <w:r>
        <w:rPr>
          <w:rFonts w:eastAsia="Aptos" w:cs="Aptos"/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>mean f0 ↑ -  Df ↑</w:t>
      </w:r>
    </w:p>
    <w:p>
      <w:pPr>
        <w:pStyle w:val="ListParagraph"/>
        <w:numPr>
          <w:ilvl w:val="1"/>
          <w:numId w:val="3"/>
        </w:numPr>
        <w:spacing w:lineRule="auto" w:line="240" w:beforeAutospacing="0" w:before="0" w:afterAutospacing="0" w:after="0"/>
        <w:contextualSpacing/>
        <w:jc w:val="both"/>
        <w:rPr>
          <w:rFonts w:ascii="Aptos" w:hAnsi="Aptos" w:eastAsia="Aptos" w:cs="Aptos"/>
          <w:b w:val="false"/>
          <w:bCs w:val="false"/>
          <w:i w:val="false"/>
          <w:i w:val="false"/>
          <w:iCs w:val="false"/>
          <w:color w:themeColor="text1" w:val="000000"/>
          <w:sz w:val="24"/>
          <w:szCs w:val="24"/>
          <w:lang w:val="en-GB"/>
        </w:rPr>
      </w:pPr>
      <w:r>
        <w:rPr>
          <w:rFonts w:eastAsia="Aptos" w:cs="Aptos"/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>mean f0 ↑ -  Df ↓</w:t>
      </w:r>
    </w:p>
    <w:p>
      <w:pPr>
        <w:pStyle w:val="ListParagraph"/>
        <w:numPr>
          <w:ilvl w:val="1"/>
          <w:numId w:val="3"/>
        </w:numPr>
        <w:spacing w:lineRule="auto" w:line="240" w:beforeAutospacing="0" w:before="0" w:afterAutospacing="0" w:after="0"/>
        <w:contextualSpacing/>
        <w:jc w:val="both"/>
        <w:rPr>
          <w:rFonts w:ascii="Aptos" w:hAnsi="Aptos" w:eastAsia="Aptos" w:cs="Aptos"/>
          <w:b w:val="false"/>
          <w:bCs w:val="false"/>
          <w:i w:val="false"/>
          <w:i w:val="false"/>
          <w:iCs w:val="false"/>
          <w:color w:themeColor="text1" w:val="000000"/>
          <w:sz w:val="24"/>
          <w:szCs w:val="24"/>
          <w:lang w:val="en-GB"/>
        </w:rPr>
      </w:pPr>
      <w:r>
        <w:rPr>
          <w:rFonts w:eastAsia="Aptos" w:cs="Aptos"/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>mean f0 ↓ -  Df ↑</w:t>
      </w:r>
    </w:p>
    <w:p>
      <w:pPr>
        <w:pStyle w:val="ListParagraph"/>
        <w:numPr>
          <w:ilvl w:val="1"/>
          <w:numId w:val="3"/>
        </w:numPr>
        <w:spacing w:lineRule="auto" w:line="240" w:beforeAutospacing="0" w:before="0" w:afterAutospacing="0" w:after="0"/>
        <w:contextualSpacing/>
        <w:jc w:val="both"/>
        <w:rPr>
          <w:rFonts w:ascii="Aptos" w:hAnsi="Aptos" w:eastAsia="Aptos" w:cs="Aptos"/>
          <w:b w:val="false"/>
          <w:bCs w:val="false"/>
          <w:i w:val="false"/>
          <w:i w:val="false"/>
          <w:iCs w:val="false"/>
          <w:color w:themeColor="text1" w:val="000000"/>
          <w:sz w:val="24"/>
          <w:szCs w:val="24"/>
          <w:lang w:val="en-GB"/>
        </w:rPr>
      </w:pPr>
      <w:r>
        <w:rPr>
          <w:rFonts w:eastAsia="Aptos" w:cs="Aptos"/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 xml:space="preserve">mean f0 ↓ -  </w:t>
      </w:r>
      <w:bookmarkStart w:id="0" w:name="_Int_DqK6eTFa"/>
      <w:r>
        <w:rPr>
          <w:rFonts w:eastAsia="Aptos" w:cs="Aptos"/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>Df</w:t>
      </w:r>
      <w:bookmarkEnd w:id="0"/>
      <w:r>
        <w:rPr>
          <w:rFonts w:eastAsia="Aptos" w:cs="Aptos"/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 xml:space="preserve"> ↓</w:t>
      </w:r>
    </w:p>
    <w:p>
      <w:pPr>
        <w:pStyle w:val="ListParagraph"/>
        <w:numPr>
          <w:ilvl w:val="0"/>
          <w:numId w:val="3"/>
        </w:numPr>
        <w:spacing w:lineRule="auto" w:line="240" w:beforeAutospacing="0" w:before="0" w:afterAutospacing="0" w:after="0"/>
        <w:contextualSpacing/>
        <w:jc w:val="both"/>
        <w:rPr>
          <w:rFonts w:ascii="Aptos" w:hAnsi="Aptos" w:eastAsia="Aptos" w:cs="Aptos"/>
          <w:b w:val="false"/>
          <w:bCs w:val="false"/>
          <w:i w:val="false"/>
          <w:i w:val="false"/>
          <w:iCs w:val="false"/>
          <w:color w:themeColor="text1" w:val="000000"/>
          <w:sz w:val="24"/>
          <w:szCs w:val="24"/>
          <w:lang w:val="en-GB"/>
        </w:rPr>
      </w:pPr>
      <w:r>
        <w:rPr>
          <w:rFonts w:eastAsia="Aptos" w:cs="Aptos"/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>f0-SD and formants</w:t>
      </w:r>
    </w:p>
    <w:p>
      <w:pPr>
        <w:pStyle w:val="ListParagraph"/>
        <w:numPr>
          <w:ilvl w:val="1"/>
          <w:numId w:val="3"/>
        </w:numPr>
        <w:spacing w:lineRule="auto" w:line="240" w:beforeAutospacing="0" w:before="0" w:afterAutospacing="0" w:after="0"/>
        <w:contextualSpacing/>
        <w:jc w:val="both"/>
        <w:rPr>
          <w:rFonts w:ascii="Aptos" w:hAnsi="Aptos" w:eastAsia="Aptos" w:cs="Aptos"/>
          <w:b w:val="false"/>
          <w:bCs w:val="false"/>
          <w:i w:val="false"/>
          <w:i w:val="false"/>
          <w:iCs w:val="false"/>
          <w:color w:themeColor="text1" w:val="000000"/>
          <w:sz w:val="24"/>
          <w:szCs w:val="24"/>
          <w:lang w:val="en-GB"/>
        </w:rPr>
      </w:pPr>
      <w:r>
        <w:rPr>
          <w:rFonts w:eastAsia="Aptos" w:cs="Aptos"/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>f0-SD ↑ - Df ↑</w:t>
      </w:r>
    </w:p>
    <w:p>
      <w:pPr>
        <w:pStyle w:val="ListParagraph"/>
        <w:numPr>
          <w:ilvl w:val="1"/>
          <w:numId w:val="3"/>
        </w:numPr>
        <w:spacing w:lineRule="auto" w:line="240" w:beforeAutospacing="0" w:before="0" w:afterAutospacing="0" w:after="0"/>
        <w:contextualSpacing/>
        <w:jc w:val="both"/>
        <w:rPr>
          <w:rFonts w:ascii="Aptos" w:hAnsi="Aptos" w:eastAsia="Aptos" w:cs="Aptos"/>
          <w:b w:val="false"/>
          <w:bCs w:val="false"/>
          <w:i w:val="false"/>
          <w:i w:val="false"/>
          <w:iCs w:val="false"/>
          <w:color w:themeColor="text1" w:val="000000"/>
          <w:sz w:val="24"/>
          <w:szCs w:val="24"/>
          <w:lang w:val="en-GB"/>
        </w:rPr>
      </w:pPr>
      <w:r>
        <w:rPr>
          <w:rFonts w:eastAsia="Aptos" w:cs="Aptos"/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>f0-SD ↑ - Df ↓</w:t>
      </w:r>
    </w:p>
    <w:p>
      <w:pPr>
        <w:pStyle w:val="ListParagraph"/>
        <w:numPr>
          <w:ilvl w:val="1"/>
          <w:numId w:val="3"/>
        </w:numPr>
        <w:spacing w:lineRule="auto" w:line="240" w:beforeAutospacing="0" w:before="0" w:afterAutospacing="0" w:after="0"/>
        <w:contextualSpacing/>
        <w:jc w:val="both"/>
        <w:rPr>
          <w:rFonts w:ascii="Aptos" w:hAnsi="Aptos" w:eastAsia="Aptos" w:cs="Aptos"/>
          <w:b w:val="false"/>
          <w:bCs w:val="false"/>
          <w:i w:val="false"/>
          <w:i w:val="false"/>
          <w:iCs w:val="false"/>
          <w:color w:themeColor="text1" w:val="000000"/>
          <w:sz w:val="24"/>
          <w:szCs w:val="24"/>
          <w:lang w:val="en-GB"/>
        </w:rPr>
      </w:pPr>
      <w:r>
        <w:rPr>
          <w:rFonts w:eastAsia="Aptos" w:cs="Aptos"/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>f0-SD ↓ - Df ↑</w:t>
      </w:r>
    </w:p>
    <w:p>
      <w:pPr>
        <w:pStyle w:val="ListParagraph"/>
        <w:numPr>
          <w:ilvl w:val="1"/>
          <w:numId w:val="3"/>
        </w:numPr>
        <w:spacing w:lineRule="auto" w:line="240" w:beforeAutospacing="0" w:before="0" w:afterAutospacing="0" w:after="0"/>
        <w:contextualSpacing/>
        <w:jc w:val="both"/>
        <w:rPr>
          <w:rFonts w:ascii="Aptos" w:hAnsi="Aptos" w:eastAsia="Aptos" w:cs="Aptos"/>
          <w:b w:val="false"/>
          <w:bCs w:val="false"/>
          <w:i w:val="false"/>
          <w:i w:val="false"/>
          <w:iCs w:val="false"/>
          <w:color w:themeColor="text1" w:val="000000"/>
          <w:sz w:val="24"/>
          <w:szCs w:val="24"/>
          <w:lang w:val="en-GB"/>
        </w:rPr>
      </w:pPr>
      <w:r>
        <w:rPr>
          <w:rFonts w:eastAsia="Aptos" w:cs="Aptos"/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>f0-SD ↓ - Df ↓</w:t>
      </w:r>
    </w:p>
    <w:p>
      <w:pPr>
        <w:pStyle w:val="ListParagraph"/>
        <w:spacing w:lineRule="auto" w:line="240" w:beforeAutospacing="0" w:before="240" w:afterAutospacing="0" w:after="0"/>
        <w:ind w:left="1440"/>
        <w:contextualSpacing/>
        <w:jc w:val="both"/>
        <w:rPr>
          <w:rFonts w:ascii="Aptos" w:hAnsi="Aptos" w:eastAsia="Aptos" w:cs="Aptos"/>
          <w:b w:val="false"/>
          <w:bCs w:val="false"/>
          <w:i w:val="false"/>
          <w:i w:val="false"/>
          <w:iCs w:val="false"/>
          <w:color w:themeColor="text1" w:val="000000"/>
          <w:sz w:val="22"/>
          <w:szCs w:val="22"/>
          <w:lang w:val="en-GB"/>
        </w:rPr>
      </w:pPr>
      <w:r>
        <w:rPr>
          <w:rFonts w:eastAsia="Aptos" w:cs="Aptos"/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</w:r>
    </w:p>
    <w:p>
      <w:pPr>
        <w:pStyle w:val="Heading2"/>
        <w:rPr>
          <w:rFonts w:ascii="Aptos" w:hAnsi="Aptos" w:eastAsia="Aptos" w:cs="Aptos"/>
          <w:b w:val="false"/>
          <w:bCs w:val="false"/>
          <w:i w:val="false"/>
          <w:i w:val="false"/>
          <w:iCs w:val="false"/>
          <w:color w:themeColor="text1" w:val="000000"/>
          <w:sz w:val="22"/>
          <w:szCs w:val="22"/>
          <w:lang w:val="en-GB"/>
        </w:rPr>
      </w:pPr>
      <w:r>
        <w:rPr>
          <w:lang w:val="en-GB"/>
        </w:rPr>
        <w:t>By how much to manipulate each parameter</w:t>
      </w:r>
    </w:p>
    <w:p>
      <w:pPr>
        <w:pStyle w:val="ListParagraph"/>
        <w:numPr>
          <w:ilvl w:val="0"/>
          <w:numId w:val="2"/>
        </w:numPr>
        <w:spacing w:lineRule="auto" w:line="240" w:beforeAutospacing="0" w:before="240" w:afterAutospacing="0" w:after="0"/>
        <w:contextualSpacing/>
        <w:jc w:val="both"/>
        <w:rPr>
          <w:rFonts w:ascii="Aptos" w:hAnsi="Aptos" w:eastAsia="Aptos" w:cs="Aptos"/>
          <w:b w:val="false"/>
          <w:bCs w:val="false"/>
          <w:i w:val="false"/>
          <w:i w:val="false"/>
          <w:iCs w:val="false"/>
          <w:color w:themeColor="text1" w:val="000000"/>
          <w:sz w:val="22"/>
          <w:szCs w:val="22"/>
          <w:lang w:val="en-GB"/>
        </w:rPr>
      </w:pPr>
      <w:r>
        <w:rPr>
          <w:rFonts w:eastAsia="Aptos" w:cs="Aptos"/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 xml:space="preserve">Within sex standard deviation? </w:t>
      </w:r>
      <w:r>
        <w:rPr>
          <w:rFonts w:eastAsia="Segoe UI Emoji" w:cs="Segoe UI Emoji" w:ascii="Segoe UI Emoji" w:hAnsi="Segoe UI Emoji"/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>❌</w:t>
      </w:r>
    </w:p>
    <w:p>
      <w:pPr>
        <w:pStyle w:val="ListParagraph"/>
        <w:numPr>
          <w:ilvl w:val="0"/>
          <w:numId w:val="2"/>
        </w:numPr>
        <w:spacing w:lineRule="auto" w:line="240" w:beforeAutospacing="0" w:before="0" w:afterAutospacing="0" w:after="0"/>
        <w:contextualSpacing/>
        <w:jc w:val="both"/>
        <w:rPr>
          <w:rFonts w:ascii="Aptos" w:hAnsi="Aptos" w:eastAsia="Aptos" w:cs="Aptos"/>
          <w:b w:val="false"/>
          <w:bCs w:val="false"/>
          <w:i w:val="false"/>
          <w:i w:val="false"/>
          <w:iCs w:val="false"/>
          <w:color w:themeColor="text1" w:val="000000"/>
          <w:sz w:val="22"/>
          <w:szCs w:val="22"/>
          <w:lang w:val="en-GB"/>
        </w:rPr>
      </w:pPr>
      <w:r>
        <w:rPr>
          <w:rFonts w:eastAsia="Aptos" w:cs="Aptos"/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 xml:space="preserve">Is there research on hearing in babies? What can they perceive? </w:t>
      </w:r>
      <w:r>
        <w:rPr>
          <w:rFonts w:eastAsia="Segoe UI Emoji" w:cs="Segoe UI Emoji" w:ascii="Segoe UI Emoji" w:hAnsi="Segoe UI Emoji"/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>❌</w:t>
      </w:r>
    </w:p>
    <w:p>
      <w:pPr>
        <w:pStyle w:val="ListParagraph"/>
        <w:numPr>
          <w:ilvl w:val="0"/>
          <w:numId w:val="2"/>
        </w:numPr>
        <w:spacing w:lineRule="auto" w:line="240" w:beforeAutospacing="0" w:before="0" w:afterAutospacing="0" w:after="0"/>
        <w:contextualSpacing/>
        <w:jc w:val="both"/>
        <w:rPr>
          <w:rFonts w:ascii="Aptos" w:hAnsi="Aptos" w:eastAsia="Aptos" w:cs="Aptos"/>
          <w:b w:val="false"/>
          <w:bCs w:val="false"/>
          <w:i w:val="false"/>
          <w:i w:val="false"/>
          <w:iCs w:val="false"/>
          <w:color w:themeColor="text1" w:val="000000"/>
          <w:sz w:val="22"/>
          <w:szCs w:val="22"/>
          <w:highlight w:val="yellow"/>
          <w:lang w:val="en-GB"/>
        </w:rPr>
      </w:pPr>
      <w:r>
        <w:rPr>
          <w:rFonts w:eastAsia="Aptos" w:cs="Aptos"/>
          <w:b w:val="false"/>
          <w:bCs w:val="false"/>
          <w:i w:val="false"/>
          <w:iCs w:val="false"/>
          <w:color w:themeColor="text1" w:val="000000"/>
          <w:sz w:val="22"/>
          <w:szCs w:val="22"/>
          <w:highlight w:val="yellow"/>
          <w:lang w:val="en-GB"/>
        </w:rPr>
        <w:t xml:space="preserve">Sample of IDS recordings select mean ones (I prefer this one) </w:t>
      </w:r>
      <w:r>
        <w:rPr>
          <w:rFonts w:eastAsia="Segoe UI Emoji" w:cs="Segoe UI Emoji" w:ascii="Segoe UI Emoji" w:hAnsi="Segoe UI Emoji"/>
          <w:b w:val="false"/>
          <w:bCs w:val="false"/>
          <w:i w:val="false"/>
          <w:iCs w:val="false"/>
          <w:color w:themeColor="text1" w:val="000000"/>
          <w:sz w:val="22"/>
          <w:szCs w:val="22"/>
          <w:highlight w:val="yellow"/>
          <w:lang w:val="en-GB"/>
        </w:rPr>
        <w:t>✅❌</w:t>
      </w:r>
    </w:p>
    <w:p>
      <w:pPr>
        <w:pStyle w:val="Heading1"/>
        <w:rPr/>
      </w:pPr>
      <w:r>
        <w:rPr/>
        <w:t>Study 2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Elicit IDS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Analyse voice from videos of the mother (perhaps also father and any main caregiver) </w:t>
      </w:r>
    </w:p>
    <w:p>
      <w:pPr>
        <w:pStyle w:val="Heading2"/>
        <w:rPr/>
      </w:pPr>
      <w:r>
        <w:rPr/>
        <w:t>Measurments</w:t>
      </w:r>
    </w:p>
    <w:p>
      <w:pPr>
        <w:pStyle w:val="Heading3"/>
        <w:rPr/>
      </w:pPr>
      <w:r>
        <w:rPr/>
        <w:t>Musicality</w:t>
      </w:r>
    </w:p>
    <w:p>
      <w:pPr>
        <w:pStyle w:val="ListParagraph"/>
        <w:numPr>
          <w:ilvl w:val="0"/>
          <w:numId w:val="5"/>
        </w:numPr>
        <w:rPr>
          <w:rFonts w:ascii="Segoe UI Emoji" w:hAnsi="Segoe UI Emoji" w:eastAsia="Segoe UI Emoji" w:cs="Segoe UI Emoji"/>
          <w:b w:val="false"/>
          <w:bCs w:val="false"/>
          <w:i w:val="false"/>
          <w:i w:val="false"/>
          <w:iCs w:val="false"/>
          <w:color w:themeColor="text1" w:val="000000"/>
          <w:sz w:val="22"/>
          <w:szCs w:val="22"/>
          <w:highlight w:val="yellow"/>
          <w:lang w:val="es-ES"/>
        </w:rPr>
      </w:pPr>
      <w:hyperlink r:id="rId2">
        <w:r>
          <w:rPr>
            <w:rStyle w:val="Hyperlink"/>
            <w:highlight w:val="yellow"/>
            <w:lang w:val="es-ES"/>
          </w:rPr>
          <w:t>https://peretzlab.ca/online-test-material/material/mbema/</w:t>
        </w:r>
      </w:hyperlink>
      <w:r>
        <w:rPr>
          <w:highlight w:val="yellow"/>
          <w:lang w:val="es-ES"/>
        </w:rPr>
        <w:t xml:space="preserve"> (4 a 6 años)</w:t>
      </w:r>
      <w:r>
        <w:rPr>
          <w:rFonts w:eastAsia="Segoe UI Emoji" w:cs="Segoe UI Emoji" w:ascii="Segoe UI Emoji" w:hAnsi="Segoe UI Emoji"/>
          <w:b w:val="false"/>
          <w:bCs w:val="false"/>
          <w:i w:val="false"/>
          <w:iCs w:val="false"/>
          <w:color w:themeColor="text1" w:val="000000"/>
          <w:sz w:val="22"/>
          <w:szCs w:val="22"/>
          <w:highlight w:val="yellow"/>
          <w:lang w:val="es-ES"/>
        </w:rPr>
        <w:t>✅</w:t>
      </w:r>
    </w:p>
    <w:p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/>
        <w:t xml:space="preserve">Peretz, I., Bolduc, J., &amp; Couvignou, M. (2021). </w:t>
      </w:r>
      <w:r>
        <w:rPr>
          <w:i/>
          <w:iCs/>
        </w:rPr>
        <w:t>Montreal Evaluation of Musical Abilities on tablet for 4 to 6-year-old children</w:t>
      </w:r>
      <w:r>
        <w:rPr/>
        <w:t xml:space="preserve">.  </w:t>
      </w:r>
      <w:hyperlink r:id="rId3">
        <w:r>
          <w:rPr>
            <w:rStyle w:val="Hyperlink"/>
          </w:rPr>
          <w:t>https://doi.org/10.23668/psycharchives.5112</w:t>
        </w:r>
      </w:hyperlink>
      <w:r>
        <w:rPr/>
        <w:t xml:space="preserve">  </w:t>
      </w:r>
    </w:p>
    <w:p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false"/>
          <w:bCs w:val="false"/>
          <w:i w:val="false"/>
          <w:i w:val="false"/>
          <w:iCs w:val="false"/>
          <w:color w:themeColor="text1" w:val="000000"/>
          <w:sz w:val="22"/>
          <w:szCs w:val="22"/>
          <w:lang w:val="en-GB"/>
        </w:rPr>
      </w:pPr>
      <w:hyperlink r:id="rId4">
        <w:r>
          <w:rPr>
            <w:rStyle w:val="Hyperlink"/>
          </w:rPr>
          <w:t>https://giamusic.com/resource/primary-measures-of-music-audiation-kgrade-3-complete-kit-pmma-instrumentaccessory-g2242k</w:t>
        </w:r>
      </w:hyperlink>
      <w:r>
        <w:rPr/>
        <w:t xml:space="preserve"> </w:t>
      </w:r>
      <w:r>
        <w:rPr>
          <w:rFonts w:eastAsia="Segoe UI Emoji" w:cs="Segoe UI Emoji" w:ascii="Segoe UI Emoji" w:hAnsi="Segoe UI Emoji"/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>❌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/>
        <w:t>Toddler Musical Behavior Questionnaire</w:t>
      </w:r>
    </w:p>
    <w:p>
      <w:pPr>
        <w:pStyle w:val="ListParagraph"/>
        <w:numPr>
          <w:ilvl w:val="1"/>
          <w:numId w:val="5"/>
        </w:numPr>
        <w:rPr>
          <w:rFonts w:ascii="Helvetica" w:hAnsi="Helvetica" w:eastAsia="Helvetica" w:cs="Helvetica"/>
          <w:b w:val="false"/>
          <w:bCs w:val="false"/>
          <w:i w:val="false"/>
          <w:i w:val="false"/>
          <w:iCs w:val="false"/>
          <w:caps w:val="false"/>
          <w:smallCaps w:val="false"/>
          <w:color w:val="282828"/>
          <w:sz w:val="24"/>
          <w:szCs w:val="24"/>
          <w:lang w:val="en-GB"/>
        </w:rPr>
      </w:pPr>
      <w:r>
        <w:rPr>
          <w:rFonts w:eastAsia="Helvetica" w:cs="Helvetica" w:ascii="Helvetica" w:hAnsi="Helvetica"/>
          <w:b w:val="false"/>
          <w:bCs w:val="false"/>
          <w:i w:val="false"/>
          <w:iCs w:val="false"/>
          <w:caps w:val="false"/>
          <w:smallCaps w:val="false"/>
          <w:color w:val="282828"/>
          <w:sz w:val="24"/>
          <w:szCs w:val="24"/>
          <w:lang w:val="en-GB"/>
        </w:rPr>
        <w:t xml:space="preserve">Politimou N, Stewart L, Müllensiefen D, Franco F. (2018) Music@Home: A novel instrument to assess the home musical environment in the early years. </w:t>
      </w:r>
      <w:r>
        <w:rPr>
          <w:rFonts w:eastAsia="Helvetica" w:cs="Helvetica" w:ascii="Helvetica" w:hAnsi="Helvetica"/>
          <w:b w:val="false"/>
          <w:bCs w:val="false"/>
          <w:i/>
          <w:iCs/>
          <w:caps w:val="false"/>
          <w:smallCaps w:val="false"/>
          <w:color w:val="282828"/>
          <w:sz w:val="24"/>
          <w:szCs w:val="24"/>
          <w:lang w:val="en-GB"/>
        </w:rPr>
        <w:t>PLoS One. 13</w:t>
      </w:r>
      <w:r>
        <w:rPr>
          <w:rFonts w:eastAsia="Helvetica" w:cs="Helvetica" w:ascii="Helvetica" w:hAnsi="Helvetica"/>
          <w:b w:val="false"/>
          <w:bCs w:val="false"/>
          <w:i w:val="false"/>
          <w:iCs w:val="false"/>
          <w:caps w:val="false"/>
          <w:smallCaps w:val="false"/>
          <w:color w:val="282828"/>
          <w:sz w:val="24"/>
          <w:szCs w:val="24"/>
          <w:lang w:val="en-GB"/>
        </w:rPr>
        <w:t xml:space="preserve">(4), e0193819. </w:t>
      </w:r>
      <w:hyperlink r:id="rId5">
        <w:r>
          <w:rPr>
            <w:rStyle w:val="Hyperlink"/>
            <w:rFonts w:eastAsia="Helvetica" w:cs="Helvetica" w:ascii="Helvetica" w:hAnsi="Helvetica"/>
            <w:b w:val="false"/>
            <w:bCs w:val="false"/>
            <w:i w:val="false"/>
            <w:iCs w:val="false"/>
            <w:caps w:val="false"/>
            <w:smallCaps w:val="false"/>
            <w:sz w:val="24"/>
            <w:szCs w:val="24"/>
            <w:lang w:val="en-GB"/>
          </w:rPr>
          <w:t>https://doi.org/10.1371/journal.pone.0193819</w:t>
        </w:r>
      </w:hyperlink>
      <w:r>
        <w:rPr>
          <w:rFonts w:eastAsia="Helvetica" w:cs="Helvetica" w:ascii="Helvetica" w:hAnsi="Helvetica"/>
          <w:b w:val="false"/>
          <w:bCs w:val="false"/>
          <w:i w:val="false"/>
          <w:iCs w:val="false"/>
          <w:caps w:val="false"/>
          <w:smallCaps w:val="false"/>
          <w:color w:val="282828"/>
          <w:sz w:val="24"/>
          <w:szCs w:val="24"/>
          <w:lang w:val="en-GB"/>
        </w:rPr>
        <w:t xml:space="preserve"> </w:t>
      </w:r>
    </w:p>
    <w:p>
      <w:pPr>
        <w:pStyle w:val="ListParagraph"/>
        <w:numPr>
          <w:ilvl w:val="2"/>
          <w:numId w:val="5"/>
        </w:numPr>
        <w:rPr>
          <w:rFonts w:ascii="Helvetica" w:hAnsi="Helvetica" w:eastAsia="Helvetica" w:cs="Helvetica"/>
          <w:b w:val="false"/>
          <w:bCs w:val="false"/>
          <w:i w:val="false"/>
          <w:i w:val="false"/>
          <w:iCs w:val="false"/>
          <w:caps w:val="false"/>
          <w:smallCaps w:val="false"/>
          <w:color w:val="282828"/>
          <w:sz w:val="24"/>
          <w:szCs w:val="24"/>
          <w:lang w:val="en-GB"/>
        </w:rPr>
      </w:pPr>
      <w:r>
        <w:rPr>
          <w:rFonts w:eastAsia="Helvetica" w:cs="Helvetica" w:ascii="Helvetica" w:hAnsi="Helvetica"/>
          <w:b w:val="false"/>
          <w:bCs w:val="false"/>
          <w:i w:val="false"/>
          <w:iCs w:val="false"/>
          <w:caps w:val="false"/>
          <w:smallCaps w:val="false"/>
          <w:color w:val="282828"/>
          <w:sz w:val="24"/>
          <w:szCs w:val="24"/>
          <w:lang w:val="en-GB"/>
        </w:rPr>
        <w:t>Publicación original: Musical Child Questionnaire (MCQ)</w:t>
      </w:r>
    </w:p>
    <w:p>
      <w:pPr>
        <w:pStyle w:val="ListParagraph"/>
        <w:numPr>
          <w:ilvl w:val="1"/>
          <w:numId w:val="5"/>
        </w:numPr>
        <w:rPr>
          <w:rFonts w:ascii="Helvetica" w:hAnsi="Helvetica" w:eastAsia="Helvetica" w:cs="Helvetica"/>
          <w:b w:val="false"/>
          <w:bCs w:val="false"/>
          <w:i w:val="false"/>
          <w:i w:val="false"/>
          <w:iCs w:val="false"/>
          <w:caps w:val="false"/>
          <w:smallCaps w:val="false"/>
          <w:color w:val="282828"/>
          <w:lang w:val="en-GB"/>
        </w:rPr>
      </w:pPr>
      <w:r>
        <w:rPr>
          <w:rFonts w:eastAsia="Helvetica" w:cs="Helvetica" w:ascii="Helvetica" w:hAnsi="Helvetica"/>
          <w:b w:val="false"/>
          <w:bCs w:val="false"/>
          <w:i w:val="false"/>
          <w:iCs w:val="false"/>
          <w:caps w:val="false"/>
          <w:smallCaps w:val="false"/>
          <w:color w:val="282828"/>
          <w:lang w:val="en-GB"/>
        </w:rPr>
        <w:t xml:space="preserve">Buren V, Müllensiefen D, Roeske TC and Degé F (2021) What Makes Babies Musical? Conceptions of Musicality in Infants and Toddlers. </w:t>
      </w:r>
      <w:r>
        <w:rPr>
          <w:rFonts w:eastAsia="Helvetica" w:cs="Helvetica" w:ascii="Helvetica" w:hAnsi="Helvetica"/>
          <w:b w:val="false"/>
          <w:bCs w:val="false"/>
          <w:i/>
          <w:iCs/>
          <w:caps w:val="false"/>
          <w:smallCaps w:val="false"/>
          <w:color w:val="282828"/>
          <w:lang w:val="en-GB"/>
        </w:rPr>
        <w:t>Front. Psychol.</w:t>
      </w:r>
      <w:r>
        <w:rPr>
          <w:rFonts w:eastAsia="Helvetica" w:cs="Helvetica" w:ascii="Helvetica" w:hAnsi="Helvetica"/>
          <w:b w:val="false"/>
          <w:bCs w:val="false"/>
          <w:i w:val="false"/>
          <w:iCs w:val="false"/>
          <w:caps w:val="false"/>
          <w:smallCaps w:val="false"/>
          <w:color w:val="282828"/>
          <w:lang w:val="en-GB"/>
        </w:rPr>
        <w:t xml:space="preserve"> </w:t>
      </w:r>
      <w:r>
        <w:rPr>
          <w:rFonts w:eastAsia="Helvetica" w:cs="Helvetica" w:ascii="Helvetica" w:hAnsi="Helvetica"/>
          <w:b w:val="false"/>
          <w:bCs w:val="false"/>
          <w:i/>
          <w:iCs/>
          <w:caps w:val="false"/>
          <w:smallCaps w:val="false"/>
          <w:color w:val="282828"/>
          <w:lang w:val="en-GB"/>
        </w:rPr>
        <w:t>12</w:t>
      </w:r>
      <w:r>
        <w:rPr>
          <w:rFonts w:eastAsia="Helvetica" w:cs="Helvetica" w:ascii="Helvetica" w:hAnsi="Helvetica"/>
          <w:b w:val="false"/>
          <w:bCs w:val="false"/>
          <w:i w:val="false"/>
          <w:iCs w:val="false"/>
          <w:caps w:val="false"/>
          <w:smallCaps w:val="false"/>
          <w:color w:val="282828"/>
          <w:lang w:val="en-GB"/>
        </w:rPr>
        <w:t xml:space="preserve">, 736833. </w:t>
      </w:r>
      <w:hyperlink r:id="rId6">
        <w:r>
          <w:rPr>
            <w:rStyle w:val="Hyperlink"/>
            <w:rFonts w:eastAsia="Helvetica" w:cs="Helvetica" w:ascii="Helvetica" w:hAnsi="Helvetica"/>
            <w:b w:val="false"/>
            <w:bCs w:val="false"/>
            <w:i w:val="false"/>
            <w:iCs w:val="false"/>
            <w:caps w:val="false"/>
            <w:smallCaps w:val="false"/>
            <w:lang w:val="en-GB"/>
          </w:rPr>
          <w:t>https://doi.org/10.3389/fpsyg.2021.736833</w:t>
        </w:r>
      </w:hyperlink>
      <w:r>
        <w:rPr>
          <w:rFonts w:eastAsia="Helvetica" w:cs="Helvetica" w:ascii="Helvetica" w:hAnsi="Helvetica"/>
          <w:b w:val="false"/>
          <w:bCs w:val="false"/>
          <w:i w:val="false"/>
          <w:iCs w:val="false"/>
          <w:caps w:val="false"/>
          <w:smallCaps w:val="false"/>
          <w:color w:val="282828"/>
          <w:lang w:val="en-GB"/>
        </w:rPr>
        <w:t xml:space="preserve"> </w:t>
      </w:r>
    </w:p>
    <w:p>
      <w:pPr>
        <w:pStyle w:val="ListParagraph"/>
        <w:numPr>
          <w:ilvl w:val="2"/>
          <w:numId w:val="5"/>
        </w:numPr>
        <w:rPr>
          <w:rFonts w:ascii="Helvetica" w:hAnsi="Helvetica" w:eastAsia="Helvetica" w:cs="Helvetica"/>
          <w:b w:val="false"/>
          <w:bCs w:val="false"/>
          <w:i w:val="false"/>
          <w:i w:val="false"/>
          <w:iCs w:val="false"/>
          <w:caps w:val="false"/>
          <w:smallCaps w:val="false"/>
          <w:color w:val="282828"/>
          <w:sz w:val="24"/>
          <w:szCs w:val="24"/>
          <w:lang w:val="es-ES"/>
        </w:rPr>
      </w:pPr>
      <w:r>
        <w:rPr>
          <w:rFonts w:eastAsia="Helvetica" w:cs="Helvetica" w:ascii="Helvetica" w:hAnsi="Helvetica"/>
          <w:b w:val="false"/>
          <w:bCs w:val="false"/>
          <w:i w:val="false"/>
          <w:iCs w:val="false"/>
          <w:caps w:val="false"/>
          <w:smallCaps w:val="false"/>
          <w:color w:val="282828"/>
          <w:lang w:val="es-ES"/>
        </w:rPr>
        <w:t>Adaptación para niños de menos de 3 años: Musical Child Questionnaire for children under 3 years (MCQ_U3)</w:t>
      </w:r>
    </w:p>
    <w:p>
      <w:pPr>
        <w:pStyle w:val="ListParagraph"/>
        <w:numPr>
          <w:ilvl w:val="2"/>
          <w:numId w:val="5"/>
        </w:numPr>
        <w:rPr>
          <w:rFonts w:ascii="Helvetica" w:hAnsi="Helvetica" w:eastAsia="Helvetica" w:cs="Helvetica"/>
          <w:b w:val="false"/>
          <w:bCs w:val="false"/>
          <w:i w:val="false"/>
          <w:i w:val="false"/>
          <w:iCs w:val="false"/>
          <w:caps w:val="false"/>
          <w:smallCaps w:val="false"/>
          <w:color w:val="282828"/>
          <w:sz w:val="24"/>
          <w:szCs w:val="24"/>
          <w:lang w:val="en-US"/>
        </w:rPr>
      </w:pPr>
      <w:r>
        <w:rPr>
          <w:rFonts w:eastAsia="Helvetica" w:cs="Helvetica" w:ascii="Helvetica" w:hAnsi="Helvetica"/>
          <w:b w:val="false"/>
          <w:bCs w:val="false"/>
          <w:i w:val="false"/>
          <w:iCs w:val="false"/>
          <w:caps w:val="false"/>
          <w:smallCaps w:val="false"/>
          <w:color w:val="282828"/>
          <w:sz w:val="24"/>
          <w:szCs w:val="24"/>
          <w:lang w:val="en-US"/>
        </w:rPr>
        <w:t xml:space="preserve">Schaal NK, Politimou N, Franco F, Stewart L, Müllensiefen D (2020) The German Music@Home: Validation of a questionnaire measuring at home musical exposure and interaction of young children. </w:t>
      </w:r>
      <w:r>
        <w:rPr>
          <w:rFonts w:eastAsia="Helvetica" w:cs="Helvetica" w:ascii="Helvetica" w:hAnsi="Helvetica"/>
          <w:b w:val="false"/>
          <w:bCs w:val="false"/>
          <w:i/>
          <w:iCs/>
          <w:caps w:val="false"/>
          <w:smallCaps w:val="false"/>
          <w:color w:val="282828"/>
          <w:sz w:val="24"/>
          <w:szCs w:val="24"/>
          <w:lang w:val="en-US"/>
        </w:rPr>
        <w:t>PLoS ONE 15</w:t>
      </w:r>
      <w:r>
        <w:rPr>
          <w:rFonts w:eastAsia="Helvetica" w:cs="Helvetica" w:ascii="Helvetica" w:hAnsi="Helvetica"/>
          <w:b w:val="false"/>
          <w:bCs w:val="false"/>
          <w:i w:val="false"/>
          <w:iCs w:val="false"/>
          <w:caps w:val="false"/>
          <w:smallCaps w:val="false"/>
          <w:color w:val="282828"/>
          <w:sz w:val="24"/>
          <w:szCs w:val="24"/>
          <w:lang w:val="en-US"/>
        </w:rPr>
        <w:t xml:space="preserve">(8), e0235923. </w:t>
      </w:r>
      <w:hyperlink r:id="rId7">
        <w:r>
          <w:rPr>
            <w:rStyle w:val="Hyperlink"/>
            <w:rFonts w:eastAsia="Helvetica" w:cs="Helvetica" w:ascii="Helvetica" w:hAnsi="Helvetica"/>
            <w:b w:val="false"/>
            <w:bCs w:val="false"/>
            <w:i w:val="false"/>
            <w:iCs w:val="false"/>
            <w:caps w:val="false"/>
            <w:smallCaps w:val="false"/>
            <w:sz w:val="24"/>
            <w:szCs w:val="24"/>
            <w:lang w:val="en-US"/>
          </w:rPr>
          <w:t>https://doi.org/10.1371/journal.pone.0235923</w:t>
        </w:r>
      </w:hyperlink>
      <w:r>
        <w:rPr>
          <w:rFonts w:eastAsia="Helvetica" w:cs="Helvetica" w:ascii="Helvetica" w:hAnsi="Helvetica"/>
          <w:b w:val="false"/>
          <w:bCs w:val="false"/>
          <w:i w:val="false"/>
          <w:iCs w:val="false"/>
          <w:caps w:val="false"/>
          <w:smallCaps w:val="false"/>
          <w:color w:val="282828"/>
          <w:sz w:val="24"/>
          <w:szCs w:val="24"/>
          <w:lang w:val="en-US"/>
        </w:rPr>
        <w:t xml:space="preserve"> </w:t>
      </w:r>
    </w:p>
    <w:p>
      <w:pPr>
        <w:pStyle w:val="ListParagraph"/>
        <w:numPr>
          <w:ilvl w:val="0"/>
          <w:numId w:val="5"/>
        </w:numPr>
        <w:rPr>
          <w:rFonts w:ascii="Aptos" w:hAnsi="Aptos" w:eastAsia="Aptos" w:cs="Aptos"/>
          <w:b w:val="false"/>
          <w:bCs w:val="false"/>
          <w:i w:val="false"/>
          <w:i w:val="false"/>
          <w:iCs w:val="false"/>
          <w:color w:themeColor="text1" w:val="000000"/>
          <w:sz w:val="22"/>
          <w:szCs w:val="22"/>
          <w:lang w:val="en-GB"/>
        </w:rPr>
      </w:pPr>
      <w:r>
        <w:rPr>
          <w:rFonts w:eastAsia="Segoe UI Emoji" w:cs="Segoe UI Emoji" w:ascii="Segoe UI Emoji" w:hAnsi="Segoe UI Emoji"/>
          <w:b w:val="false"/>
          <w:bCs w:val="false"/>
          <w:i w:val="false"/>
          <w:iCs w:val="false"/>
          <w:color w:themeColor="text1" w:val="000000"/>
          <w:sz w:val="22"/>
          <w:szCs w:val="22"/>
          <w:lang w:val="en-GB"/>
        </w:rPr>
        <w:t>Considerar:</w:t>
      </w:r>
    </w:p>
    <w:p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/>
        <w:t>Controlar habilidades musicales de papás</w:t>
      </w:r>
    </w:p>
    <w:p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/>
        <w:t>No escolarizados</w:t>
      </w:r>
    </w:p>
    <w:p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/>
        <w:t>Sin hermanos (o controlar eso)</w:t>
      </w:r>
    </w:p>
    <w:p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/>
        <w:t xml:space="preserve">Controlar quién es el cuidador principal (y quién era cuando era bebé) </w:t>
      </w:r>
    </w:p>
    <w:p>
      <w:pPr>
        <w:pStyle w:val="Normal"/>
        <w:rPr>
          <w:b/>
          <w:bCs/>
        </w:rPr>
      </w:pPr>
      <w:r>
        <w:rPr>
          <w:b/>
          <w:bCs/>
        </w:rPr>
        <w:t>Habilidades lingüísticas: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XXX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Heading2"/>
        <w:rPr/>
      </w:pPr>
      <w:r>
        <w:rPr>
          <w:b/>
          <w:bCs/>
        </w:rPr>
        <w:t xml:space="preserve">Datos simulación </w:t>
      </w:r>
      <w:r>
        <w:rPr>
          <w:b/>
          <w:bCs/>
          <w:i/>
          <w:iCs/>
        </w:rPr>
        <w:t>eye-tracking</w:t>
      </w:r>
      <w:r>
        <w:rPr>
          <w:b/>
          <w:bCs/>
        </w:rPr>
        <w:t>:</w:t>
      </w:r>
    </w:p>
    <w:p>
      <w:pPr>
        <w:pStyle w:val="Normal"/>
        <w:numPr>
          <w:ilvl w:val="0"/>
          <w:numId w:val="6"/>
        </w:numPr>
        <w:rPr/>
      </w:pPr>
      <w:r>
        <w:rPr/>
        <w:t>5s ← 50 +- 15% de atención en el estímulo  (</w:t>
      </w:r>
      <w:r>
        <w:rPr/>
        <w:t xml:space="preserve">Tenenbaum, E. J., Sobel, D. M., Sheinkopf, S. J., Malle, B. F., &amp; Morgan, J. L. (2015). Attention to the mouth and gaze following in infancy predict language development. </w:t>
      </w:r>
      <w:r>
        <w:rPr>
          <w:i/>
        </w:rPr>
        <w:t>Journal of Child Language</w:t>
      </w:r>
      <w:r>
        <w:rPr/>
        <w:t xml:space="preserve">, </w:t>
      </w:r>
      <w:r>
        <w:rPr>
          <w:i/>
        </w:rPr>
        <w:t>42</w:t>
      </w:r>
      <w:r>
        <w:rPr/>
        <w:t xml:space="preserve">(6), 1173–1190. </w:t>
      </w:r>
      <w:hyperlink r:id="rId8">
        <w:r>
          <w:rPr>
            <w:rStyle w:val="Hyperlink"/>
          </w:rPr>
          <w:t>https://doi.org/10.1017/S0305000914000725</w:t>
        </w:r>
      </w:hyperlink>
      <w:r>
        <w:rPr/>
        <w:t>)</w:t>
      </w:r>
    </w:p>
    <w:p>
      <w:pPr>
        <w:pStyle w:val="Normal"/>
        <w:numPr>
          <w:ilvl w:val="0"/>
          <w:numId w:val="6"/>
        </w:numPr>
        <w:rPr/>
      </w:pPr>
      <w:r>
        <w:rPr/>
        <w:t>De ese porcentaje, 40 +- 20% en la boca</w:t>
      </w:r>
    </w:p>
    <w:p>
      <w:pPr>
        <w:pStyle w:val="Normal"/>
        <w:numPr>
          <w:ilvl w:val="0"/>
          <w:numId w:val="6"/>
        </w:numPr>
        <w:rPr/>
      </w:pPr>
      <w:r>
        <w:rPr/>
        <w:t>Cuando hay mayor atención, sube 10+- 20%</w:t>
        <w:tab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egoe UI Emoji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GB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GB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74af9062"/>
    <w:rPr>
      <w:color w:val="467886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ListParagraph">
    <w:name w:val="List Paragraph"/>
    <w:basedOn w:val="Normal"/>
    <w:uiPriority w:val="34"/>
    <w:qFormat/>
    <w:rsid w:val="74af9062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eretzlab.ca/online-test-material/material/mbema/" TargetMode="External"/><Relationship Id="rId3" Type="http://schemas.openxmlformats.org/officeDocument/2006/relationships/hyperlink" Target="https://doi.org/10.23668/psycharchives.5112" TargetMode="External"/><Relationship Id="rId4" Type="http://schemas.openxmlformats.org/officeDocument/2006/relationships/hyperlink" Target="https://giamusic.com/resource/primary-measures-of-music-audiation-kgrade-3-complete-kit-pmma-instrumentaccessory-g2242k" TargetMode="External"/><Relationship Id="rId5" Type="http://schemas.openxmlformats.org/officeDocument/2006/relationships/hyperlink" Target="https://doi.org/10.1371/journal.pone.0193819" TargetMode="External"/><Relationship Id="rId6" Type="http://schemas.openxmlformats.org/officeDocument/2006/relationships/hyperlink" Target="https://doi.org/10.3389/fpsyg.2021.736833" TargetMode="External"/><Relationship Id="rId7" Type="http://schemas.openxmlformats.org/officeDocument/2006/relationships/hyperlink" Target="https://doi.org/10.1371/journal.pone.0235923" TargetMode="External"/><Relationship Id="rId8" Type="http://schemas.openxmlformats.org/officeDocument/2006/relationships/hyperlink" Target="https://doi.org/10.1017/S0305000914000725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Application>LibreOffice/24.2.7.2$Linux_X86_64 LibreOffice_project/420$Build-2</Application>
  <AppVersion>15.0000</AppVersion>
  <Pages>3</Pages>
  <Words>416</Words>
  <Characters>2182</Characters>
  <CharactersWithSpaces>2526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2025-06-16T21:50:48Z</dcterms:created>
  <dc:creator>Juan David Leongómez</dc:creator>
  <dc:description/>
  <dc:language>en-GB</dc:language>
  <cp:lastModifiedBy/>
  <dcterms:modified xsi:type="dcterms:W3CDTF">2025-06-26T14:31:36Z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