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565C" w14:textId="3E4C1605" w:rsidR="000A5131" w:rsidRPr="00533450" w:rsidRDefault="00533450" w:rsidP="0053345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33450">
        <w:rPr>
          <w:rFonts w:ascii="Calibri" w:hAnsi="Calibri" w:cs="Calibri"/>
          <w:b/>
          <w:bCs/>
        </w:rPr>
        <w:t>Product mix — revenue share and margin contribution by product</w:t>
      </w:r>
    </w:p>
    <w:p w14:paraId="03184DBD" w14:textId="61355EAA" w:rsidR="00533450" w:rsidRDefault="00533450" w:rsidP="00533450">
      <w:pPr>
        <w:rPr>
          <w:rFonts w:ascii="Calibri" w:hAnsi="Calibri" w:cs="Calibri"/>
        </w:rPr>
      </w:pPr>
      <w:r w:rsidRPr="00533450">
        <w:rPr>
          <w:rFonts w:ascii="Calibri" w:hAnsi="Calibri" w:cs="Calibri"/>
        </w:rPr>
        <w:drawing>
          <wp:inline distT="0" distB="0" distL="0" distR="0" wp14:anchorId="577D99F7" wp14:editId="2D60CB3C">
            <wp:extent cx="5731510" cy="1919605"/>
            <wp:effectExtent l="0" t="0" r="2540" b="4445"/>
            <wp:docPr id="21380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30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CBD" w14:textId="77777777" w:rsidR="00533450" w:rsidRDefault="00533450" w:rsidP="00533450">
      <w:pPr>
        <w:rPr>
          <w:rFonts w:ascii="Calibri" w:hAnsi="Calibri" w:cs="Calibri"/>
        </w:rPr>
      </w:pPr>
    </w:p>
    <w:p w14:paraId="671245B2" w14:textId="76966884" w:rsidR="005E41DF" w:rsidRPr="005E41DF" w:rsidRDefault="005E41DF" w:rsidP="005E41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E41DF">
        <w:rPr>
          <w:rFonts w:ascii="Calibri" w:hAnsi="Calibri" w:cs="Calibri"/>
          <w:b/>
          <w:bCs/>
        </w:rPr>
        <w:t>Full FY2026 variance bridge (Actual vs Flexible vs Static Budget)</w:t>
      </w:r>
    </w:p>
    <w:p w14:paraId="0ED68AF5" w14:textId="3B68A5EC" w:rsidR="005E41DF" w:rsidRDefault="005E41DF" w:rsidP="005E41DF">
      <w:pPr>
        <w:rPr>
          <w:rFonts w:ascii="Calibri" w:hAnsi="Calibri" w:cs="Calibri"/>
        </w:rPr>
      </w:pPr>
      <w:r w:rsidRPr="005E41DF">
        <w:rPr>
          <w:rFonts w:ascii="Calibri" w:hAnsi="Calibri" w:cs="Calibri"/>
        </w:rPr>
        <w:drawing>
          <wp:inline distT="0" distB="0" distL="0" distR="0" wp14:anchorId="38B232C4" wp14:editId="0D550460">
            <wp:extent cx="5731510" cy="1793240"/>
            <wp:effectExtent l="0" t="0" r="2540" b="0"/>
            <wp:docPr id="19563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2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BC02" w14:textId="77777777" w:rsidR="005E41DF" w:rsidRDefault="005E41DF" w:rsidP="005E41DF">
      <w:pPr>
        <w:rPr>
          <w:rFonts w:ascii="Calibri" w:hAnsi="Calibri" w:cs="Calibri"/>
        </w:rPr>
      </w:pPr>
    </w:p>
    <w:p w14:paraId="2434DE3B" w14:textId="5CEA783D" w:rsidR="00F04B27" w:rsidRPr="00F04B27" w:rsidRDefault="00F04B27" w:rsidP="00F04B2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04B27">
        <w:rPr>
          <w:rFonts w:ascii="Calibri" w:hAnsi="Calibri" w:cs="Calibri"/>
          <w:b/>
          <w:bCs/>
        </w:rPr>
        <w:t xml:space="preserve">Biggest unfavourable cost </w:t>
      </w:r>
      <w:proofErr w:type="gramStart"/>
      <w:r w:rsidRPr="00F04B27">
        <w:rPr>
          <w:rFonts w:ascii="Calibri" w:hAnsi="Calibri" w:cs="Calibri"/>
          <w:b/>
          <w:bCs/>
        </w:rPr>
        <w:t>drivers</w:t>
      </w:r>
      <w:proofErr w:type="gramEnd"/>
      <w:r w:rsidRPr="00F04B27">
        <w:rPr>
          <w:rFonts w:ascii="Calibri" w:hAnsi="Calibri" w:cs="Calibri"/>
          <w:b/>
          <w:bCs/>
        </w:rPr>
        <w:t xml:space="preserve"> vs flexible budget</w:t>
      </w:r>
    </w:p>
    <w:p w14:paraId="0C97FC97" w14:textId="720CBFF8" w:rsidR="00F04B27" w:rsidRDefault="008E555D" w:rsidP="00F04B27">
      <w:pPr>
        <w:rPr>
          <w:rFonts w:ascii="Calibri" w:hAnsi="Calibri" w:cs="Calibri"/>
        </w:rPr>
      </w:pPr>
      <w:r w:rsidRPr="008E555D">
        <w:rPr>
          <w:rFonts w:ascii="Calibri" w:hAnsi="Calibri" w:cs="Calibri"/>
        </w:rPr>
        <w:drawing>
          <wp:inline distT="0" distB="0" distL="0" distR="0" wp14:anchorId="6E2D8A26" wp14:editId="5019C1F1">
            <wp:extent cx="5731510" cy="2784475"/>
            <wp:effectExtent l="0" t="0" r="2540" b="0"/>
            <wp:docPr id="72965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6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46D3" w14:textId="77777777" w:rsidR="008E555D" w:rsidRDefault="008E555D" w:rsidP="00F04B27">
      <w:pPr>
        <w:rPr>
          <w:rFonts w:ascii="Calibri" w:hAnsi="Calibri" w:cs="Calibri"/>
        </w:rPr>
      </w:pPr>
    </w:p>
    <w:p w14:paraId="0F909AD3" w14:textId="77777777" w:rsidR="004466FB" w:rsidRDefault="004466FB" w:rsidP="00F04B27">
      <w:pPr>
        <w:rPr>
          <w:rFonts w:ascii="Calibri" w:hAnsi="Calibri" w:cs="Calibri"/>
        </w:rPr>
      </w:pPr>
    </w:p>
    <w:p w14:paraId="58D8ABB6" w14:textId="2EF54866" w:rsidR="004076C2" w:rsidRPr="004076C2" w:rsidRDefault="004076C2" w:rsidP="004076C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76C2">
        <w:rPr>
          <w:rFonts w:ascii="Calibri" w:hAnsi="Calibri" w:cs="Calibri"/>
          <w:b/>
          <w:bCs/>
        </w:rPr>
        <w:lastRenderedPageBreak/>
        <w:t>Production volume growth vs COGS growth (checks if costs are outgrowing units)</w:t>
      </w:r>
    </w:p>
    <w:p w14:paraId="4C28BC45" w14:textId="7F28A4C7" w:rsidR="004076C2" w:rsidRDefault="004076C2" w:rsidP="004076C2">
      <w:pPr>
        <w:rPr>
          <w:rFonts w:ascii="Calibri" w:hAnsi="Calibri" w:cs="Calibri"/>
        </w:rPr>
      </w:pPr>
      <w:r w:rsidRPr="004076C2">
        <w:rPr>
          <w:rFonts w:ascii="Calibri" w:hAnsi="Calibri" w:cs="Calibri"/>
        </w:rPr>
        <w:drawing>
          <wp:inline distT="0" distB="0" distL="0" distR="0" wp14:anchorId="55466E5D" wp14:editId="1E146DA1">
            <wp:extent cx="5731510" cy="2604135"/>
            <wp:effectExtent l="0" t="0" r="2540" b="5715"/>
            <wp:docPr id="216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03F3" w14:textId="77777777" w:rsidR="004076C2" w:rsidRDefault="004076C2" w:rsidP="004076C2">
      <w:pPr>
        <w:rPr>
          <w:rFonts w:ascii="Calibri" w:hAnsi="Calibri" w:cs="Calibri"/>
        </w:rPr>
      </w:pPr>
    </w:p>
    <w:p w14:paraId="5BA1E5DB" w14:textId="77777777" w:rsidR="003F3E58" w:rsidRPr="003F3E58" w:rsidRDefault="003F3E58" w:rsidP="003F3E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F3E58">
        <w:rPr>
          <w:rFonts w:ascii="Consolas" w:hAnsi="Consolas" w:cs="Consolas"/>
          <w:b/>
          <w:bCs/>
          <w:color w:val="000000"/>
          <w:kern w:val="0"/>
        </w:rPr>
        <w:t>Materials vs labour vs overhead cost mix per product</w:t>
      </w:r>
    </w:p>
    <w:p w14:paraId="299BE997" w14:textId="0479E04C" w:rsidR="004076C2" w:rsidRDefault="004076C2" w:rsidP="003F3E58">
      <w:pPr>
        <w:rPr>
          <w:rFonts w:ascii="Calibri" w:hAnsi="Calibri" w:cs="Calibri"/>
        </w:rPr>
      </w:pPr>
    </w:p>
    <w:p w14:paraId="238ABF70" w14:textId="544B2803" w:rsidR="003F3E58" w:rsidRPr="003F3E58" w:rsidRDefault="003F3E58" w:rsidP="003F3E58">
      <w:pPr>
        <w:rPr>
          <w:rFonts w:ascii="Calibri" w:hAnsi="Calibri" w:cs="Calibri"/>
        </w:rPr>
      </w:pPr>
      <w:r w:rsidRPr="003F3E58">
        <w:rPr>
          <w:rFonts w:ascii="Calibri" w:hAnsi="Calibri" w:cs="Calibri"/>
        </w:rPr>
        <w:drawing>
          <wp:inline distT="0" distB="0" distL="0" distR="0" wp14:anchorId="624ACEEF" wp14:editId="47175EB7">
            <wp:extent cx="5731510" cy="1842770"/>
            <wp:effectExtent l="0" t="0" r="2540" b="5080"/>
            <wp:docPr id="40510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D8A" w14:textId="77777777" w:rsidR="00F04B27" w:rsidRDefault="00F04B27" w:rsidP="00F04B27">
      <w:pPr>
        <w:rPr>
          <w:rFonts w:ascii="Calibri" w:hAnsi="Calibri" w:cs="Calibri"/>
        </w:rPr>
      </w:pPr>
    </w:p>
    <w:p w14:paraId="51F008B9" w14:textId="77777777" w:rsidR="00F04B27" w:rsidRPr="00F04B27" w:rsidRDefault="00F04B27" w:rsidP="00F04B27">
      <w:pPr>
        <w:rPr>
          <w:rFonts w:ascii="Calibri" w:hAnsi="Calibri" w:cs="Calibri"/>
        </w:rPr>
      </w:pPr>
    </w:p>
    <w:sectPr w:rsidR="00F04B27" w:rsidRPr="00F04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4C11"/>
    <w:multiLevelType w:val="hybridMultilevel"/>
    <w:tmpl w:val="41C0E6BC"/>
    <w:lvl w:ilvl="0" w:tplc="562412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C9"/>
    <w:rsid w:val="000A5131"/>
    <w:rsid w:val="000B734E"/>
    <w:rsid w:val="003F3E58"/>
    <w:rsid w:val="004076C2"/>
    <w:rsid w:val="004466FB"/>
    <w:rsid w:val="00533450"/>
    <w:rsid w:val="005E41DF"/>
    <w:rsid w:val="006F2999"/>
    <w:rsid w:val="00803158"/>
    <w:rsid w:val="008E555D"/>
    <w:rsid w:val="00AF3DC9"/>
    <w:rsid w:val="00B141C9"/>
    <w:rsid w:val="00D878A8"/>
    <w:rsid w:val="00F0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E150"/>
  <w15:chartTrackingRefBased/>
  <w15:docId w15:val="{184B9EFC-AB66-4ECB-AAF1-8D7574C0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Mukherjee</dc:creator>
  <cp:keywords/>
  <dc:description/>
  <cp:lastModifiedBy>Joy Mukherjee</cp:lastModifiedBy>
  <cp:revision>11</cp:revision>
  <dcterms:created xsi:type="dcterms:W3CDTF">2026-09-27T18:24:00Z</dcterms:created>
  <dcterms:modified xsi:type="dcterms:W3CDTF">2026-09-27T19:30:00Z</dcterms:modified>
</cp:coreProperties>
</file>