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Guia 2</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Patrones y metodologías</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Martin Borda</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Monroy Garzon</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David Serrano</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Contenido</w:t>
      </w:r>
    </w:p>
    <w:p w:rsidR="00000000" w:rsidDel="00000000" w:rsidP="00000000" w:rsidRDefault="00000000" w:rsidRPr="00000000" w14:paraId="0000001B">
      <w:pPr>
        <w:spacing w:after="240" w:before="240" w:line="48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Preguntas Orientadoras</w:t>
      </w:r>
    </w:p>
    <w:p w:rsidR="00000000" w:rsidDel="00000000" w:rsidP="00000000" w:rsidRDefault="00000000" w:rsidRPr="00000000" w14:paraId="0000001C">
      <w:pPr>
        <w:spacing w:after="240" w:before="240" w:line="48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Notion</w:t>
      </w:r>
    </w:p>
    <w:p w:rsidR="00000000" w:rsidDel="00000000" w:rsidP="00000000" w:rsidRDefault="00000000" w:rsidRPr="00000000" w14:paraId="0000001D">
      <w:pPr>
        <w:spacing w:after="240" w:before="240" w:line="48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Diagramas relacionados</w:t>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24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Preguntas Orientadoras</w:t>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 1) Cuál de los siguientes no corresponde a un tipo de descripción realizada por MCU en el proyecto desarrollado por usted en la guía:</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br w:type="textWrapping"/>
        <w:t xml:space="preserve"> a) Descripción de cómo se utiliza el sistema.</w:t>
        <w:br w:type="textWrapping"/>
        <w:t xml:space="preserve"> b) Descripción externa del uso del sistema.</w:t>
        <w:br w:type="textWrapping"/>
        <w:t xml:space="preserve"> c) Descripción Detallada del uso del sistema.</w:t>
        <w:br w:type="textWrapping"/>
        <w:t xml:space="preserve"> </w:t>
      </w:r>
      <w:r w:rsidDel="00000000" w:rsidR="00000000" w:rsidRPr="00000000">
        <w:rPr>
          <w:rFonts w:ascii="Times New Roman" w:cs="Times New Roman" w:eastAsia="Times New Roman" w:hAnsi="Times New Roman"/>
          <w:sz w:val="24"/>
          <w:szCs w:val="24"/>
          <w:highlight w:val="yellow"/>
          <w:rtl w:val="0"/>
        </w:rPr>
        <w:t xml:space="preserve">d) Descripción observable del uso del sistema.</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Fonts w:ascii="Times New Roman" w:cs="Times New Roman" w:eastAsia="Times New Roman" w:hAnsi="Times New Roman"/>
          <w:sz w:val="24"/>
          <w:szCs w:val="24"/>
          <w:rtl w:val="0"/>
        </w:rPr>
        <w:t xml:space="preserve"> 2) Hay nueve modelos que en conjunto cubren todas las decisiones importantes implicadas en la visualización, especificación, construcción y documentación de un sistema con gran cantidad de software. De los diferentes modelos que desarrolló en su proyecto de la guía, cuál de los siguientes No es un modelo de RUP:</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br w:type="textWrapping"/>
        <w:t xml:space="preserve"> a) Modelo del negocio.</w:t>
        <w:br w:type="textWrapping"/>
        <w:t xml:space="preserve"> b) Modelo de casos de uso.</w:t>
        <w:br w:type="textWrapping"/>
        <w:t xml:space="preserve"> c) Modelo de despliegue.</w:t>
        <w:br w:type="textWrapping"/>
        <w:t xml:space="preserve"> </w:t>
      </w:r>
      <w:r w:rsidDel="00000000" w:rsidR="00000000" w:rsidRPr="00000000">
        <w:rPr>
          <w:rFonts w:ascii="Times New Roman" w:cs="Times New Roman" w:eastAsia="Times New Roman" w:hAnsi="Times New Roman"/>
          <w:sz w:val="24"/>
          <w:szCs w:val="24"/>
          <w:highlight w:val="yellow"/>
          <w:rtl w:val="0"/>
        </w:rPr>
        <w:t xml:space="preserve">d) Modelo de estados.</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Notion</w:t>
      </w:r>
    </w:p>
    <w:p w:rsidR="00000000" w:rsidDel="00000000" w:rsidP="00000000" w:rsidRDefault="00000000" w:rsidRPr="00000000" w14:paraId="0000003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https://www.notion.so/ECOKIDS-eacb5866012f45b1b7b7280ed0213243?pm=c</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Diagramas  </w:t>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Árbol de requerimientos:</w:t>
        <w:br w:type="textWrapping"/>
        <w:t xml:space="preserve">https://www.mindmeister.com/app/map/2949741257?t=xJRJoi9g10</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clases :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66448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66448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ER: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26416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Procesos:</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6781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5123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9512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dominio:</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3517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estado:</w:t>
        <w:br w:type="textWrapping"/>
      </w:r>
      <w:r w:rsidDel="00000000" w:rsidR="00000000" w:rsidRPr="00000000">
        <w:rPr>
          <w:rFonts w:ascii="Times New Roman" w:cs="Times New Roman" w:eastAsia="Times New Roman" w:hAnsi="Times New Roman"/>
        </w:rPr>
        <w:drawing>
          <wp:inline distB="114300" distT="114300" distL="114300" distR="114300">
            <wp:extent cx="5695950" cy="6257925"/>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695950"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Colaboración:</w:t>
        <w:br w:type="textWrapping"/>
      </w:r>
      <w:r w:rsidDel="00000000" w:rsidR="00000000" w:rsidRPr="00000000">
        <w:rPr>
          <w:rFonts w:ascii="Times New Roman" w:cs="Times New Roman" w:eastAsia="Times New Roman" w:hAnsi="Times New Roman"/>
        </w:rPr>
        <w:drawing>
          <wp:inline distB="114300" distT="114300" distL="114300" distR="114300">
            <wp:extent cx="5715000" cy="3352800"/>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15000" cy="3352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png"/><Relationship Id="rId12" Type="http://schemas.openxmlformats.org/officeDocument/2006/relationships/image" Target="media/image7.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