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both"/>
        <w:rPr>
          <w:rFonts w:ascii="Calibri" w:hAnsi="Calibri" w:cs="Calibri" w:eastAsia="Calibri"/>
          <w:b/>
          <w:color w:val="002060"/>
          <w:spacing w:val="0"/>
          <w:position w:val="0"/>
          <w:sz w:val="22"/>
          <w:u w:val="single"/>
          <w:shd w:fill="FFFF00" w:val="clear"/>
        </w:rPr>
      </w:pPr>
    </w:p>
    <w:p>
      <w:pPr>
        <w:spacing w:before="0" w:after="0" w:line="259"/>
        <w:ind w:right="0" w:left="0" w:firstLine="0"/>
        <w:jc w:val="both"/>
        <w:rPr>
          <w:rFonts w:ascii="Calibri" w:hAnsi="Calibri" w:cs="Calibri" w:eastAsia="Calibri"/>
          <w:b/>
          <w:color w:val="002060"/>
          <w:spacing w:val="0"/>
          <w:position w:val="0"/>
          <w:sz w:val="22"/>
          <w:u w:val="single"/>
          <w:shd w:fill="FFFF00" w:val="clear"/>
        </w:rPr>
      </w:pPr>
    </w:p>
    <w:p>
      <w:pPr>
        <w:spacing w:before="0" w:after="0" w:line="259"/>
        <w:ind w:right="0" w:left="0" w:firstLine="0"/>
        <w:jc w:val="both"/>
        <w:rPr>
          <w:rFonts w:ascii="Calibri" w:hAnsi="Calibri" w:cs="Calibri" w:eastAsia="Calibri"/>
          <w:b/>
          <w:color w:val="002060"/>
          <w:spacing w:val="0"/>
          <w:position w:val="0"/>
          <w:sz w:val="22"/>
          <w:u w:val="single"/>
          <w:shd w:fill="FFFF00"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2060"/>
          <w:spacing w:val="0"/>
          <w:position w:val="0"/>
          <w:sz w:val="22"/>
          <w:u w:val="single"/>
          <w:shd w:fill="FFFF00" w:val="clear"/>
        </w:rPr>
        <w:t xml:space="preserve">“Putting in the hard hours”</w:t>
      </w:r>
      <w:r>
        <w:rPr>
          <w:rFonts w:ascii="Calibri" w:hAnsi="Calibri" w:cs="Calibri" w:eastAsia="Calibri"/>
          <w:color w:val="002060"/>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represents the most challenging of the twelve referenced “keys to success” for me. Along with my present full-time position at Chevron, I am also employed as a part-time math tutor, for students in grades six through twelve.  Given that I am currently employed at Chevron during normal working hours from Monday through Friday, the tutorials can only be held in the evenings and on the weekend days Saturday and Sunday).  In order to allow the necessary preparation time for the boot camp course, I will need to limit the time spent on outside tutorials during the coming school year. In essence, I will need to strike a ‘balance’ between the time I invest in the weekly boot camp work and my personal tutorials.  The most significant aspect of this balance involves my willingness to accept the following tradeoff: a temporary “financial” sacrifice inherent with fewer tutorials this school year, in order to realize greater employment opportunities as a developer, after successful completion time of the boot camp.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