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330D" w14:textId="77777777" w:rsidR="00DD39FA" w:rsidRPr="00C1725F" w:rsidRDefault="00DD39FA" w:rsidP="00DD39FA">
      <w:pPr>
        <w:rPr>
          <w:rFonts w:ascii="Book Antiqua" w:hAnsi="Book Antiqua"/>
          <w:b/>
          <w:bCs/>
        </w:rPr>
      </w:pPr>
      <w:bookmarkStart w:id="0" w:name="_Hlk94541794"/>
      <w:bookmarkStart w:id="1" w:name="_Hlk91672360"/>
      <w:r w:rsidRPr="00C1725F">
        <w:rPr>
          <w:rFonts w:ascii="Book Antiqua" w:hAnsi="Book Antiqua"/>
          <w:b/>
          <w:bCs/>
        </w:rPr>
        <w:t>Processo</w:t>
      </w:r>
      <w:r w:rsidR="0011319F">
        <w:rPr>
          <w:rFonts w:ascii="Book Antiqua" w:hAnsi="Book Antiqua"/>
          <w:b/>
          <w:bCs/>
        </w:rPr>
        <w:t xml:space="preserve"> </w:t>
      </w:r>
      <w:r w:rsidR="009D1B73">
        <w:rPr>
          <w:rFonts w:ascii="Book Antiqua" w:hAnsi="Book Antiqua"/>
          <w:b/>
          <w:bCs/>
        </w:rPr>
        <w:t>55/19.</w:t>
      </w:r>
      <w:r w:rsidR="00D402F7">
        <w:rPr>
          <w:rFonts w:ascii="Book Antiqua" w:hAnsi="Book Antiqua"/>
          <w:b/>
          <w:bCs/>
        </w:rPr>
        <w:t>4SWLSB-</w:t>
      </w:r>
      <w:proofErr w:type="gramStart"/>
      <w:r w:rsidR="00D402F7">
        <w:rPr>
          <w:rFonts w:ascii="Book Antiqua" w:hAnsi="Book Antiqua"/>
          <w:b/>
          <w:bCs/>
        </w:rPr>
        <w:t>B</w:t>
      </w:r>
      <w:r w:rsidR="001B5FE5">
        <w:rPr>
          <w:rFonts w:ascii="Book Antiqua" w:hAnsi="Book Antiqua"/>
          <w:b/>
          <w:bCs/>
        </w:rPr>
        <w:t>.S</w:t>
      </w:r>
      <w:proofErr w:type="gramEnd"/>
      <w:r w:rsidR="001B5FE5">
        <w:rPr>
          <w:rFonts w:ascii="Book Antiqua" w:hAnsi="Book Antiqua"/>
          <w:b/>
          <w:bCs/>
        </w:rPr>
        <w:t>1</w:t>
      </w:r>
    </w:p>
    <w:p w14:paraId="164E7E33" w14:textId="77777777" w:rsidR="003A21E2" w:rsidRPr="00C1725F" w:rsidRDefault="003A21E2" w:rsidP="003A21E2">
      <w:pPr>
        <w:spacing w:line="360" w:lineRule="auto"/>
        <w:jc w:val="both"/>
        <w:rPr>
          <w:rFonts w:ascii="Book Antiqua" w:hAnsi="Book Antiqua" w:cs="Microsoft Sans Serif"/>
        </w:rPr>
      </w:pPr>
    </w:p>
    <w:bookmarkEnd w:id="0"/>
    <w:p w14:paraId="5C4C2366" w14:textId="77777777" w:rsidR="003A21E2" w:rsidRPr="00C1725F" w:rsidRDefault="003A21E2" w:rsidP="003A21E2">
      <w:pPr>
        <w:spacing w:line="360" w:lineRule="auto"/>
        <w:ind w:firstLine="709"/>
        <w:jc w:val="both"/>
        <w:rPr>
          <w:rFonts w:ascii="Book Antiqua" w:hAnsi="Book Antiqua" w:cs="Microsoft Sans Serif"/>
        </w:rPr>
      </w:pPr>
    </w:p>
    <w:p w14:paraId="6FF6D4B9" w14:textId="77777777" w:rsidR="002C38E2" w:rsidRPr="00701C57" w:rsidRDefault="002C38E2" w:rsidP="002C38E2">
      <w:pPr>
        <w:shd w:val="clear" w:color="auto" w:fill="FFFFFF"/>
        <w:rPr>
          <w:rFonts w:ascii="Book Antiqua" w:hAnsi="Book Antiqua" w:cs="Calibri"/>
        </w:rPr>
      </w:pPr>
      <w:r w:rsidRPr="00701C57">
        <w:rPr>
          <w:rFonts w:ascii="Book Antiqua" w:hAnsi="Book Antiqua" w:cs="Calibri"/>
        </w:rPr>
        <w:t xml:space="preserve">Habeas corpus </w:t>
      </w:r>
    </w:p>
    <w:p w14:paraId="6B4BA0C9" w14:textId="77777777" w:rsidR="009044F9" w:rsidRDefault="009044F9" w:rsidP="002C38E2">
      <w:pPr>
        <w:shd w:val="clear" w:color="auto" w:fill="FFFFFF"/>
        <w:rPr>
          <w:rFonts w:ascii="Book Antiqua" w:hAnsi="Book Antiqua" w:cs="Calibri"/>
        </w:rPr>
      </w:pPr>
      <w:r>
        <w:rPr>
          <w:rFonts w:ascii="Book Antiqua" w:hAnsi="Book Antiqua" w:cs="Calibri"/>
        </w:rPr>
        <w:t>Inimputabilidade</w:t>
      </w:r>
    </w:p>
    <w:p w14:paraId="4F64284B" w14:textId="77777777" w:rsidR="002C38E2" w:rsidRDefault="002C38E2" w:rsidP="002C38E2">
      <w:pPr>
        <w:shd w:val="clear" w:color="auto" w:fill="FFFFFF"/>
        <w:rPr>
          <w:rFonts w:ascii="Book Antiqua" w:hAnsi="Book Antiqua" w:cs="Calibri"/>
        </w:rPr>
      </w:pPr>
      <w:r w:rsidRPr="00701C57">
        <w:rPr>
          <w:rFonts w:ascii="Book Antiqua" w:hAnsi="Book Antiqua" w:cs="Calibri"/>
        </w:rPr>
        <w:t xml:space="preserve">Prazo máximo </w:t>
      </w:r>
      <w:r w:rsidR="00A33AB8">
        <w:rPr>
          <w:rFonts w:ascii="Book Antiqua" w:hAnsi="Book Antiqua" w:cs="Calibri"/>
        </w:rPr>
        <w:t>de medida de segurança</w:t>
      </w:r>
    </w:p>
    <w:p w14:paraId="506AA707" w14:textId="77777777" w:rsidR="00E658BD" w:rsidRPr="00701C57" w:rsidRDefault="00E658BD" w:rsidP="002C38E2">
      <w:pPr>
        <w:shd w:val="clear" w:color="auto" w:fill="FFFFFF"/>
        <w:rPr>
          <w:rFonts w:ascii="Book Antiqua" w:hAnsi="Book Antiqua" w:cs="Calibri"/>
        </w:rPr>
      </w:pPr>
      <w:r>
        <w:rPr>
          <w:rFonts w:ascii="Book Antiqua" w:hAnsi="Book Antiqua" w:cs="Calibri"/>
        </w:rPr>
        <w:t>Indeferimento</w:t>
      </w:r>
    </w:p>
    <w:p w14:paraId="269692F5" w14:textId="77777777" w:rsidR="002C38E2" w:rsidRPr="00C1725F" w:rsidRDefault="002C38E2" w:rsidP="002C38E2">
      <w:pPr>
        <w:shd w:val="clear" w:color="auto" w:fill="FFFFFF"/>
        <w:rPr>
          <w:rFonts w:ascii="Book Antiqua" w:hAnsi="Book Antiqua" w:cs="Calibri"/>
          <w:b/>
          <w:bCs/>
        </w:rPr>
      </w:pPr>
    </w:p>
    <w:p w14:paraId="79908B8E" w14:textId="77777777" w:rsidR="001B5FE5" w:rsidRDefault="001B5FE5" w:rsidP="002C38E2">
      <w:pPr>
        <w:spacing w:line="360" w:lineRule="auto"/>
        <w:ind w:firstLine="708"/>
        <w:jc w:val="both"/>
        <w:rPr>
          <w:rFonts w:ascii="Book Antiqua" w:hAnsi="Book Antiqua" w:cs="Microsoft Sans Serif"/>
          <w:sz w:val="28"/>
          <w:szCs w:val="28"/>
        </w:rPr>
      </w:pPr>
    </w:p>
    <w:p w14:paraId="3946BC86" w14:textId="77777777" w:rsidR="002C38E2" w:rsidRPr="003F3549" w:rsidRDefault="002C38E2" w:rsidP="002C38E2">
      <w:pPr>
        <w:spacing w:line="360" w:lineRule="auto"/>
        <w:ind w:firstLine="708"/>
        <w:jc w:val="both"/>
        <w:rPr>
          <w:rFonts w:ascii="Book Antiqua" w:hAnsi="Book Antiqua" w:cs="Microsoft Sans Serif"/>
          <w:sz w:val="28"/>
          <w:szCs w:val="28"/>
        </w:rPr>
      </w:pPr>
      <w:r w:rsidRPr="003F3549">
        <w:rPr>
          <w:rFonts w:ascii="Book Antiqua" w:hAnsi="Book Antiqua" w:cs="Microsoft Sans Serif"/>
          <w:sz w:val="28"/>
          <w:szCs w:val="28"/>
        </w:rPr>
        <w:t>Acordam na 3ª Secção Criminal do Supremo Tribunal de Justiça</w:t>
      </w:r>
    </w:p>
    <w:p w14:paraId="69BB36EC" w14:textId="77777777" w:rsidR="003A21E2" w:rsidRPr="003F3549" w:rsidRDefault="003A21E2" w:rsidP="002C38E2">
      <w:pPr>
        <w:spacing w:line="360" w:lineRule="auto"/>
        <w:jc w:val="both"/>
        <w:rPr>
          <w:rFonts w:ascii="Book Antiqua" w:hAnsi="Book Antiqua" w:cs="Microsoft Sans Serif"/>
          <w:sz w:val="28"/>
          <w:szCs w:val="28"/>
        </w:rPr>
      </w:pPr>
    </w:p>
    <w:p w14:paraId="4E36D832" w14:textId="77777777" w:rsidR="003A21E2" w:rsidRPr="00C1725F" w:rsidRDefault="003A21E2" w:rsidP="008863EB">
      <w:pPr>
        <w:spacing w:line="360" w:lineRule="auto"/>
        <w:jc w:val="both"/>
        <w:rPr>
          <w:rFonts w:ascii="Book Antiqua" w:hAnsi="Book Antiqua" w:cs="Microsoft Sans Serif"/>
          <w:b/>
        </w:rPr>
      </w:pPr>
      <w:r w:rsidRPr="00C1725F">
        <w:rPr>
          <w:rFonts w:ascii="Book Antiqua" w:hAnsi="Book Antiqua" w:cs="Microsoft Sans Serif"/>
          <w:b/>
        </w:rPr>
        <w:t>I.</w:t>
      </w:r>
      <w:r w:rsidRPr="00C1725F">
        <w:rPr>
          <w:rFonts w:ascii="Book Antiqua" w:hAnsi="Book Antiqua" w:cs="Microsoft Sans Serif"/>
        </w:rPr>
        <w:t xml:space="preserve"> </w:t>
      </w:r>
      <w:r w:rsidRPr="00C1725F">
        <w:rPr>
          <w:rFonts w:ascii="Book Antiqua" w:hAnsi="Book Antiqua" w:cs="Microsoft Sans Serif"/>
          <w:b/>
        </w:rPr>
        <w:t xml:space="preserve">RELATÓRIO </w:t>
      </w:r>
    </w:p>
    <w:p w14:paraId="2910D58D" w14:textId="77777777" w:rsidR="003A21E2" w:rsidRPr="00A33AB8" w:rsidRDefault="00E61DEF" w:rsidP="005E04BE">
      <w:pPr>
        <w:spacing w:line="360" w:lineRule="auto"/>
        <w:jc w:val="both"/>
        <w:rPr>
          <w:rFonts w:ascii="Book Antiqua" w:hAnsi="Book Antiqua" w:cs="Microsoft Sans Serif"/>
          <w:i/>
        </w:rPr>
      </w:pPr>
      <w:r w:rsidRPr="00A33AB8">
        <w:rPr>
          <w:rFonts w:ascii="Book Antiqua" w:hAnsi="Book Antiqua"/>
        </w:rPr>
        <w:t>1.</w:t>
      </w:r>
      <w:r w:rsidR="00276A46" w:rsidRPr="00A33AB8">
        <w:t xml:space="preserve"> HUGO ALEXANDRE RODRIGUES GONÇALVES</w:t>
      </w:r>
      <w:r w:rsidR="003A21E2" w:rsidRPr="00A33AB8">
        <w:rPr>
          <w:rFonts w:ascii="Book Antiqua" w:hAnsi="Book Antiqua" w:cs="Microsoft Sans Serif"/>
        </w:rPr>
        <w:t xml:space="preserve">, </w:t>
      </w:r>
      <w:r w:rsidR="00276A46" w:rsidRPr="00A33AB8">
        <w:rPr>
          <w:rFonts w:ascii="Book Antiqua" w:hAnsi="Book Antiqua" w:cs="Microsoft Sans Serif"/>
        </w:rPr>
        <w:t xml:space="preserve">atualmente </w:t>
      </w:r>
      <w:r w:rsidR="00C0576C">
        <w:rPr>
          <w:rFonts w:ascii="Book Antiqua" w:hAnsi="Book Antiqua" w:cs="Microsoft Sans Serif"/>
        </w:rPr>
        <w:t xml:space="preserve">recluso </w:t>
      </w:r>
      <w:r w:rsidR="00862FE9" w:rsidRPr="00A33AB8">
        <w:rPr>
          <w:rFonts w:ascii="Book Antiqua" w:hAnsi="Book Antiqua" w:cs="Microsoft Sans Serif"/>
        </w:rPr>
        <w:t xml:space="preserve">no Estabelecimento Prisional de Lisboa </w:t>
      </w:r>
      <w:r w:rsidR="003A21E2" w:rsidRPr="00A33AB8">
        <w:rPr>
          <w:rFonts w:ascii="Book Antiqua" w:hAnsi="Book Antiqua" w:cs="Microsoft Sans Serif"/>
        </w:rPr>
        <w:t xml:space="preserve">à ordem do processo </w:t>
      </w:r>
      <w:r w:rsidR="00101663" w:rsidRPr="00A33AB8">
        <w:t>n.º 55/19.4SWLSB</w:t>
      </w:r>
      <w:r w:rsidR="005E04BE" w:rsidRPr="00A33AB8">
        <w:t xml:space="preserve"> </w:t>
      </w:r>
      <w:r w:rsidR="008F7715" w:rsidRPr="00A33AB8">
        <w:rPr>
          <w:rFonts w:ascii="Book Antiqua" w:hAnsi="Book Antiqua"/>
        </w:rPr>
        <w:t>do</w:t>
      </w:r>
      <w:r w:rsidR="005E04BE" w:rsidRPr="00A33AB8">
        <w:rPr>
          <w:rFonts w:ascii="Book Antiqua" w:hAnsi="Book Antiqua"/>
          <w:i/>
          <w:iCs/>
        </w:rPr>
        <w:t xml:space="preserve"> </w:t>
      </w:r>
      <w:r w:rsidR="005E04BE" w:rsidRPr="00A33AB8">
        <w:rPr>
          <w:rFonts w:ascii="Book Antiqua" w:hAnsi="Book Antiqua"/>
        </w:rPr>
        <w:t xml:space="preserve">Juízo Central Criminal de Lisboa, Juiz 2, </w:t>
      </w:r>
      <w:r w:rsidR="003A21E2" w:rsidRPr="00A33AB8">
        <w:rPr>
          <w:rFonts w:ascii="Book Antiqua" w:hAnsi="Book Antiqua" w:cs="Microsoft Sans Serif"/>
        </w:rPr>
        <w:t>ve</w:t>
      </w:r>
      <w:r w:rsidR="00101663" w:rsidRPr="00A33AB8">
        <w:rPr>
          <w:rFonts w:ascii="Book Antiqua" w:hAnsi="Book Antiqua" w:cs="Microsoft Sans Serif"/>
        </w:rPr>
        <w:t>m</w:t>
      </w:r>
      <w:r w:rsidR="003A21E2" w:rsidRPr="00A33AB8">
        <w:rPr>
          <w:rFonts w:ascii="Book Antiqua" w:hAnsi="Book Antiqua" w:cs="Microsoft Sans Serif"/>
        </w:rPr>
        <w:t xml:space="preserve"> requerer a providência de </w:t>
      </w:r>
      <w:r w:rsidR="003A21E2" w:rsidRPr="00A33AB8">
        <w:rPr>
          <w:rFonts w:ascii="Book Antiqua" w:hAnsi="Book Antiqua" w:cs="Microsoft Sans Serif"/>
          <w:i/>
          <w:iCs/>
        </w:rPr>
        <w:t>HABEAS CORPUS</w:t>
      </w:r>
      <w:r w:rsidR="003A21E2" w:rsidRPr="00A33AB8">
        <w:rPr>
          <w:rFonts w:ascii="Book Antiqua" w:hAnsi="Book Antiqua" w:cs="Microsoft Sans Serif"/>
        </w:rPr>
        <w:t xml:space="preserve">, invocando </w:t>
      </w:r>
      <w:r w:rsidR="008863EB" w:rsidRPr="00A33AB8">
        <w:rPr>
          <w:rFonts w:ascii="Book Antiqua" w:hAnsi="Book Antiqua" w:cs="Microsoft Sans Serif"/>
        </w:rPr>
        <w:t xml:space="preserve">os </w:t>
      </w:r>
      <w:r w:rsidR="008863EB" w:rsidRPr="00A33AB8">
        <w:rPr>
          <w:rFonts w:ascii="Book Antiqua" w:hAnsi="Book Antiqua"/>
        </w:rPr>
        <w:t>artigos 222° do Código de Processo Penal</w:t>
      </w:r>
      <w:r w:rsidR="003A21E2" w:rsidRPr="00A33AB8">
        <w:rPr>
          <w:rStyle w:val="Refdenotaderodap"/>
          <w:rFonts w:ascii="Book Antiqua" w:hAnsi="Book Antiqua" w:cs="Microsoft Sans Serif"/>
        </w:rPr>
        <w:footnoteReference w:id="1"/>
      </w:r>
      <w:r w:rsidR="003A21E2" w:rsidRPr="00A33AB8">
        <w:rPr>
          <w:rFonts w:ascii="Book Antiqua" w:hAnsi="Book Antiqua" w:cs="Microsoft Sans Serif"/>
        </w:rPr>
        <w:t xml:space="preserve">, </w:t>
      </w:r>
      <w:r w:rsidR="00CA6FA5" w:rsidRPr="00A33AB8">
        <w:rPr>
          <w:rFonts w:ascii="Book Antiqua" w:hAnsi="Book Antiqua" w:cs="Microsoft Sans Serif"/>
        </w:rPr>
        <w:t>o que faz nos termos e com os seguintes fundamentos</w:t>
      </w:r>
      <w:r w:rsidR="00620C5D" w:rsidRPr="00A33AB8">
        <w:rPr>
          <w:rFonts w:ascii="Book Antiqua" w:hAnsi="Book Antiqua" w:cs="Microsoft Sans Serif"/>
        </w:rPr>
        <w:t xml:space="preserve"> (transcrição)</w:t>
      </w:r>
      <w:r w:rsidR="00CA6FA5" w:rsidRPr="00A33AB8">
        <w:rPr>
          <w:rFonts w:ascii="Book Antiqua" w:hAnsi="Book Antiqua" w:cs="Microsoft Sans Serif"/>
        </w:rPr>
        <w:t>:</w:t>
      </w:r>
      <w:r w:rsidR="003A21E2" w:rsidRPr="00A33AB8">
        <w:rPr>
          <w:rFonts w:ascii="Book Antiqua" w:hAnsi="Book Antiqua" w:cs="Microsoft Sans Serif"/>
        </w:rPr>
        <w:t xml:space="preserve"> </w:t>
      </w:r>
    </w:p>
    <w:p w14:paraId="36E442A0" w14:textId="77777777" w:rsidR="00CC314A" w:rsidRPr="005E04BE" w:rsidRDefault="005E04BE" w:rsidP="005E04BE">
      <w:pPr>
        <w:spacing w:line="360" w:lineRule="auto"/>
        <w:jc w:val="both"/>
        <w:rPr>
          <w:rFonts w:ascii="Book Antiqua" w:hAnsi="Book Antiqua"/>
          <w:i/>
          <w:iCs/>
        </w:rPr>
      </w:pPr>
      <w:r w:rsidRPr="005E04BE">
        <w:rPr>
          <w:rFonts w:ascii="Book Antiqua" w:hAnsi="Book Antiqua"/>
          <w:i/>
          <w:iCs/>
        </w:rPr>
        <w:t>“</w:t>
      </w:r>
      <w:r w:rsidR="00CC314A" w:rsidRPr="005E04BE">
        <w:rPr>
          <w:rFonts w:ascii="Book Antiqua" w:hAnsi="Book Antiqua"/>
          <w:i/>
          <w:iCs/>
        </w:rPr>
        <w:t>1º</w:t>
      </w:r>
    </w:p>
    <w:p w14:paraId="6DDCC7D1" w14:textId="77777777" w:rsidR="00CC314A" w:rsidRPr="005E04BE" w:rsidRDefault="00CC314A" w:rsidP="005E04BE">
      <w:pPr>
        <w:spacing w:line="360" w:lineRule="auto"/>
        <w:jc w:val="both"/>
        <w:rPr>
          <w:rFonts w:ascii="Book Antiqua" w:hAnsi="Book Antiqua"/>
          <w:i/>
          <w:iCs/>
        </w:rPr>
      </w:pPr>
      <w:r w:rsidRPr="005E04BE">
        <w:rPr>
          <w:rFonts w:ascii="Book Antiqua" w:hAnsi="Book Antiqua"/>
          <w:i/>
          <w:iCs/>
        </w:rPr>
        <w:t>Por Acórdão proferido no âmbito do processo n.º 365/17.5JGLSB, do Juízo Central Criminal de Lisboa, Juiz 2, foi proferido Acórdão decidindo:</w:t>
      </w:r>
    </w:p>
    <w:p w14:paraId="49EA9902" w14:textId="77777777" w:rsidR="00CC314A" w:rsidRPr="005E04BE" w:rsidRDefault="00CC314A" w:rsidP="005E04BE">
      <w:pPr>
        <w:spacing w:line="360" w:lineRule="auto"/>
        <w:jc w:val="both"/>
        <w:rPr>
          <w:rFonts w:ascii="Book Antiqua" w:hAnsi="Book Antiqua"/>
          <w:i/>
          <w:iCs/>
        </w:rPr>
      </w:pPr>
      <w:r w:rsidRPr="005E04BE">
        <w:rPr>
          <w:rFonts w:ascii="Book Antiqua" w:hAnsi="Book Antiqua"/>
          <w:i/>
          <w:iCs/>
        </w:rPr>
        <w:t>“V – Decisão:</w:t>
      </w:r>
    </w:p>
    <w:p w14:paraId="47FCB3C6" w14:textId="77777777" w:rsidR="00CC314A" w:rsidRPr="005E04BE" w:rsidRDefault="00CC314A" w:rsidP="005E04BE">
      <w:pPr>
        <w:spacing w:line="360" w:lineRule="auto"/>
        <w:jc w:val="both"/>
        <w:rPr>
          <w:rFonts w:ascii="Book Antiqua" w:hAnsi="Book Antiqua"/>
          <w:i/>
          <w:iCs/>
        </w:rPr>
      </w:pPr>
      <w:r w:rsidRPr="005E04BE">
        <w:rPr>
          <w:rFonts w:ascii="Book Antiqua" w:hAnsi="Book Antiqua"/>
          <w:i/>
          <w:iCs/>
        </w:rPr>
        <w:t>Pelo exposto, acordam os juízes que constituem o Tribunal Coletivo em:</w:t>
      </w:r>
    </w:p>
    <w:p w14:paraId="448988CC" w14:textId="77777777" w:rsidR="00CC314A" w:rsidRPr="005E04BE" w:rsidRDefault="00CC314A" w:rsidP="005E04BE">
      <w:pPr>
        <w:spacing w:line="360" w:lineRule="auto"/>
        <w:jc w:val="both"/>
        <w:rPr>
          <w:rFonts w:ascii="Book Antiqua" w:hAnsi="Book Antiqua"/>
          <w:i/>
          <w:iCs/>
        </w:rPr>
      </w:pPr>
      <w:r w:rsidRPr="005E04BE">
        <w:rPr>
          <w:rFonts w:ascii="Book Antiqua" w:hAnsi="Book Antiqua"/>
          <w:i/>
          <w:iCs/>
        </w:rPr>
        <w:t xml:space="preserve">a) declarar que o arguido Hugo Alexandre Rodrigues Gonçalves praticou factos subsumíveis aos tipos do crime de homicídio qualificado, na forma tentada, previsto e punível pelos artigos 22, 23, 73, 131, 132, n.ºs 1 e 2, alínea e), todos do Código Penal; e </w:t>
      </w:r>
      <w:r w:rsidRPr="005E04BE">
        <w:rPr>
          <w:rFonts w:ascii="Book Antiqua" w:hAnsi="Book Antiqua"/>
          <w:i/>
          <w:iCs/>
        </w:rPr>
        <w:lastRenderedPageBreak/>
        <w:t xml:space="preserve">do crime de detenção de arma proibida, previsto e punível, pelo artigo 86, n.º 1, alíneas c) e d), da Lei n.º 5/2006, de 23 de fevereiro; </w:t>
      </w:r>
    </w:p>
    <w:p w14:paraId="6B51DA17"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b) declarar o arguido Hugo Alexandre Rodrigues Gonçalves inimputável (no momento da prática dos factos) e perigoso e, em consequência, absolvê-lo da prática dos referidos crimes;</w:t>
      </w:r>
    </w:p>
    <w:p w14:paraId="3E289858" w14:textId="77777777" w:rsidR="00CC314A" w:rsidRPr="002E5B65" w:rsidRDefault="00CC314A" w:rsidP="001474AB">
      <w:pPr>
        <w:spacing w:line="360" w:lineRule="auto"/>
        <w:jc w:val="both"/>
        <w:rPr>
          <w:rFonts w:ascii="Book Antiqua" w:hAnsi="Book Antiqua"/>
          <w:i/>
          <w:iCs/>
        </w:rPr>
      </w:pPr>
      <w:r w:rsidRPr="002E5B65">
        <w:rPr>
          <w:rFonts w:ascii="Book Antiqua" w:hAnsi="Book Antiqua"/>
          <w:i/>
          <w:iCs/>
        </w:rPr>
        <w:t xml:space="preserve">c) determinar o internamento do arguido Hugo Alexandre Rodrigues Gonçalves em estabelecimento destinado a inimputáveis, fixando em 3 (três) anos a duração mínima da medida de segurança de internamento </w:t>
      </w:r>
      <w:proofErr w:type="spellStart"/>
      <w:r w:rsidRPr="002E5B65">
        <w:rPr>
          <w:rFonts w:ascii="Book Antiqua" w:hAnsi="Book Antiqua"/>
          <w:i/>
          <w:iCs/>
        </w:rPr>
        <w:t>efectivo</w:t>
      </w:r>
      <w:proofErr w:type="spellEnd"/>
      <w:r w:rsidRPr="002E5B65">
        <w:rPr>
          <w:rFonts w:ascii="Book Antiqua" w:hAnsi="Book Antiqua"/>
          <w:i/>
          <w:iCs/>
        </w:rPr>
        <w:t>, não podendo exceder 16 (dezasseis) anos e 8 (oito) meses;”</w:t>
      </w:r>
    </w:p>
    <w:p w14:paraId="366948B4" w14:textId="77777777" w:rsidR="00CC314A" w:rsidRPr="002E5B65" w:rsidRDefault="00CC314A" w:rsidP="001474AB">
      <w:pPr>
        <w:spacing w:line="360" w:lineRule="auto"/>
        <w:jc w:val="both"/>
        <w:rPr>
          <w:rFonts w:ascii="Book Antiqua" w:hAnsi="Book Antiqua"/>
          <w:i/>
          <w:iCs/>
        </w:rPr>
      </w:pPr>
      <w:r w:rsidRPr="002E5B65">
        <w:rPr>
          <w:rFonts w:ascii="Book Antiqua" w:hAnsi="Book Antiqua"/>
          <w:i/>
          <w:iCs/>
        </w:rPr>
        <w:t>2º</w:t>
      </w:r>
    </w:p>
    <w:p w14:paraId="0016E7FA" w14:textId="77777777" w:rsidR="00CC314A" w:rsidRPr="002E5B65" w:rsidRDefault="00CC314A" w:rsidP="001474AB">
      <w:pPr>
        <w:spacing w:line="360" w:lineRule="auto"/>
        <w:jc w:val="both"/>
        <w:rPr>
          <w:rFonts w:ascii="Book Antiqua" w:hAnsi="Book Antiqua"/>
          <w:i/>
          <w:iCs/>
        </w:rPr>
      </w:pPr>
      <w:r w:rsidRPr="002E5B65">
        <w:rPr>
          <w:rFonts w:ascii="Book Antiqua" w:hAnsi="Book Antiqua"/>
          <w:i/>
          <w:iCs/>
        </w:rPr>
        <w:t>Por Acórdão do Supremo Tribunal de Justiça, transitado em julgado em 12/11/2021, foi decidido que o arguido praticou factos subsumíveis aos tipos de crimes de homicídio simples na forma tentada e detenção de arma proibida.</w:t>
      </w:r>
    </w:p>
    <w:p w14:paraId="09CE1959" w14:textId="77777777" w:rsidR="00CC314A" w:rsidRPr="002E5B65" w:rsidRDefault="00CC314A" w:rsidP="001474AB">
      <w:pPr>
        <w:spacing w:line="360" w:lineRule="auto"/>
        <w:jc w:val="both"/>
        <w:rPr>
          <w:rFonts w:ascii="Book Antiqua" w:hAnsi="Book Antiqua"/>
          <w:i/>
          <w:iCs/>
        </w:rPr>
      </w:pPr>
      <w:r w:rsidRPr="002E5B65">
        <w:rPr>
          <w:rFonts w:ascii="Book Antiqua" w:hAnsi="Book Antiqua"/>
          <w:i/>
          <w:iCs/>
        </w:rPr>
        <w:t>3º</w:t>
      </w:r>
    </w:p>
    <w:p w14:paraId="42AF0F4D"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Foi declarado o arguido inimputável (no momento da prática dos factos) e perigoso e, em consequência, absolvido da prática dos referidos crimes de que se encontrava acusado.</w:t>
      </w:r>
    </w:p>
    <w:p w14:paraId="50EAC54C"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4º</w:t>
      </w:r>
    </w:p>
    <w:p w14:paraId="599FD172"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Foi decidido determinar o internamento do arguido Hugo Alexandre Rodrigues Gonçalves em estabelecimento destinado a inimputáveis;</w:t>
      </w:r>
    </w:p>
    <w:p w14:paraId="6332DE46"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5º</w:t>
      </w:r>
    </w:p>
    <w:p w14:paraId="318617CB"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Mais foi decidido determinar que a medida de segurança terá duração mínima de três anos, salvo se, entretanto, a libertação do arguido se revelar compatível com a defesa da ordem jurídico e da paz social, não podendo exceder 10 (dez) anos 8 (oito) meses.</w:t>
      </w:r>
    </w:p>
    <w:p w14:paraId="004BA3F6"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6º</w:t>
      </w:r>
    </w:p>
    <w:p w14:paraId="70DDC657"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Nos termos do artigo 91º do C. Penal:</w:t>
      </w:r>
    </w:p>
    <w:p w14:paraId="070EFDBB"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lastRenderedPageBreak/>
        <w:t>“Quem tiver praticado um facto ilícito típico e for considerado inimputável, nos termos do artigo 20º, é mandado internar pelo tribunal em estabelecimento de cura, tratamento ou segurança…”</w:t>
      </w:r>
    </w:p>
    <w:p w14:paraId="6528B60A" w14:textId="77777777" w:rsidR="00CC314A" w:rsidRPr="00DD3530" w:rsidRDefault="00CC314A" w:rsidP="001474AB">
      <w:pPr>
        <w:spacing w:line="360" w:lineRule="auto"/>
        <w:jc w:val="both"/>
        <w:rPr>
          <w:rFonts w:ascii="Book Antiqua" w:hAnsi="Book Antiqua"/>
          <w:i/>
          <w:iCs/>
        </w:rPr>
      </w:pPr>
      <w:r w:rsidRPr="00DD3530">
        <w:rPr>
          <w:rFonts w:ascii="Book Antiqua" w:hAnsi="Book Antiqua"/>
          <w:i/>
          <w:iCs/>
        </w:rPr>
        <w:t>7º</w:t>
      </w:r>
    </w:p>
    <w:p w14:paraId="65DC85EE" w14:textId="77777777" w:rsidR="00CC314A" w:rsidRPr="00DD3530" w:rsidRDefault="00CC314A" w:rsidP="001474AB">
      <w:pPr>
        <w:spacing w:line="360" w:lineRule="auto"/>
        <w:jc w:val="both"/>
        <w:rPr>
          <w:rFonts w:ascii="Book Antiqua" w:hAnsi="Book Antiqua"/>
          <w:i/>
          <w:iCs/>
        </w:rPr>
      </w:pPr>
      <w:r w:rsidRPr="00DD3530">
        <w:rPr>
          <w:rFonts w:ascii="Book Antiqua" w:hAnsi="Book Antiqua"/>
          <w:i/>
          <w:iCs/>
        </w:rPr>
        <w:t>Acontece, porém, que decorridos mais de dois meses desde o trânsito em julgado do Acórdão proferido o Arguido encontra-se, ainda, preso no Estabelecimento Prisional de Lisboa</w:t>
      </w:r>
    </w:p>
    <w:p w14:paraId="580AF5AB" w14:textId="77777777" w:rsidR="00CC314A" w:rsidRPr="00DD3530" w:rsidRDefault="00CC314A" w:rsidP="001474AB">
      <w:pPr>
        <w:spacing w:line="360" w:lineRule="auto"/>
        <w:jc w:val="both"/>
        <w:rPr>
          <w:rFonts w:ascii="Book Antiqua" w:hAnsi="Book Antiqua"/>
          <w:i/>
          <w:iCs/>
        </w:rPr>
      </w:pPr>
      <w:r w:rsidRPr="00DD3530">
        <w:rPr>
          <w:rFonts w:ascii="Book Antiqua" w:hAnsi="Book Antiqua"/>
          <w:i/>
          <w:iCs/>
        </w:rPr>
        <w:t>8º</w:t>
      </w:r>
    </w:p>
    <w:p w14:paraId="377F84C7"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Conforme decorre expressamente do artigo 91º do C. Penal o Arguido é mandado internar pelo tribunal em estabelecimento de cura, tratamento ou segurança.</w:t>
      </w:r>
    </w:p>
    <w:p w14:paraId="32159019"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9º</w:t>
      </w:r>
    </w:p>
    <w:p w14:paraId="0045E5B4"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 xml:space="preserve">Sendo certo que, nos termos do artigo 502º, </w:t>
      </w:r>
      <w:r w:rsidR="00640B06" w:rsidRPr="00486663">
        <w:rPr>
          <w:rFonts w:ascii="Book Antiqua" w:hAnsi="Book Antiqua"/>
          <w:i/>
          <w:iCs/>
        </w:rPr>
        <w:t>n. º</w:t>
      </w:r>
      <w:r w:rsidRPr="00486663">
        <w:rPr>
          <w:rFonts w:ascii="Book Antiqua" w:hAnsi="Book Antiqua"/>
          <w:i/>
          <w:iCs/>
        </w:rPr>
        <w:t>2 do C.P.P.:</w:t>
      </w:r>
    </w:p>
    <w:p w14:paraId="1489DCF8"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 xml:space="preserve">“O Ministério Público envia ao Tribunal de Execução das Penas, aos serviços prisionais e de reinserção social e à instituição onde o internamento se </w:t>
      </w:r>
      <w:proofErr w:type="spellStart"/>
      <w:r w:rsidRPr="00486663">
        <w:rPr>
          <w:rFonts w:ascii="Book Antiqua" w:hAnsi="Book Antiqua"/>
          <w:i/>
          <w:iCs/>
        </w:rPr>
        <w:t>efectuar</w:t>
      </w:r>
      <w:proofErr w:type="spellEnd"/>
      <w:r w:rsidRPr="00486663">
        <w:rPr>
          <w:rFonts w:ascii="Book Antiqua" w:hAnsi="Book Antiqua"/>
          <w:i/>
          <w:iCs/>
        </w:rPr>
        <w:t>, no prazo de cinco dias após o trânsito em julgado, cópia de sentença que aplicar medida de segurança privativa da liberdade.”</w:t>
      </w:r>
    </w:p>
    <w:p w14:paraId="07EEE0E1"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10º</w:t>
      </w:r>
    </w:p>
    <w:p w14:paraId="7235BDDB"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 xml:space="preserve">Apesar do Acórdão que determinou o internamento do Arguido ter transitado em julgado em 12/11/2021 e o arguido ter sido absolvido dos crimes que lhe eram imputáveis, até ao presente momento o mesmo continua preso no Estabelecimento Prisional de Lisboa. </w:t>
      </w:r>
    </w:p>
    <w:p w14:paraId="12C16DB5"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11º</w:t>
      </w:r>
    </w:p>
    <w:p w14:paraId="219A7B11" w14:textId="77777777" w:rsidR="00CC314A" w:rsidRPr="00486663" w:rsidRDefault="00CC314A" w:rsidP="001474AB">
      <w:pPr>
        <w:spacing w:line="360" w:lineRule="auto"/>
        <w:jc w:val="both"/>
        <w:rPr>
          <w:rFonts w:ascii="Book Antiqua" w:hAnsi="Book Antiqua"/>
          <w:i/>
          <w:iCs/>
        </w:rPr>
      </w:pPr>
      <w:r w:rsidRPr="00486663">
        <w:rPr>
          <w:rFonts w:ascii="Book Antiqua" w:hAnsi="Book Antiqua"/>
          <w:i/>
          <w:iCs/>
        </w:rPr>
        <w:t>Salvo o devido respeito por opinião diversa, tendo o Acórdão que condenou o Arguido a uma medida de segurança de internamento, transitado em julgado há mais de dois meses, mostram-se ultrapassados os prazos máximos para que o mesmo se mantenha preso num Estabelecimento Prisional.</w:t>
      </w:r>
    </w:p>
    <w:p w14:paraId="3E700B80" w14:textId="77777777" w:rsidR="00CC314A" w:rsidRDefault="00CC314A" w:rsidP="001474AB">
      <w:pPr>
        <w:spacing w:line="360" w:lineRule="auto"/>
        <w:jc w:val="both"/>
        <w:rPr>
          <w:rFonts w:ascii="Book Antiqua" w:hAnsi="Book Antiqua"/>
          <w:i/>
          <w:iCs/>
        </w:rPr>
      </w:pPr>
      <w:r w:rsidRPr="00486663">
        <w:rPr>
          <w:rFonts w:ascii="Book Antiqua" w:hAnsi="Book Antiqua"/>
          <w:i/>
          <w:iCs/>
        </w:rPr>
        <w:t xml:space="preserve">Termos em que se requer a V. Exas. Egrégios Conselheiros, nos termos do Artigo 222º do C.P.P., que se dignem admitir o presente requerimento, e, em consequência ordenem a </w:t>
      </w:r>
      <w:r w:rsidRPr="00486663">
        <w:rPr>
          <w:rFonts w:ascii="Book Antiqua" w:hAnsi="Book Antiqua"/>
          <w:i/>
          <w:iCs/>
        </w:rPr>
        <w:lastRenderedPageBreak/>
        <w:t>imediata libertação do ora requerente, porquanto a sua prisão é manifestamente ilegal, ou caso assim não se entenda, o que por dever de patrocínio se admite, que se dignem ordenar a imediata transferência do arguido, para estabelecimento adequado.</w:t>
      </w:r>
    </w:p>
    <w:p w14:paraId="6B75FC8C" w14:textId="77777777" w:rsidR="00DD3530" w:rsidRPr="00486663" w:rsidRDefault="00DD3530" w:rsidP="001474AB">
      <w:pPr>
        <w:spacing w:line="360" w:lineRule="auto"/>
        <w:jc w:val="both"/>
        <w:rPr>
          <w:rFonts w:ascii="Book Antiqua" w:hAnsi="Book Antiqua"/>
          <w:i/>
          <w:iCs/>
        </w:rPr>
      </w:pPr>
    </w:p>
    <w:p w14:paraId="286678E7" w14:textId="77777777" w:rsidR="00FD6B5E" w:rsidRPr="00620C5D" w:rsidRDefault="00FD6B5E" w:rsidP="00FD6B5E">
      <w:pPr>
        <w:spacing w:line="360" w:lineRule="auto"/>
        <w:jc w:val="both"/>
        <w:rPr>
          <w:rFonts w:ascii="Book Antiqua" w:hAnsi="Book Antiqua" w:cs="Calibri"/>
          <w:b/>
          <w:bCs/>
          <w:shd w:val="clear" w:color="auto" w:fill="FFFFFF"/>
        </w:rPr>
      </w:pPr>
      <w:r w:rsidRPr="00620C5D">
        <w:rPr>
          <w:rFonts w:ascii="Book Antiqua" w:hAnsi="Book Antiqua"/>
          <w:b/>
          <w:bCs/>
          <w:iCs/>
        </w:rPr>
        <w:t xml:space="preserve">2. </w:t>
      </w:r>
      <w:r w:rsidRPr="00620C5D">
        <w:rPr>
          <w:rFonts w:ascii="Book Antiqua" w:hAnsi="Book Antiqua" w:cs="Calibri"/>
          <w:b/>
          <w:bCs/>
          <w:iCs/>
        </w:rPr>
        <w:t xml:space="preserve"> Foi elaborada </w:t>
      </w:r>
      <w:r w:rsidRPr="00620C5D">
        <w:rPr>
          <w:rFonts w:ascii="Book Antiqua" w:hAnsi="Book Antiqua" w:cs="Calibri"/>
          <w:b/>
          <w:bCs/>
          <w:shd w:val="clear" w:color="auto" w:fill="FFFFFF"/>
        </w:rPr>
        <w:t xml:space="preserve">a informação a que se reporta o nº 1 do artigo 223º do CPP, </w:t>
      </w:r>
      <w:r w:rsidR="00620C5D" w:rsidRPr="00620C5D">
        <w:rPr>
          <w:rFonts w:ascii="Book Antiqua" w:hAnsi="Book Antiqua" w:cs="Calibri"/>
          <w:b/>
          <w:bCs/>
          <w:shd w:val="clear" w:color="auto" w:fill="FFFFFF"/>
        </w:rPr>
        <w:t xml:space="preserve">nos seguintes termos </w:t>
      </w:r>
      <w:r w:rsidR="00620C5D" w:rsidRPr="00DD3530">
        <w:rPr>
          <w:rFonts w:ascii="Book Antiqua" w:hAnsi="Book Antiqua" w:cs="Calibri"/>
          <w:i/>
          <w:iCs/>
          <w:shd w:val="clear" w:color="auto" w:fill="FFFFFF"/>
        </w:rPr>
        <w:t>(transcrição)</w:t>
      </w:r>
      <w:r w:rsidRPr="00DD3530">
        <w:rPr>
          <w:rFonts w:ascii="Book Antiqua" w:hAnsi="Book Antiqua" w:cs="Calibri"/>
          <w:i/>
          <w:iCs/>
          <w:shd w:val="clear" w:color="auto" w:fill="FFFFFF"/>
        </w:rPr>
        <w:t>:</w:t>
      </w:r>
    </w:p>
    <w:p w14:paraId="7E38FB13" w14:textId="77777777" w:rsidR="005B6A65" w:rsidRPr="00620C5D" w:rsidRDefault="00FD6B5E" w:rsidP="005B6A65">
      <w:pPr>
        <w:spacing w:line="360" w:lineRule="auto"/>
        <w:jc w:val="both"/>
        <w:rPr>
          <w:rFonts w:ascii="Book Antiqua" w:hAnsi="Book Antiqua"/>
          <w:i/>
          <w:iCs/>
        </w:rPr>
      </w:pPr>
      <w:r w:rsidRPr="00620C5D">
        <w:rPr>
          <w:rFonts w:ascii="Book Antiqua" w:hAnsi="Book Antiqua"/>
          <w:i/>
          <w:iCs/>
        </w:rPr>
        <w:t>“</w:t>
      </w:r>
      <w:r w:rsidR="005B6A65" w:rsidRPr="00620C5D">
        <w:rPr>
          <w:rFonts w:ascii="Book Antiqua" w:hAnsi="Book Antiqua"/>
          <w:i/>
          <w:iCs/>
        </w:rPr>
        <w:t xml:space="preserve">Nos termos do </w:t>
      </w:r>
      <w:proofErr w:type="spellStart"/>
      <w:r w:rsidR="005B6A65" w:rsidRPr="00620C5D">
        <w:rPr>
          <w:rFonts w:ascii="Book Antiqua" w:hAnsi="Book Antiqua"/>
          <w:i/>
          <w:iCs/>
        </w:rPr>
        <w:t>art</w:t>
      </w:r>
      <w:proofErr w:type="spellEnd"/>
      <w:r w:rsidR="005B6A65" w:rsidRPr="00620C5D">
        <w:rPr>
          <w:rFonts w:ascii="Book Antiqua" w:hAnsi="Book Antiqua"/>
          <w:i/>
          <w:iCs/>
        </w:rPr>
        <w:t xml:space="preserve">. 223º do CPP, cumpre informar que não se verificam nenhuma das situações descritas no </w:t>
      </w:r>
      <w:proofErr w:type="spellStart"/>
      <w:r w:rsidR="005B6A65" w:rsidRPr="00620C5D">
        <w:rPr>
          <w:rFonts w:ascii="Book Antiqua" w:hAnsi="Book Antiqua"/>
          <w:i/>
          <w:iCs/>
        </w:rPr>
        <w:t>art</w:t>
      </w:r>
      <w:proofErr w:type="spellEnd"/>
      <w:r w:rsidR="005B6A65" w:rsidRPr="00620C5D">
        <w:rPr>
          <w:rFonts w:ascii="Book Antiqua" w:hAnsi="Book Antiqua"/>
          <w:i/>
          <w:iCs/>
        </w:rPr>
        <w:t xml:space="preserve">. 222º, nº2, do CPP, na medida em que o arguido encontra-se em cumprimento de uma medida de internamento com a duração máxima de 10 anos e 8 meses e com o limite mínimo de 3 anos, pela prática de factos subsumíveis ao </w:t>
      </w:r>
      <w:proofErr w:type="spellStart"/>
      <w:r w:rsidR="005B6A65" w:rsidRPr="00620C5D">
        <w:rPr>
          <w:rFonts w:ascii="Book Antiqua" w:hAnsi="Book Antiqua"/>
          <w:i/>
          <w:iCs/>
        </w:rPr>
        <w:t>art</w:t>
      </w:r>
      <w:proofErr w:type="spellEnd"/>
      <w:r w:rsidR="005B6A65" w:rsidRPr="00620C5D">
        <w:rPr>
          <w:rFonts w:ascii="Book Antiqua" w:hAnsi="Book Antiqua"/>
          <w:i/>
          <w:iCs/>
        </w:rPr>
        <w:t xml:space="preserve">. 131º do </w:t>
      </w:r>
      <w:r w:rsidR="005B6A65" w:rsidRPr="00C42B5C">
        <w:rPr>
          <w:rFonts w:ascii="Book Antiqua" w:hAnsi="Book Antiqua"/>
          <w:i/>
          <w:iCs/>
        </w:rPr>
        <w:t>Código Penal, conforme acórdão proferido pelo Supremo Tribunal de Justiça, transitado em julgado em 12-11-2020</w:t>
      </w:r>
      <w:r w:rsidR="007C5952" w:rsidRPr="00C42B5C">
        <w:rPr>
          <w:rStyle w:val="Refdenotaderodap"/>
          <w:rFonts w:ascii="Book Antiqua" w:hAnsi="Book Antiqua"/>
          <w:i/>
          <w:iCs/>
        </w:rPr>
        <w:footnoteReference w:id="2"/>
      </w:r>
      <w:r w:rsidR="005B6A65" w:rsidRPr="00C42B5C">
        <w:rPr>
          <w:rFonts w:ascii="Book Antiqua" w:hAnsi="Book Antiqua"/>
          <w:i/>
          <w:iCs/>
        </w:rPr>
        <w:t>, encontrando-se preso ininterruptamente desde 4 de julho de 2019.</w:t>
      </w:r>
    </w:p>
    <w:p w14:paraId="3917FC86" w14:textId="77777777" w:rsidR="005B6A65" w:rsidRPr="00620C5D" w:rsidRDefault="005B6A65" w:rsidP="005B6A65">
      <w:pPr>
        <w:spacing w:line="360" w:lineRule="auto"/>
        <w:jc w:val="both"/>
        <w:rPr>
          <w:rFonts w:ascii="Book Antiqua" w:hAnsi="Book Antiqua"/>
          <w:i/>
          <w:iCs/>
        </w:rPr>
      </w:pPr>
      <w:r w:rsidRPr="00620C5D">
        <w:rPr>
          <w:rFonts w:ascii="Book Antiqua" w:hAnsi="Book Antiqua"/>
          <w:i/>
          <w:iCs/>
        </w:rPr>
        <w:t xml:space="preserve">Ora, nos termos do </w:t>
      </w:r>
      <w:proofErr w:type="spellStart"/>
      <w:r w:rsidRPr="00620C5D">
        <w:rPr>
          <w:rFonts w:ascii="Book Antiqua" w:hAnsi="Book Antiqua"/>
          <w:i/>
          <w:iCs/>
        </w:rPr>
        <w:t>art</w:t>
      </w:r>
      <w:proofErr w:type="spellEnd"/>
      <w:r w:rsidRPr="00620C5D">
        <w:rPr>
          <w:rFonts w:ascii="Book Antiqua" w:hAnsi="Book Antiqua"/>
          <w:i/>
          <w:iCs/>
        </w:rPr>
        <w:t>. 91º, n2 do Código Penal, quando o facto praticado por inimputável corresponder a crime contra pessoas</w:t>
      </w:r>
      <w:r w:rsidR="006203DC">
        <w:rPr>
          <w:rFonts w:ascii="Book Antiqua" w:hAnsi="Book Antiqua"/>
          <w:i/>
          <w:iCs/>
        </w:rPr>
        <w:t>,</w:t>
      </w:r>
      <w:r w:rsidRPr="00620C5D">
        <w:rPr>
          <w:rFonts w:ascii="Book Antiqua" w:hAnsi="Book Antiqua"/>
          <w:i/>
          <w:iCs/>
        </w:rPr>
        <w:t xml:space="preserve"> punível (como é o caso </w:t>
      </w:r>
      <w:proofErr w:type="spellStart"/>
      <w:r w:rsidRPr="00620C5D">
        <w:rPr>
          <w:rFonts w:ascii="Book Antiqua" w:hAnsi="Book Antiqua"/>
          <w:i/>
          <w:iCs/>
        </w:rPr>
        <w:t>sub</w:t>
      </w:r>
      <w:proofErr w:type="spellEnd"/>
      <w:r w:rsidRPr="00620C5D">
        <w:rPr>
          <w:rFonts w:ascii="Book Antiqua" w:hAnsi="Book Antiqua"/>
          <w:i/>
          <w:iCs/>
        </w:rPr>
        <w:t xml:space="preserve"> </w:t>
      </w:r>
      <w:proofErr w:type="spellStart"/>
      <w:r w:rsidRPr="00620C5D">
        <w:rPr>
          <w:rFonts w:ascii="Book Antiqua" w:hAnsi="Book Antiqua"/>
          <w:i/>
          <w:iCs/>
        </w:rPr>
        <w:t>judice</w:t>
      </w:r>
      <w:proofErr w:type="spellEnd"/>
      <w:r w:rsidRPr="00620C5D">
        <w:rPr>
          <w:rFonts w:ascii="Book Antiqua" w:hAnsi="Book Antiqua"/>
          <w:i/>
          <w:iCs/>
        </w:rPr>
        <w:t xml:space="preserve">) com pena de prisão superior a 5 anos, o internamento tem a duração mínima de 3 anos e, por força do disposto no nº3 do </w:t>
      </w:r>
      <w:proofErr w:type="spellStart"/>
      <w:r w:rsidRPr="00620C5D">
        <w:rPr>
          <w:rFonts w:ascii="Book Antiqua" w:hAnsi="Book Antiqua"/>
          <w:i/>
          <w:iCs/>
        </w:rPr>
        <w:t>art</w:t>
      </w:r>
      <w:proofErr w:type="spellEnd"/>
      <w:r w:rsidRPr="00620C5D">
        <w:rPr>
          <w:rFonts w:ascii="Book Antiqua" w:hAnsi="Book Antiqua"/>
          <w:i/>
          <w:iCs/>
        </w:rPr>
        <w:t>. 93º do mesmo diploma, a primeira apreciação é feita observando-se esse prazo mínimo, ou seja, estando ao arguido detido desde 4 de julho de 2019, a primeira apreciação ocorrerá em 4 de julho de 2022.</w:t>
      </w:r>
    </w:p>
    <w:p w14:paraId="683F623D" w14:textId="77777777" w:rsidR="005B6A65" w:rsidRPr="00620C5D" w:rsidRDefault="005B6A65" w:rsidP="005B6A65">
      <w:pPr>
        <w:spacing w:line="360" w:lineRule="auto"/>
        <w:jc w:val="both"/>
        <w:rPr>
          <w:rFonts w:ascii="Book Antiqua" w:hAnsi="Book Antiqua"/>
          <w:i/>
          <w:iCs/>
        </w:rPr>
      </w:pPr>
      <w:r w:rsidRPr="00620C5D">
        <w:rPr>
          <w:rFonts w:ascii="Book Antiqua" w:hAnsi="Book Antiqua"/>
          <w:i/>
          <w:iCs/>
        </w:rPr>
        <w:t xml:space="preserve">Quanto ao local de cumprimento da medida de internamento, este Tribunal não tem competência para proceder à transferência de reclusos, cabendo a transferência e a afetação dos presos, à Direção Geral dos Serviços Prisionais, o que já foi solicitado atento anterior requerimento do recluso feito </w:t>
      </w:r>
      <w:r w:rsidR="00C138ED" w:rsidRPr="00620C5D">
        <w:rPr>
          <w:rFonts w:ascii="Book Antiqua" w:hAnsi="Book Antiqua"/>
          <w:i/>
          <w:iCs/>
        </w:rPr>
        <w:t>nesse sentido</w:t>
      </w:r>
      <w:r w:rsidRPr="00620C5D">
        <w:rPr>
          <w:rFonts w:ascii="Book Antiqua" w:hAnsi="Book Antiqua"/>
          <w:i/>
          <w:iCs/>
        </w:rPr>
        <w:t>.</w:t>
      </w:r>
    </w:p>
    <w:p w14:paraId="62A8BBE3" w14:textId="77777777" w:rsidR="005B6A65" w:rsidRPr="00620C5D" w:rsidRDefault="005B6A65" w:rsidP="005B6A65">
      <w:pPr>
        <w:spacing w:line="360" w:lineRule="auto"/>
        <w:jc w:val="both"/>
        <w:rPr>
          <w:rFonts w:ascii="Book Antiqua" w:hAnsi="Book Antiqua"/>
          <w:i/>
          <w:iCs/>
        </w:rPr>
      </w:pPr>
      <w:r w:rsidRPr="00620C5D">
        <w:rPr>
          <w:rFonts w:ascii="Book Antiqua" w:hAnsi="Book Antiqua"/>
          <w:i/>
          <w:iCs/>
        </w:rPr>
        <w:lastRenderedPageBreak/>
        <w:t>Quanto à cessação e revisão da medida de internamento decretada, igualmente não tem este Tribunal competência para o fazer, sendo que já foram remetidas as necessárias certidões para esse efeito.</w:t>
      </w:r>
    </w:p>
    <w:p w14:paraId="7E3CEBB9" w14:textId="77777777" w:rsidR="005B6A65" w:rsidRDefault="005B6A65" w:rsidP="005B6A65">
      <w:pPr>
        <w:spacing w:line="360" w:lineRule="auto"/>
        <w:jc w:val="both"/>
        <w:rPr>
          <w:rFonts w:ascii="Book Antiqua" w:hAnsi="Book Antiqua"/>
          <w:i/>
          <w:iCs/>
        </w:rPr>
      </w:pPr>
      <w:r w:rsidRPr="00620C5D">
        <w:rPr>
          <w:rFonts w:ascii="Book Antiqua" w:hAnsi="Book Antiqua"/>
          <w:i/>
          <w:iCs/>
        </w:rPr>
        <w:t>Junte a este apenso certidão do acórdão do STJ, com nota de trânsito e de fls. 1088 e 1097.</w:t>
      </w:r>
    </w:p>
    <w:p w14:paraId="022C0681" w14:textId="77777777" w:rsidR="00D9614B" w:rsidRPr="00620C5D" w:rsidRDefault="00D9614B" w:rsidP="005B6A65">
      <w:pPr>
        <w:spacing w:line="360" w:lineRule="auto"/>
        <w:jc w:val="both"/>
        <w:rPr>
          <w:rFonts w:ascii="Book Antiqua" w:hAnsi="Book Antiqua"/>
          <w:i/>
          <w:iCs/>
        </w:rPr>
      </w:pPr>
    </w:p>
    <w:p w14:paraId="6E0244B9" w14:textId="77777777" w:rsidR="00E61DEF" w:rsidRPr="00620C5D" w:rsidRDefault="00FD6B5E" w:rsidP="00E61DEF">
      <w:pPr>
        <w:spacing w:line="360" w:lineRule="auto"/>
        <w:jc w:val="both"/>
        <w:rPr>
          <w:rFonts w:ascii="Book Antiqua" w:hAnsi="Book Antiqua" w:cs="Microsoft Sans Serif"/>
          <w:b/>
          <w:bCs/>
        </w:rPr>
      </w:pPr>
      <w:r w:rsidRPr="00620C5D">
        <w:rPr>
          <w:rFonts w:ascii="Book Antiqua" w:hAnsi="Book Antiqua" w:cs="Microsoft Sans Serif"/>
          <w:b/>
          <w:bCs/>
        </w:rPr>
        <w:t>3</w:t>
      </w:r>
      <w:r w:rsidR="00E61DEF" w:rsidRPr="00620C5D">
        <w:rPr>
          <w:rFonts w:ascii="Book Antiqua" w:hAnsi="Book Antiqua" w:cs="Microsoft Sans Serif"/>
          <w:b/>
          <w:bCs/>
        </w:rPr>
        <w:t>.</w:t>
      </w:r>
      <w:r w:rsidR="003A21E2" w:rsidRPr="00620C5D">
        <w:rPr>
          <w:rFonts w:ascii="Book Antiqua" w:hAnsi="Book Antiqua" w:cs="Microsoft Sans Serif"/>
          <w:b/>
          <w:bCs/>
        </w:rPr>
        <w:t xml:space="preserve"> </w:t>
      </w:r>
      <w:r w:rsidR="005F6578" w:rsidRPr="00620C5D">
        <w:rPr>
          <w:rFonts w:ascii="Book Antiqua" w:hAnsi="Book Antiqua" w:cs="Microsoft Sans Serif"/>
          <w:b/>
          <w:bCs/>
        </w:rPr>
        <w:t>Foi c</w:t>
      </w:r>
      <w:r w:rsidR="003A21E2" w:rsidRPr="00620C5D">
        <w:rPr>
          <w:rFonts w:ascii="Book Antiqua" w:hAnsi="Book Antiqua" w:cs="Microsoft Sans Serif"/>
          <w:b/>
          <w:bCs/>
          <w:shd w:val="clear" w:color="auto" w:fill="FFFFFF"/>
        </w:rPr>
        <w:t xml:space="preserve">onvocada a secção criminal, notificados o Ministério Público e o </w:t>
      </w:r>
      <w:r w:rsidR="005F6578" w:rsidRPr="00620C5D">
        <w:rPr>
          <w:rFonts w:ascii="Book Antiqua" w:hAnsi="Book Antiqua" w:cs="Microsoft Sans Serif"/>
          <w:b/>
          <w:bCs/>
          <w:shd w:val="clear" w:color="auto" w:fill="FFFFFF"/>
        </w:rPr>
        <w:t>D</w:t>
      </w:r>
      <w:r w:rsidR="003A21E2" w:rsidRPr="00620C5D">
        <w:rPr>
          <w:rFonts w:ascii="Book Antiqua" w:hAnsi="Book Antiqua" w:cs="Microsoft Sans Serif"/>
          <w:b/>
          <w:bCs/>
          <w:shd w:val="clear" w:color="auto" w:fill="FFFFFF"/>
        </w:rPr>
        <w:t>efensor do requerente</w:t>
      </w:r>
      <w:r w:rsidR="005F6578" w:rsidRPr="00620C5D">
        <w:rPr>
          <w:rFonts w:ascii="Book Antiqua" w:hAnsi="Book Antiqua" w:cs="Microsoft Sans Serif"/>
          <w:b/>
          <w:bCs/>
          <w:shd w:val="clear" w:color="auto" w:fill="FFFFFF"/>
        </w:rPr>
        <w:t xml:space="preserve"> e </w:t>
      </w:r>
      <w:r w:rsidR="003A21E2" w:rsidRPr="00620C5D">
        <w:rPr>
          <w:rFonts w:ascii="Book Antiqua" w:hAnsi="Book Antiqua" w:cs="Microsoft Sans Serif"/>
          <w:b/>
          <w:bCs/>
          <w:shd w:val="clear" w:color="auto" w:fill="FFFFFF"/>
        </w:rPr>
        <w:t>realizou-se a audiência</w:t>
      </w:r>
      <w:r w:rsidR="005F6578" w:rsidRPr="00620C5D">
        <w:rPr>
          <w:rFonts w:ascii="Book Antiqua" w:hAnsi="Book Antiqua" w:cs="Microsoft Sans Serif"/>
          <w:b/>
          <w:bCs/>
          <w:shd w:val="clear" w:color="auto" w:fill="FFFFFF"/>
        </w:rPr>
        <w:t xml:space="preserve">, em conformidade com os </w:t>
      </w:r>
      <w:r w:rsidR="003A21E2" w:rsidRPr="00620C5D">
        <w:rPr>
          <w:rFonts w:ascii="Book Antiqua" w:hAnsi="Book Antiqua" w:cs="Microsoft Sans Serif"/>
          <w:b/>
          <w:bCs/>
          <w:shd w:val="clear" w:color="auto" w:fill="FFFFFF"/>
        </w:rPr>
        <w:t>artigos 223.º, nºs 2 e 3 e 435.º</w:t>
      </w:r>
      <w:r w:rsidR="004F4031">
        <w:rPr>
          <w:rFonts w:ascii="Book Antiqua" w:hAnsi="Book Antiqua" w:cs="Microsoft Sans Serif"/>
          <w:b/>
          <w:bCs/>
          <w:shd w:val="clear" w:color="auto" w:fill="FFFFFF"/>
        </w:rPr>
        <w:t>,</w:t>
      </w:r>
      <w:r w:rsidR="003A21E2" w:rsidRPr="00620C5D">
        <w:rPr>
          <w:rFonts w:ascii="Book Antiqua" w:hAnsi="Book Antiqua" w:cs="Microsoft Sans Serif"/>
          <w:b/>
          <w:bCs/>
          <w:shd w:val="clear" w:color="auto" w:fill="FFFFFF"/>
        </w:rPr>
        <w:t xml:space="preserve"> do Código de Processo Penal</w:t>
      </w:r>
      <w:r w:rsidR="002C38E2" w:rsidRPr="00620C5D">
        <w:rPr>
          <w:rFonts w:ascii="Book Antiqua" w:hAnsi="Book Antiqua" w:cs="Microsoft Sans Serif"/>
          <w:b/>
          <w:bCs/>
          <w:shd w:val="clear" w:color="auto" w:fill="FFFFFF"/>
        </w:rPr>
        <w:t>, tendo a seção reunido para deliberação.</w:t>
      </w:r>
    </w:p>
    <w:p w14:paraId="68136072" w14:textId="77777777" w:rsidR="00E61DEF" w:rsidRPr="00620C5D" w:rsidRDefault="00E61DEF" w:rsidP="00E61DEF">
      <w:pPr>
        <w:spacing w:line="360" w:lineRule="auto"/>
        <w:jc w:val="both"/>
        <w:rPr>
          <w:rFonts w:ascii="Book Antiqua" w:hAnsi="Book Antiqua" w:cs="Microsoft Sans Serif"/>
          <w:b/>
          <w:bCs/>
        </w:rPr>
      </w:pPr>
    </w:p>
    <w:p w14:paraId="4A67F444" w14:textId="77777777" w:rsidR="003A21E2" w:rsidRPr="00620C5D" w:rsidRDefault="003A21E2" w:rsidP="00E61DEF">
      <w:pPr>
        <w:spacing w:line="360" w:lineRule="auto"/>
        <w:jc w:val="both"/>
        <w:rPr>
          <w:rFonts w:ascii="Book Antiqua" w:hAnsi="Book Antiqua" w:cs="Microsoft Sans Serif"/>
          <w:b/>
        </w:rPr>
      </w:pPr>
      <w:r w:rsidRPr="00620C5D">
        <w:rPr>
          <w:rFonts w:ascii="Book Antiqua" w:hAnsi="Book Antiqua" w:cs="Microsoft Sans Serif"/>
          <w:b/>
        </w:rPr>
        <w:t>II. FUNDAMENTAÇÃO</w:t>
      </w:r>
    </w:p>
    <w:p w14:paraId="1112C267" w14:textId="77777777" w:rsidR="003B61EB" w:rsidRPr="00620C5D" w:rsidRDefault="003B61EB" w:rsidP="00EA3101">
      <w:pPr>
        <w:pStyle w:val="PargrafodaLista"/>
        <w:shd w:val="clear" w:color="auto" w:fill="FFFFFF"/>
        <w:spacing w:line="360" w:lineRule="auto"/>
        <w:jc w:val="both"/>
        <w:rPr>
          <w:rFonts w:ascii="Book Antiqua" w:hAnsi="Book Antiqua" w:cs="Microsoft Sans Serif"/>
          <w:b/>
          <w:i/>
          <w:iCs/>
          <w:lang w:val="pt-BR"/>
        </w:rPr>
      </w:pPr>
    </w:p>
    <w:p w14:paraId="17B899E6" w14:textId="77777777" w:rsidR="00182B10" w:rsidRPr="00EE2FC8" w:rsidRDefault="004F73CC" w:rsidP="00182B10">
      <w:pPr>
        <w:kinsoku w:val="0"/>
        <w:overflowPunct w:val="0"/>
        <w:spacing w:line="360" w:lineRule="auto"/>
        <w:jc w:val="both"/>
        <w:textAlignment w:val="baseline"/>
        <w:rPr>
          <w:rFonts w:ascii="Book Antiqua" w:hAnsi="Book Antiqua" w:cs="Microsoft Sans Serif"/>
          <w:lang w:val="pt-BR" w:eastAsia="pt-BR"/>
        </w:rPr>
      </w:pPr>
      <w:r w:rsidRPr="00EE2FC8">
        <w:rPr>
          <w:rFonts w:ascii="Book Antiqua" w:hAnsi="Book Antiqua" w:cs="Microsoft Sans Serif"/>
          <w:lang w:val="pt-BR" w:eastAsia="pt-BR"/>
        </w:rPr>
        <w:t xml:space="preserve">1. </w:t>
      </w:r>
      <w:r w:rsidR="001625A8" w:rsidRPr="00EE2FC8">
        <w:rPr>
          <w:rFonts w:ascii="Book Antiqua" w:hAnsi="Book Antiqua" w:cs="Microsoft Sans Serif"/>
          <w:lang w:val="pt-BR" w:eastAsia="pt-BR"/>
        </w:rPr>
        <w:t>R</w:t>
      </w:r>
      <w:r w:rsidR="00182B10" w:rsidRPr="00EE2FC8">
        <w:rPr>
          <w:rFonts w:ascii="Book Antiqua" w:hAnsi="Book Antiqua" w:cs="Microsoft Sans Serif"/>
          <w:lang w:val="pt-BR" w:eastAsia="pt-BR"/>
        </w:rPr>
        <w:t>esultam apurados os seguintes factos e ocorrências processuais, com relevância para a decisão da providência requerida:</w:t>
      </w:r>
    </w:p>
    <w:p w14:paraId="1FF4D40A" w14:textId="77777777" w:rsidR="006D6787" w:rsidRPr="00963AB3" w:rsidRDefault="00182B10" w:rsidP="00182B10">
      <w:pPr>
        <w:pStyle w:val="PargrafodaLista"/>
        <w:numPr>
          <w:ilvl w:val="0"/>
          <w:numId w:val="1"/>
        </w:numPr>
        <w:spacing w:line="360" w:lineRule="auto"/>
        <w:jc w:val="both"/>
        <w:rPr>
          <w:rFonts w:ascii="Book Antiqua" w:hAnsi="Book Antiqua"/>
        </w:rPr>
      </w:pPr>
      <w:bookmarkStart w:id="2" w:name="_Hlk86132700"/>
      <w:r w:rsidRPr="00963AB3">
        <w:rPr>
          <w:rFonts w:ascii="Book Antiqua" w:hAnsi="Book Antiqua"/>
        </w:rPr>
        <w:t>o requerente</w:t>
      </w:r>
      <w:r w:rsidR="00C85339" w:rsidRPr="00963AB3">
        <w:rPr>
          <w:rFonts w:ascii="Book Antiqua" w:hAnsi="Book Antiqua"/>
        </w:rPr>
        <w:t>,</w:t>
      </w:r>
      <w:r w:rsidRPr="00963AB3">
        <w:rPr>
          <w:rFonts w:ascii="Book Antiqua" w:hAnsi="Book Antiqua"/>
        </w:rPr>
        <w:t xml:space="preserve"> </w:t>
      </w:r>
      <w:r w:rsidR="006D6787" w:rsidRPr="00963AB3">
        <w:rPr>
          <w:rFonts w:ascii="Book Antiqua" w:hAnsi="Book Antiqua"/>
        </w:rPr>
        <w:t xml:space="preserve">foi </w:t>
      </w:r>
      <w:r w:rsidR="00C85339" w:rsidRPr="00963AB3">
        <w:rPr>
          <w:rFonts w:ascii="Book Antiqua" w:hAnsi="Book Antiqua" w:cs="Microsoft Sans Serif"/>
        </w:rPr>
        <w:t xml:space="preserve">declarado </w:t>
      </w:r>
      <w:r w:rsidR="00C85339" w:rsidRPr="00963AB3">
        <w:rPr>
          <w:rFonts w:ascii="Book Antiqua" w:hAnsi="Book Antiqua"/>
        </w:rPr>
        <w:t>inimputável (no momento da prática dos factos) e perigoso</w:t>
      </w:r>
      <w:r w:rsidR="006D6787" w:rsidRPr="00963AB3">
        <w:rPr>
          <w:rFonts w:ascii="Book Antiqua" w:hAnsi="Book Antiqua"/>
        </w:rPr>
        <w:t>;</w:t>
      </w:r>
    </w:p>
    <w:p w14:paraId="0E77420D" w14:textId="77777777" w:rsidR="00182B10" w:rsidRPr="00963AB3" w:rsidRDefault="00182B10" w:rsidP="00182B10">
      <w:pPr>
        <w:pStyle w:val="PargrafodaLista"/>
        <w:numPr>
          <w:ilvl w:val="0"/>
          <w:numId w:val="1"/>
        </w:numPr>
        <w:spacing w:line="360" w:lineRule="auto"/>
        <w:jc w:val="both"/>
        <w:rPr>
          <w:rFonts w:ascii="Book Antiqua" w:hAnsi="Book Antiqua"/>
        </w:rPr>
      </w:pPr>
      <w:r w:rsidRPr="00963AB3">
        <w:rPr>
          <w:rFonts w:ascii="Book Antiqua" w:hAnsi="Book Antiqua"/>
        </w:rPr>
        <w:t>encontra-se em cumprimento de medida de internamento, com a duração máxima de 10 anos e 8 meses e com o limite mínimo de 3 anos</w:t>
      </w:r>
      <w:r w:rsidR="00644988" w:rsidRPr="00963AB3">
        <w:rPr>
          <w:rFonts w:ascii="Book Antiqua" w:hAnsi="Book Antiqua"/>
        </w:rPr>
        <w:t xml:space="preserve">, </w:t>
      </w:r>
      <w:r w:rsidR="00B927EA">
        <w:rPr>
          <w:rFonts w:ascii="Book Antiqua" w:hAnsi="Book Antiqua"/>
        </w:rPr>
        <w:t>nos termos do</w:t>
      </w:r>
      <w:r w:rsidR="00963AB3" w:rsidRPr="00963AB3">
        <w:rPr>
          <w:rFonts w:ascii="Book Antiqua" w:hAnsi="Book Antiqua"/>
        </w:rPr>
        <w:t xml:space="preserve"> nº 2 do artigo 91º do CP</w:t>
      </w:r>
      <w:r w:rsidRPr="00963AB3">
        <w:rPr>
          <w:rFonts w:ascii="Book Antiqua" w:hAnsi="Book Antiqua"/>
        </w:rPr>
        <w:t xml:space="preserve">, pela prática de factos </w:t>
      </w:r>
      <w:r w:rsidR="004007C6">
        <w:rPr>
          <w:rFonts w:ascii="Book Antiqua" w:hAnsi="Book Antiqua"/>
        </w:rPr>
        <w:t>que correspondem a crime contra pessoa do</w:t>
      </w:r>
      <w:r w:rsidR="00C0576C">
        <w:rPr>
          <w:rFonts w:ascii="Book Antiqua" w:hAnsi="Book Antiqua"/>
        </w:rPr>
        <w:t>s</w:t>
      </w:r>
      <w:r w:rsidRPr="00963AB3">
        <w:rPr>
          <w:rFonts w:ascii="Book Antiqua" w:hAnsi="Book Antiqua"/>
        </w:rPr>
        <w:t xml:space="preserve"> artigo</w:t>
      </w:r>
      <w:r w:rsidR="00C0576C">
        <w:rPr>
          <w:rFonts w:ascii="Book Antiqua" w:hAnsi="Book Antiqua"/>
        </w:rPr>
        <w:t>s</w:t>
      </w:r>
      <w:r w:rsidRPr="00963AB3">
        <w:rPr>
          <w:rFonts w:ascii="Book Antiqua" w:hAnsi="Book Antiqua"/>
        </w:rPr>
        <w:t xml:space="preserve"> 131º</w:t>
      </w:r>
      <w:r w:rsidR="00C0576C">
        <w:rPr>
          <w:rFonts w:ascii="Book Antiqua" w:hAnsi="Book Antiqua"/>
        </w:rPr>
        <w:t xml:space="preserve"> e 22º, ambos do CP</w:t>
      </w:r>
      <w:r w:rsidRPr="00963AB3">
        <w:rPr>
          <w:rStyle w:val="Refdenotaderodap"/>
          <w:rFonts w:ascii="Book Antiqua" w:hAnsi="Book Antiqua"/>
        </w:rPr>
        <w:footnoteReference w:id="3"/>
      </w:r>
      <w:r w:rsidRPr="00963AB3">
        <w:rPr>
          <w:rFonts w:ascii="Book Antiqua" w:hAnsi="Book Antiqua"/>
        </w:rPr>
        <w:t xml:space="preserve">, conforme acórdão proferido pelo Supremo Tribunal de Justiça, transitado em julgado em 12.11.2021; </w:t>
      </w:r>
    </w:p>
    <w:p w14:paraId="432AE1E5" w14:textId="77777777" w:rsidR="00182B10" w:rsidRPr="00963AB3" w:rsidRDefault="00182B10" w:rsidP="00C57075">
      <w:pPr>
        <w:pStyle w:val="PargrafodaLista"/>
        <w:numPr>
          <w:ilvl w:val="0"/>
          <w:numId w:val="1"/>
        </w:numPr>
        <w:shd w:val="clear" w:color="auto" w:fill="FFFFFF"/>
        <w:spacing w:line="360" w:lineRule="auto"/>
        <w:jc w:val="both"/>
        <w:rPr>
          <w:rFonts w:ascii="Book Antiqua" w:hAnsi="Book Antiqua"/>
        </w:rPr>
      </w:pPr>
      <w:r w:rsidRPr="00963AB3">
        <w:rPr>
          <w:rFonts w:ascii="Book Antiqua" w:hAnsi="Book Antiqua" w:cs="Microsoft Sans Serif"/>
        </w:rPr>
        <w:t xml:space="preserve">o requerente </w:t>
      </w:r>
      <w:r w:rsidRPr="00963AB3">
        <w:rPr>
          <w:rFonts w:ascii="Book Antiqua" w:hAnsi="Book Antiqua"/>
        </w:rPr>
        <w:t>e</w:t>
      </w:r>
      <w:r w:rsidR="00C84A46" w:rsidRPr="00963AB3">
        <w:rPr>
          <w:rFonts w:ascii="Book Antiqua" w:hAnsi="Book Antiqua"/>
        </w:rPr>
        <w:t>stá</w:t>
      </w:r>
      <w:r w:rsidR="004007C6">
        <w:rPr>
          <w:rFonts w:ascii="Book Antiqua" w:hAnsi="Book Antiqua"/>
        </w:rPr>
        <w:t>,</w:t>
      </w:r>
      <w:r w:rsidR="00C84A46" w:rsidRPr="00963AB3">
        <w:rPr>
          <w:rFonts w:ascii="Book Antiqua" w:hAnsi="Book Antiqua"/>
        </w:rPr>
        <w:t xml:space="preserve"> </w:t>
      </w:r>
      <w:r w:rsidR="004007C6" w:rsidRPr="00963AB3">
        <w:rPr>
          <w:rFonts w:ascii="Book Antiqua" w:hAnsi="Book Antiqua"/>
        </w:rPr>
        <w:t>ininterruptamente</w:t>
      </w:r>
      <w:r w:rsidR="004007C6">
        <w:rPr>
          <w:rFonts w:ascii="Book Antiqua" w:hAnsi="Book Antiqua"/>
        </w:rPr>
        <w:t>,</w:t>
      </w:r>
      <w:r w:rsidR="004007C6" w:rsidRPr="00963AB3">
        <w:rPr>
          <w:rFonts w:ascii="Book Antiqua" w:hAnsi="Book Antiqua"/>
        </w:rPr>
        <w:t xml:space="preserve"> </w:t>
      </w:r>
      <w:r w:rsidR="00C84A46" w:rsidRPr="00963AB3">
        <w:rPr>
          <w:rFonts w:ascii="Book Antiqua" w:hAnsi="Book Antiqua"/>
        </w:rPr>
        <w:t xml:space="preserve">em reclusão </w:t>
      </w:r>
      <w:r w:rsidRPr="00963AB3">
        <w:rPr>
          <w:rFonts w:ascii="Book Antiqua" w:hAnsi="Book Antiqua"/>
        </w:rPr>
        <w:t>desde 4 de julho de 2019</w:t>
      </w:r>
      <w:r w:rsidR="004F73CC" w:rsidRPr="00963AB3">
        <w:rPr>
          <w:rFonts w:ascii="Book Antiqua" w:hAnsi="Book Antiqua"/>
        </w:rPr>
        <w:t>,</w:t>
      </w:r>
      <w:r w:rsidR="0067014A" w:rsidRPr="00963AB3">
        <w:rPr>
          <w:rFonts w:ascii="Book Antiqua" w:hAnsi="Book Antiqua"/>
        </w:rPr>
        <w:t xml:space="preserve"> no</w:t>
      </w:r>
      <w:r w:rsidRPr="00963AB3">
        <w:rPr>
          <w:rFonts w:ascii="Book Antiqua" w:hAnsi="Book Antiqua" w:cs="Microsoft Sans Serif"/>
        </w:rPr>
        <w:t xml:space="preserve"> Estabelecimento Prisional de Lisboa;</w:t>
      </w:r>
    </w:p>
    <w:p w14:paraId="5F28ECC0" w14:textId="77777777" w:rsidR="00182B10" w:rsidRPr="00963AB3" w:rsidRDefault="00AC6FBB" w:rsidP="00182B10">
      <w:pPr>
        <w:pStyle w:val="PargrafodaLista"/>
        <w:numPr>
          <w:ilvl w:val="0"/>
          <w:numId w:val="1"/>
        </w:numPr>
        <w:shd w:val="clear" w:color="auto" w:fill="FFFFFF"/>
        <w:spacing w:line="360" w:lineRule="auto"/>
        <w:jc w:val="both"/>
        <w:rPr>
          <w:rFonts w:ascii="Book Antiqua" w:hAnsi="Book Antiqua"/>
        </w:rPr>
      </w:pPr>
      <w:r w:rsidRPr="00963AB3">
        <w:rPr>
          <w:rFonts w:ascii="Book Antiqua" w:hAnsi="Book Antiqua"/>
        </w:rPr>
        <w:lastRenderedPageBreak/>
        <w:t xml:space="preserve">O </w:t>
      </w:r>
      <w:r w:rsidR="00182B10" w:rsidRPr="00963AB3">
        <w:rPr>
          <w:rFonts w:ascii="Book Antiqua" w:hAnsi="Book Antiqua"/>
        </w:rPr>
        <w:t xml:space="preserve">Tribunal solicitou à Direção Geral dos Serviços Prisionais </w:t>
      </w:r>
      <w:r w:rsidR="004F73CC" w:rsidRPr="00963AB3">
        <w:rPr>
          <w:rFonts w:ascii="Book Antiqua" w:hAnsi="Book Antiqua"/>
        </w:rPr>
        <w:t xml:space="preserve">a sua </w:t>
      </w:r>
      <w:r w:rsidR="00182B10" w:rsidRPr="00963AB3">
        <w:rPr>
          <w:rFonts w:ascii="Book Antiqua" w:hAnsi="Book Antiqua"/>
        </w:rPr>
        <w:t xml:space="preserve">transferência </w:t>
      </w:r>
      <w:r w:rsidR="001A11A0" w:rsidRPr="00963AB3">
        <w:rPr>
          <w:rFonts w:ascii="Book Antiqua" w:hAnsi="Book Antiqua"/>
        </w:rPr>
        <w:t>para estabelecimento adequado</w:t>
      </w:r>
      <w:r w:rsidR="00182B10" w:rsidRPr="00963AB3">
        <w:rPr>
          <w:rFonts w:ascii="Book Antiqua" w:hAnsi="Book Antiqua"/>
        </w:rPr>
        <w:t xml:space="preserve">, face a anterior requerimento do recluso; </w:t>
      </w:r>
    </w:p>
    <w:bookmarkEnd w:id="2"/>
    <w:p w14:paraId="400F646E" w14:textId="77777777" w:rsidR="004230DC" w:rsidRPr="00E42452" w:rsidRDefault="00E433ED" w:rsidP="004F73CC">
      <w:pPr>
        <w:pStyle w:val="PargrafodaLista"/>
        <w:numPr>
          <w:ilvl w:val="0"/>
          <w:numId w:val="1"/>
        </w:numPr>
        <w:spacing w:line="360" w:lineRule="auto"/>
        <w:jc w:val="both"/>
        <w:rPr>
          <w:rFonts w:ascii="Book Antiqua" w:hAnsi="Book Antiqua"/>
        </w:rPr>
      </w:pPr>
      <w:r w:rsidRPr="00E42452">
        <w:rPr>
          <w:rFonts w:ascii="Book Antiqua" w:hAnsi="Book Antiqua"/>
        </w:rPr>
        <w:t xml:space="preserve">Ao abrigo </w:t>
      </w:r>
      <w:r w:rsidR="0049270E" w:rsidRPr="00E42452">
        <w:rPr>
          <w:rFonts w:ascii="Book Antiqua" w:hAnsi="Book Antiqua"/>
        </w:rPr>
        <w:t>no nº3 do art</w:t>
      </w:r>
      <w:r w:rsidRPr="00E42452">
        <w:rPr>
          <w:rFonts w:ascii="Book Antiqua" w:hAnsi="Book Antiqua"/>
        </w:rPr>
        <w:t>igo</w:t>
      </w:r>
      <w:r w:rsidR="0049270E" w:rsidRPr="00E42452">
        <w:rPr>
          <w:rFonts w:ascii="Book Antiqua" w:hAnsi="Book Antiqua"/>
        </w:rPr>
        <w:t xml:space="preserve"> 93º</w:t>
      </w:r>
      <w:r w:rsidR="00D03533" w:rsidRPr="00E42452">
        <w:rPr>
          <w:rFonts w:ascii="Book Antiqua" w:hAnsi="Book Antiqua"/>
        </w:rPr>
        <w:t xml:space="preserve">, conjugado com o artigo </w:t>
      </w:r>
      <w:r w:rsidR="00C42185" w:rsidRPr="00E42452">
        <w:rPr>
          <w:rFonts w:ascii="Book Antiqua" w:hAnsi="Book Antiqua"/>
        </w:rPr>
        <w:t xml:space="preserve">91º nº </w:t>
      </w:r>
      <w:r w:rsidR="002D1214" w:rsidRPr="00E42452">
        <w:rPr>
          <w:rFonts w:ascii="Book Antiqua" w:hAnsi="Book Antiqua"/>
        </w:rPr>
        <w:t>2,</w:t>
      </w:r>
      <w:r w:rsidR="00C42185" w:rsidRPr="00E42452">
        <w:rPr>
          <w:rFonts w:ascii="Book Antiqua" w:hAnsi="Book Antiqua"/>
        </w:rPr>
        <w:t xml:space="preserve"> ambos do Código Penal, </w:t>
      </w:r>
      <w:r w:rsidR="0049270E" w:rsidRPr="00E42452">
        <w:rPr>
          <w:rFonts w:ascii="Book Antiqua" w:hAnsi="Book Antiqua"/>
        </w:rPr>
        <w:t xml:space="preserve">a primeira apreciação </w:t>
      </w:r>
      <w:r w:rsidR="006E4414" w:rsidRPr="00E42452">
        <w:rPr>
          <w:rFonts w:ascii="Book Antiqua" w:hAnsi="Book Antiqua"/>
        </w:rPr>
        <w:t xml:space="preserve">da situação do requerente </w:t>
      </w:r>
      <w:r w:rsidR="000C7176">
        <w:rPr>
          <w:rFonts w:ascii="Book Antiqua" w:hAnsi="Book Antiqua"/>
        </w:rPr>
        <w:t xml:space="preserve">deve </w:t>
      </w:r>
      <w:r w:rsidR="006E4414" w:rsidRPr="00E42452">
        <w:rPr>
          <w:rFonts w:ascii="Book Antiqua" w:hAnsi="Book Antiqua"/>
        </w:rPr>
        <w:t xml:space="preserve">ser realizada </w:t>
      </w:r>
      <w:r w:rsidR="007F492B" w:rsidRPr="00E42452">
        <w:rPr>
          <w:rFonts w:ascii="Book Antiqua" w:hAnsi="Book Antiqua"/>
        </w:rPr>
        <w:t xml:space="preserve">com observação do prazo mínimo </w:t>
      </w:r>
      <w:r w:rsidR="004230DC" w:rsidRPr="00E42452">
        <w:rPr>
          <w:rFonts w:ascii="Book Antiqua" w:hAnsi="Book Antiqua"/>
        </w:rPr>
        <w:t xml:space="preserve">da medida de internamento, </w:t>
      </w:r>
      <w:r w:rsidR="004230DC" w:rsidRPr="000C7176">
        <w:rPr>
          <w:rFonts w:ascii="Book Antiqua" w:hAnsi="Book Antiqua"/>
          <w:i/>
          <w:iCs/>
        </w:rPr>
        <w:t xml:space="preserve">in </w:t>
      </w:r>
      <w:proofErr w:type="spellStart"/>
      <w:r w:rsidR="004230DC" w:rsidRPr="000C7176">
        <w:rPr>
          <w:rFonts w:ascii="Book Antiqua" w:hAnsi="Book Antiqua"/>
          <w:i/>
          <w:iCs/>
        </w:rPr>
        <w:t>casu</w:t>
      </w:r>
      <w:proofErr w:type="spellEnd"/>
      <w:r w:rsidR="004230DC" w:rsidRPr="000C7176">
        <w:rPr>
          <w:rFonts w:ascii="Book Antiqua" w:hAnsi="Book Antiqua"/>
          <w:i/>
          <w:iCs/>
        </w:rPr>
        <w:t>,</w:t>
      </w:r>
      <w:r w:rsidR="004230DC" w:rsidRPr="00E42452">
        <w:rPr>
          <w:rFonts w:ascii="Book Antiqua" w:hAnsi="Book Antiqua"/>
        </w:rPr>
        <w:t xml:space="preserve"> de 3 anos</w:t>
      </w:r>
      <w:r w:rsidR="0050052F">
        <w:rPr>
          <w:rFonts w:ascii="Book Antiqua" w:hAnsi="Book Antiqua"/>
        </w:rPr>
        <w:t xml:space="preserve">, </w:t>
      </w:r>
      <w:r w:rsidR="00A24924">
        <w:rPr>
          <w:rFonts w:ascii="Book Antiqua" w:hAnsi="Book Antiqua"/>
        </w:rPr>
        <w:t>isto é,</w:t>
      </w:r>
      <w:r w:rsidR="0050052F">
        <w:rPr>
          <w:rFonts w:ascii="Book Antiqua" w:hAnsi="Book Antiqua"/>
        </w:rPr>
        <w:t xml:space="preserve"> até </w:t>
      </w:r>
      <w:r w:rsidR="0050052F" w:rsidRPr="00E42452">
        <w:rPr>
          <w:rFonts w:ascii="Book Antiqua" w:hAnsi="Book Antiqua"/>
        </w:rPr>
        <w:t>4 de julho de 2022</w:t>
      </w:r>
      <w:r w:rsidR="0050052F">
        <w:rPr>
          <w:rFonts w:ascii="Book Antiqua" w:hAnsi="Book Antiqua"/>
        </w:rPr>
        <w:t>.</w:t>
      </w:r>
      <w:r w:rsidR="004230DC" w:rsidRPr="00E42452">
        <w:rPr>
          <w:rFonts w:ascii="Book Antiqua" w:hAnsi="Book Antiqua"/>
        </w:rPr>
        <w:t>;</w:t>
      </w:r>
    </w:p>
    <w:p w14:paraId="298CB245" w14:textId="77777777" w:rsidR="003D53FE" w:rsidRPr="00446DA2" w:rsidRDefault="003D53FE" w:rsidP="00A56C9E">
      <w:pPr>
        <w:pStyle w:val="PargrafodaLista"/>
        <w:shd w:val="clear" w:color="auto" w:fill="FFFFFF"/>
        <w:autoSpaceDE w:val="0"/>
        <w:autoSpaceDN w:val="0"/>
        <w:adjustRightInd w:val="0"/>
        <w:spacing w:line="360" w:lineRule="auto"/>
        <w:jc w:val="both"/>
        <w:rPr>
          <w:rFonts w:ascii="Book Antiqua" w:eastAsia="Arial" w:hAnsi="Book Antiqua" w:cs="Calibri"/>
          <w:highlight w:val="yellow"/>
        </w:rPr>
      </w:pPr>
    </w:p>
    <w:p w14:paraId="159FC089" w14:textId="77777777" w:rsidR="004F73CC" w:rsidRPr="00620C5D" w:rsidRDefault="004F73CC" w:rsidP="004F73CC">
      <w:pPr>
        <w:kinsoku w:val="0"/>
        <w:overflowPunct w:val="0"/>
        <w:spacing w:line="360" w:lineRule="auto"/>
        <w:jc w:val="both"/>
        <w:textAlignment w:val="baseline"/>
        <w:rPr>
          <w:rFonts w:ascii="Book Antiqua" w:hAnsi="Book Antiqua" w:cs="Microsoft Sans Serif"/>
        </w:rPr>
      </w:pPr>
      <w:r>
        <w:rPr>
          <w:rFonts w:ascii="Book Antiqua" w:hAnsi="Book Antiqua" w:cs="Microsoft Sans Serif"/>
        </w:rPr>
        <w:t xml:space="preserve">2. </w:t>
      </w:r>
      <w:r w:rsidRPr="00620C5D">
        <w:rPr>
          <w:rFonts w:ascii="Book Antiqua" w:hAnsi="Book Antiqua" w:cs="Microsoft Sans Serif"/>
        </w:rPr>
        <w:t xml:space="preserve">A Constituição da República Portuguesa consagra o direito à liberdade pessoal, como direito fundamental que é, de aplicação direta e vincula todas as entidades públicas e privadas, sendo que a sua limitação, suspensão ou privação apenas opera nos casos e com as garantias aí previstas e na lei – artigos. 27º, nº 2 e 28º, da CRP, e artigo 5º da Convenção Europeia dos Direitos do Humanos. </w:t>
      </w:r>
    </w:p>
    <w:p w14:paraId="2CA9F57A" w14:textId="77777777" w:rsidR="004F73CC" w:rsidRPr="00620C5D" w:rsidRDefault="004F73CC" w:rsidP="004F73CC">
      <w:pPr>
        <w:kinsoku w:val="0"/>
        <w:overflowPunct w:val="0"/>
        <w:spacing w:line="360" w:lineRule="auto"/>
        <w:jc w:val="both"/>
        <w:textAlignment w:val="baseline"/>
        <w:rPr>
          <w:rFonts w:ascii="Book Antiqua" w:hAnsi="Book Antiqua"/>
          <w:i/>
        </w:rPr>
      </w:pPr>
      <w:r w:rsidRPr="00620C5D">
        <w:rPr>
          <w:rFonts w:ascii="Book Antiqua" w:hAnsi="Book Antiqua" w:cs="Microsoft Sans Serif"/>
        </w:rPr>
        <w:t xml:space="preserve">O artigo 31º, da Constituição da República Portuguesa, sob a epígrafe </w:t>
      </w:r>
      <w:r w:rsidRPr="00620C5D">
        <w:rPr>
          <w:rFonts w:ascii="Book Antiqua" w:hAnsi="Book Antiqua"/>
          <w:i/>
        </w:rPr>
        <w:t>“Habeas Corpus</w:t>
      </w:r>
      <w:r w:rsidRPr="00620C5D">
        <w:rPr>
          <w:rFonts w:ascii="Book Antiqua" w:hAnsi="Book Antiqua"/>
        </w:rPr>
        <w:t>”,</w:t>
      </w:r>
      <w:r w:rsidRPr="00620C5D">
        <w:rPr>
          <w:rFonts w:ascii="Book Antiqua" w:hAnsi="Book Antiqua" w:cs="Microsoft Sans Serif"/>
        </w:rPr>
        <w:t xml:space="preserve"> consagra no seu nº1 que </w:t>
      </w:r>
      <w:r w:rsidRPr="00620C5D">
        <w:rPr>
          <w:rFonts w:ascii="Book Antiqua" w:hAnsi="Book Antiqua"/>
          <w:i/>
        </w:rPr>
        <w:t>«Haverá habeas corpus contra o abuso de poder, por virtude de prisão ou detenção ilegal, a requerer perante o tribunal competente».</w:t>
      </w:r>
    </w:p>
    <w:p w14:paraId="0F3B1B85" w14:textId="77777777" w:rsidR="004F73CC" w:rsidRPr="00620C5D" w:rsidRDefault="004F73CC" w:rsidP="004F73CC">
      <w:pPr>
        <w:kinsoku w:val="0"/>
        <w:overflowPunct w:val="0"/>
        <w:spacing w:line="360" w:lineRule="auto"/>
        <w:jc w:val="both"/>
        <w:textAlignment w:val="baseline"/>
        <w:rPr>
          <w:rFonts w:ascii="Book Antiqua" w:hAnsi="Book Antiqua"/>
          <w:i/>
        </w:rPr>
      </w:pPr>
    </w:p>
    <w:p w14:paraId="699B7AC1" w14:textId="77777777" w:rsidR="004F73CC" w:rsidRPr="00620C5D" w:rsidRDefault="004F73CC" w:rsidP="004F73CC">
      <w:pPr>
        <w:pStyle w:val="NormalWeb"/>
        <w:shd w:val="clear" w:color="auto" w:fill="FFFFFF"/>
        <w:spacing w:before="0" w:beforeAutospacing="0" w:after="0" w:afterAutospacing="0" w:line="360" w:lineRule="auto"/>
        <w:jc w:val="both"/>
        <w:rPr>
          <w:rFonts w:ascii="Book Antiqua" w:hAnsi="Book Antiqua"/>
          <w:i/>
        </w:rPr>
      </w:pPr>
      <w:r w:rsidRPr="00620C5D">
        <w:rPr>
          <w:rFonts w:ascii="Book Antiqua" w:hAnsi="Book Antiqua" w:cs="Microsoft Sans Serif"/>
        </w:rPr>
        <w:t>Conforme entendimento do Supremo Tribunal de Justiça</w:t>
      </w:r>
      <w:r w:rsidRPr="00620C5D">
        <w:rPr>
          <w:rFonts w:ascii="Book Antiqua" w:hAnsi="Book Antiqua" w:cs="Microsoft Sans Serif"/>
          <w:i/>
        </w:rPr>
        <w:t xml:space="preserve"> </w:t>
      </w:r>
      <w:r w:rsidRPr="00620C5D">
        <w:rPr>
          <w:rFonts w:ascii="Book Antiqua" w:hAnsi="Book Antiqua"/>
          <w:i/>
        </w:rPr>
        <w:t>«É uma providência urgente e expedita, com uma celeridade incompatível com a prévia exaustação dos recursos ordinários e com a sua própria tramitação, destinada a responder a situações de gravidade extrema visando reagir, de modo imediato, contra a privação arbitrária da liberdade ou contra a manutenção de uma prisão manifestamente ilegal, ilegalidade essa que se deve configurar como violação direta, imediata, patente e grosseira dos seus pressupostos e das condições da sua aplicação.</w:t>
      </w:r>
    </w:p>
    <w:p w14:paraId="0CC13C39" w14:textId="77777777" w:rsidR="004F73CC" w:rsidRPr="00620C5D" w:rsidRDefault="004F73CC" w:rsidP="004F73CC">
      <w:pPr>
        <w:pStyle w:val="NormalWeb"/>
        <w:shd w:val="clear" w:color="auto" w:fill="FFFFFF"/>
        <w:spacing w:before="0" w:beforeAutospacing="0" w:after="0" w:afterAutospacing="0" w:line="360" w:lineRule="auto"/>
        <w:jc w:val="both"/>
        <w:rPr>
          <w:rFonts w:ascii="Book Antiqua" w:hAnsi="Book Antiqua"/>
          <w:i/>
        </w:rPr>
      </w:pPr>
      <w:r w:rsidRPr="00620C5D">
        <w:rPr>
          <w:rFonts w:ascii="Book Antiqua" w:hAnsi="Book Antiqua"/>
          <w:i/>
        </w:rPr>
        <w:t>“Sendo o único caso de garantia específica e extraordinária constitucionalmente prevista para a defesa de direitos fundamentais, o “</w:t>
      </w:r>
      <w:r w:rsidRPr="00620C5D">
        <w:rPr>
          <w:rFonts w:ascii="Book Antiqua" w:hAnsi="Book Antiqua"/>
          <w:i/>
          <w:iCs/>
        </w:rPr>
        <w:t xml:space="preserve">habeas corpus” </w:t>
      </w:r>
      <w:r w:rsidRPr="00620C5D">
        <w:rPr>
          <w:rFonts w:ascii="Book Antiqua" w:hAnsi="Book Antiqua"/>
          <w:i/>
        </w:rPr>
        <w:t xml:space="preserve">testemunha a especial </w:t>
      </w:r>
      <w:r w:rsidRPr="00620C5D">
        <w:rPr>
          <w:rFonts w:ascii="Book Antiqua" w:hAnsi="Book Antiqua"/>
          <w:i/>
        </w:rPr>
        <w:lastRenderedPageBreak/>
        <w:t xml:space="preserve">importância constitucional do direito à liberdade”. (JJ. Gomes Canotilho e Vital Moreira, CRP, </w:t>
      </w:r>
      <w:r w:rsidRPr="00620C5D">
        <w:rPr>
          <w:rFonts w:ascii="Book Antiqua" w:hAnsi="Book Antiqua"/>
          <w:i/>
          <w:iCs/>
        </w:rPr>
        <w:t>Constituição da República Portuguesa Anotada</w:t>
      </w:r>
      <w:r w:rsidRPr="00620C5D">
        <w:rPr>
          <w:rFonts w:ascii="Book Antiqua" w:hAnsi="Book Antiqua"/>
          <w:i/>
        </w:rPr>
        <w:t>, Artigo 1º a 107º, 4ª edição revista, volume I, Coimbra Editora, 2007, II, p. 508).</w:t>
      </w:r>
    </w:p>
    <w:p w14:paraId="6C2FFEB7" w14:textId="77777777" w:rsidR="004F73CC" w:rsidRPr="00620C5D" w:rsidRDefault="004F73CC" w:rsidP="004F73CC">
      <w:pPr>
        <w:pStyle w:val="NormalWeb"/>
        <w:shd w:val="clear" w:color="auto" w:fill="FFFFFF"/>
        <w:spacing w:before="0" w:beforeAutospacing="0" w:after="0" w:afterAutospacing="0" w:line="360" w:lineRule="auto"/>
        <w:jc w:val="both"/>
        <w:rPr>
          <w:rFonts w:ascii="Book Antiqua" w:hAnsi="Book Antiqua"/>
          <w:i/>
        </w:rPr>
      </w:pPr>
      <w:r w:rsidRPr="00620C5D">
        <w:rPr>
          <w:rFonts w:ascii="Book Antiqua" w:hAnsi="Book Antiqua"/>
          <w:i/>
        </w:rPr>
        <w:t>E escrevem os mesmos autores (</w:t>
      </w:r>
      <w:r w:rsidRPr="00620C5D">
        <w:rPr>
          <w:rFonts w:ascii="Book Antiqua" w:hAnsi="Book Antiqua"/>
          <w:i/>
          <w:iCs/>
        </w:rPr>
        <w:t>ibidem,</w:t>
      </w:r>
      <w:r w:rsidRPr="00620C5D">
        <w:rPr>
          <w:rFonts w:ascii="Book Antiqua" w:hAnsi="Book Antiqua"/>
          <w:i/>
        </w:rPr>
        <w:t xml:space="preserve"> V, p. 510): “(…) (1) a providência do “</w:t>
      </w:r>
      <w:r w:rsidRPr="00620C5D">
        <w:rPr>
          <w:rFonts w:ascii="Book Antiqua" w:hAnsi="Book Antiqua"/>
          <w:i/>
          <w:iCs/>
        </w:rPr>
        <w:t>habeas corpus</w:t>
      </w:r>
      <w:r w:rsidRPr="00620C5D">
        <w:rPr>
          <w:rFonts w:ascii="Book Antiqua" w:hAnsi="Book Antiqua"/>
          <w:i/>
        </w:rPr>
        <w:t>” é uma providência à margem do processo penal ordinário; (2) configura-se como um instituto processual constitucional específico com dimensões mistas de ação cautelar e de recurso judicial. (…)”</w:t>
      </w:r>
      <w:r w:rsidRPr="00620C5D">
        <w:rPr>
          <w:rStyle w:val="Refdenotaderodap"/>
          <w:rFonts w:ascii="Book Antiqua" w:hAnsi="Book Antiqua"/>
          <w:i/>
        </w:rPr>
        <w:footnoteReference w:id="4"/>
      </w:r>
    </w:p>
    <w:p w14:paraId="5B0CF594" w14:textId="77777777" w:rsidR="004F73CC" w:rsidRPr="00620C5D" w:rsidRDefault="004F73CC" w:rsidP="004F73CC">
      <w:pPr>
        <w:pStyle w:val="NormalWeb"/>
        <w:shd w:val="clear" w:color="auto" w:fill="FFFFFF"/>
        <w:spacing w:before="0" w:beforeAutospacing="0" w:after="0" w:afterAutospacing="0" w:line="360" w:lineRule="auto"/>
        <w:jc w:val="both"/>
        <w:rPr>
          <w:rFonts w:ascii="Book Antiqua" w:hAnsi="Book Antiqua" w:cs="Microsoft Sans Serif"/>
        </w:rPr>
      </w:pPr>
      <w:r w:rsidRPr="00620C5D">
        <w:rPr>
          <w:rFonts w:ascii="Book Antiqua" w:hAnsi="Book Antiqua" w:cs="Microsoft Sans Serif"/>
        </w:rPr>
        <w:t>Por seu turno, concluí o acórdão do STJ de 30NOV16:</w:t>
      </w:r>
    </w:p>
    <w:p w14:paraId="1B36175E" w14:textId="77777777" w:rsidR="004F73CC" w:rsidRPr="00620C5D" w:rsidRDefault="004F73CC" w:rsidP="004F73CC">
      <w:pPr>
        <w:pStyle w:val="NormalWeb"/>
        <w:shd w:val="clear" w:color="auto" w:fill="FFFFFF"/>
        <w:spacing w:before="0" w:beforeAutospacing="0" w:after="0" w:afterAutospacing="0" w:line="360" w:lineRule="auto"/>
        <w:jc w:val="both"/>
        <w:rPr>
          <w:rFonts w:ascii="Book Antiqua" w:hAnsi="Book Antiqua"/>
          <w:i/>
        </w:rPr>
      </w:pPr>
      <w:r w:rsidRPr="00620C5D">
        <w:rPr>
          <w:rFonts w:ascii="Book Antiqua" w:hAnsi="Book Antiqua"/>
          <w:i/>
        </w:rPr>
        <w:t xml:space="preserve">«Em suma: A previsão - e precisão - da providência, como garantia constitucional, não excluí, porém, a sua natureza específica, vocacionada para casos graves, anómalos, de privação de liberdade, como remédio de urgência perante ofensas graves à liberdade, traduzidas em abuso de poder, ou por serem ofensas </w:t>
      </w:r>
      <w:r w:rsidRPr="00620C5D">
        <w:rPr>
          <w:rFonts w:ascii="Book Antiqua" w:hAnsi="Book Antiqua"/>
          <w:i/>
          <w:iCs/>
        </w:rPr>
        <w:t xml:space="preserve">sine </w:t>
      </w:r>
      <w:proofErr w:type="spellStart"/>
      <w:r w:rsidRPr="00620C5D">
        <w:rPr>
          <w:rFonts w:ascii="Book Antiqua" w:hAnsi="Book Antiqua"/>
          <w:i/>
          <w:iCs/>
        </w:rPr>
        <w:t>lege</w:t>
      </w:r>
      <w:proofErr w:type="spellEnd"/>
      <w:r w:rsidRPr="00620C5D">
        <w:rPr>
          <w:rFonts w:ascii="Book Antiqua" w:hAnsi="Book Antiqua"/>
          <w:i/>
          <w:iCs/>
        </w:rPr>
        <w:t xml:space="preserve"> </w:t>
      </w:r>
      <w:r w:rsidRPr="00620C5D">
        <w:rPr>
          <w:rFonts w:ascii="Book Antiqua" w:hAnsi="Book Antiqua"/>
          <w:i/>
        </w:rPr>
        <w:t xml:space="preserve">ou, grosseiramente </w:t>
      </w:r>
      <w:r w:rsidRPr="00620C5D">
        <w:rPr>
          <w:rFonts w:ascii="Book Antiqua" w:hAnsi="Book Antiqua"/>
          <w:i/>
          <w:iCs/>
        </w:rPr>
        <w:t xml:space="preserve">contra </w:t>
      </w:r>
      <w:proofErr w:type="spellStart"/>
      <w:r w:rsidRPr="00620C5D">
        <w:rPr>
          <w:rFonts w:ascii="Book Antiqua" w:hAnsi="Book Antiqua"/>
          <w:i/>
          <w:iCs/>
        </w:rPr>
        <w:t>legem</w:t>
      </w:r>
      <w:proofErr w:type="spellEnd"/>
      <w:r w:rsidRPr="00620C5D">
        <w:rPr>
          <w:rFonts w:ascii="Book Antiqua" w:hAnsi="Book Antiqua"/>
          <w:i/>
          <w:iCs/>
        </w:rPr>
        <w:t>,</w:t>
      </w:r>
      <w:r w:rsidRPr="00620C5D">
        <w:rPr>
          <w:rFonts w:ascii="Book Antiqua" w:hAnsi="Book Antiqua"/>
          <w:i/>
        </w:rPr>
        <w:t xml:space="preserve"> traduzidas em violação direta, imediata, patente e grosseira dos pressupostos e das condições da aplicação da prisão, que se apresente como abuso de poder, concretizado em atentado ilegítimo à liberdade individual – grave, grosseiro e rapidamente verificável»</w:t>
      </w:r>
      <w:r w:rsidRPr="00620C5D">
        <w:rPr>
          <w:rStyle w:val="Refdenotaderodap"/>
          <w:rFonts w:ascii="Book Antiqua" w:hAnsi="Book Antiqua"/>
          <w:i/>
        </w:rPr>
        <w:footnoteReference w:id="5"/>
      </w:r>
      <w:r w:rsidRPr="00620C5D">
        <w:rPr>
          <w:rFonts w:ascii="Book Antiqua" w:hAnsi="Book Antiqua"/>
          <w:i/>
        </w:rPr>
        <w:t>.</w:t>
      </w:r>
    </w:p>
    <w:p w14:paraId="66703A08" w14:textId="77777777" w:rsidR="004F73CC" w:rsidRPr="00620C5D" w:rsidRDefault="004F73CC" w:rsidP="004F73CC">
      <w:pPr>
        <w:kinsoku w:val="0"/>
        <w:overflowPunct w:val="0"/>
        <w:spacing w:line="360" w:lineRule="auto"/>
        <w:jc w:val="both"/>
        <w:textAlignment w:val="baseline"/>
        <w:rPr>
          <w:rFonts w:ascii="Book Antiqua" w:hAnsi="Book Antiqua" w:cs="Microsoft Sans Serif"/>
        </w:rPr>
      </w:pPr>
    </w:p>
    <w:p w14:paraId="7A6F3692" w14:textId="77777777" w:rsidR="004F73CC" w:rsidRPr="00620C5D" w:rsidRDefault="004F73CC" w:rsidP="004F73CC">
      <w:pPr>
        <w:kinsoku w:val="0"/>
        <w:overflowPunct w:val="0"/>
        <w:spacing w:line="360" w:lineRule="auto"/>
        <w:jc w:val="both"/>
        <w:textAlignment w:val="baseline"/>
        <w:rPr>
          <w:rFonts w:ascii="Book Antiqua" w:hAnsi="Book Antiqua" w:cs="Microsoft Sans Serif"/>
          <w:lang w:val="pt-BR" w:eastAsia="pt-BR"/>
        </w:rPr>
      </w:pPr>
      <w:r w:rsidRPr="00620C5D">
        <w:rPr>
          <w:rFonts w:ascii="Book Antiqua" w:hAnsi="Book Antiqua" w:cs="Microsoft Sans Serif"/>
        </w:rPr>
        <w:t>Assim, em conformidade com os citados preceitos constitucionais, a</w:t>
      </w:r>
      <w:r w:rsidRPr="00620C5D">
        <w:rPr>
          <w:rFonts w:ascii="Book Antiqua" w:hAnsi="Book Antiqua" w:cs="Microsoft Sans Serif"/>
          <w:lang w:val="pt-BR" w:eastAsia="pt-BR"/>
        </w:rPr>
        <w:t xml:space="preserve"> providência de </w:t>
      </w:r>
      <w:r w:rsidRPr="00620C5D">
        <w:rPr>
          <w:rFonts w:ascii="Book Antiqua" w:hAnsi="Book Antiqua" w:cs="Microsoft Sans Serif"/>
          <w:i/>
          <w:iCs/>
          <w:lang w:val="pt-BR" w:eastAsia="pt-BR"/>
        </w:rPr>
        <w:t xml:space="preserve">habeas corpus </w:t>
      </w:r>
      <w:r w:rsidRPr="00620C5D">
        <w:rPr>
          <w:rFonts w:ascii="Book Antiqua" w:hAnsi="Book Antiqua" w:cs="Microsoft Sans Serif"/>
          <w:lang w:val="pt-BR" w:eastAsia="pt-BR"/>
        </w:rPr>
        <w:t xml:space="preserve">tem natureza excecional para proteger a liberdade individual, revestindo caráter extraordinário e urgente de </w:t>
      </w:r>
      <w:r w:rsidRPr="00620C5D">
        <w:rPr>
          <w:rFonts w:ascii="Book Antiqua" w:hAnsi="Book Antiqua" w:cs="Microsoft Sans Serif"/>
          <w:i/>
          <w:iCs/>
          <w:lang w:val="pt-BR" w:eastAsia="pt-BR"/>
        </w:rPr>
        <w:t xml:space="preserve">«medida expedita», </w:t>
      </w:r>
      <w:r w:rsidRPr="00620C5D">
        <w:rPr>
          <w:rFonts w:ascii="Book Antiqua" w:hAnsi="Book Antiqua" w:cs="Microsoft Sans Serif"/>
          <w:lang w:val="pt-BR" w:eastAsia="pt-BR"/>
        </w:rPr>
        <w:t xml:space="preserve">com a finalidade de rapidamente pôr termo a situações de ilegal privação de liberdade, decorrentes de ilegalidade de detenção ou de prisão, taxativamente enunciadas na lei. Em caso de detenção ilegal, nos casos previstos nas quatro alíneas do n.° 1 do artigo 220.° do CPP e, quanto ao </w:t>
      </w:r>
      <w:r w:rsidRPr="00620C5D">
        <w:rPr>
          <w:rFonts w:ascii="Book Antiqua" w:hAnsi="Book Antiqua" w:cs="Microsoft Sans Serif"/>
          <w:i/>
          <w:iCs/>
          <w:lang w:val="pt-BR" w:eastAsia="pt-BR"/>
        </w:rPr>
        <w:t xml:space="preserve">habeas corpus </w:t>
      </w:r>
      <w:r w:rsidRPr="00620C5D">
        <w:rPr>
          <w:rFonts w:ascii="Book Antiqua" w:hAnsi="Book Antiqua" w:cs="Microsoft Sans Serif"/>
          <w:lang w:val="pt-BR" w:eastAsia="pt-BR"/>
        </w:rPr>
        <w:t xml:space="preserve">em virtude de prisão ilegal, nas </w:t>
      </w:r>
      <w:r w:rsidRPr="00620C5D">
        <w:rPr>
          <w:rFonts w:ascii="Book Antiqua" w:hAnsi="Book Antiqua" w:cs="Microsoft Sans Serif"/>
          <w:lang w:val="pt-BR" w:eastAsia="pt-BR"/>
        </w:rPr>
        <w:lastRenderedPageBreak/>
        <w:t xml:space="preserve">situações extremas de abuso de poder ou erro grosseiro, patente, grave, na aplicação do direito, descritas nas três alíneas do n.° 2 do artigo 222.° do mesmo diploma legal. </w:t>
      </w:r>
      <w:r w:rsidRPr="00620C5D">
        <w:rPr>
          <w:rStyle w:val="Refdenotaderodap"/>
          <w:rFonts w:ascii="Book Antiqua" w:hAnsi="Book Antiqua" w:cs="Microsoft Sans Serif"/>
          <w:lang w:val="pt-BR" w:eastAsia="pt-BR"/>
        </w:rPr>
        <w:footnoteReference w:id="6"/>
      </w:r>
    </w:p>
    <w:p w14:paraId="27BF3D12" w14:textId="77777777" w:rsidR="004F73CC" w:rsidRPr="00620C5D" w:rsidRDefault="004F73CC" w:rsidP="004F73CC">
      <w:pPr>
        <w:kinsoku w:val="0"/>
        <w:overflowPunct w:val="0"/>
        <w:spacing w:line="360" w:lineRule="auto"/>
        <w:jc w:val="both"/>
        <w:textAlignment w:val="baseline"/>
        <w:rPr>
          <w:rFonts w:ascii="Book Antiqua" w:hAnsi="Book Antiqua" w:cs="Microsoft Sans Serif"/>
          <w:lang w:val="pt-BR" w:eastAsia="pt-BR"/>
        </w:rPr>
      </w:pPr>
    </w:p>
    <w:p w14:paraId="6E96ADCF" w14:textId="77777777" w:rsidR="004F73CC" w:rsidRPr="00620C5D" w:rsidRDefault="004F73CC" w:rsidP="004F73CC">
      <w:pPr>
        <w:autoSpaceDE w:val="0"/>
        <w:autoSpaceDN w:val="0"/>
        <w:adjustRightInd w:val="0"/>
        <w:spacing w:line="360" w:lineRule="auto"/>
        <w:jc w:val="both"/>
        <w:rPr>
          <w:rFonts w:ascii="Book Antiqua" w:eastAsia="Arial" w:hAnsi="Book Antiqua" w:cs="Microsoft Sans Serif"/>
          <w:color w:val="000000"/>
        </w:rPr>
      </w:pPr>
      <w:r w:rsidRPr="00620C5D">
        <w:rPr>
          <w:rFonts w:ascii="Book Antiqua" w:eastAsia="Arial" w:hAnsi="Book Antiqua" w:cs="Microsoft Sans Serif"/>
          <w:color w:val="000000"/>
        </w:rPr>
        <w:t>A jurisprudência do Supremo Tribunal</w:t>
      </w:r>
      <w:r w:rsidRPr="00620C5D">
        <w:rPr>
          <w:rFonts w:ascii="Book Antiqua" w:eastAsia="Arial" w:hAnsi="Book Antiqua" w:cs="Microsoft Sans Serif"/>
          <w:b/>
          <w:bCs/>
          <w:color w:val="000000"/>
        </w:rPr>
        <w:t xml:space="preserve"> </w:t>
      </w:r>
      <w:r w:rsidRPr="00620C5D">
        <w:rPr>
          <w:rFonts w:ascii="Book Antiqua" w:eastAsia="Arial" w:hAnsi="Book Antiqua" w:cs="Microsoft Sans Serif"/>
          <w:color w:val="000000"/>
        </w:rPr>
        <w:t>vai no sentido de que “</w:t>
      </w:r>
      <w:r w:rsidRPr="00620C5D">
        <w:rPr>
          <w:rFonts w:ascii="Book Antiqua" w:eastAsia="Arial" w:hAnsi="Book Antiqua" w:cs="Microsoft Sans Serif"/>
          <w:i/>
          <w:iCs/>
          <w:color w:val="000000"/>
        </w:rPr>
        <w:t xml:space="preserve">os fundamentos do «habeas corpus» são aqueles que se encontram </w:t>
      </w:r>
      <w:r w:rsidRPr="00620C5D">
        <w:rPr>
          <w:rFonts w:ascii="Book Antiqua" w:eastAsia="Arial" w:hAnsi="Book Antiqua" w:cs="Microsoft Sans Serif"/>
          <w:b/>
          <w:bCs/>
          <w:i/>
          <w:iCs/>
          <w:color w:val="000000"/>
        </w:rPr>
        <w:t xml:space="preserve">taxativamente </w:t>
      </w:r>
      <w:r w:rsidRPr="00620C5D">
        <w:rPr>
          <w:rFonts w:ascii="Book Antiqua" w:eastAsia="Arial" w:hAnsi="Book Antiqua" w:cs="Microsoft Sans Serif"/>
          <w:i/>
          <w:iCs/>
          <w:color w:val="000000"/>
        </w:rPr>
        <w:t>fixados na lei, não podendo esse expediente ser utilizado para a sindicância de outros motivos suscetíveis de pôr em causa a regularidade ou a legalidade da prisão”</w:t>
      </w:r>
      <w:r w:rsidRPr="00620C5D">
        <w:rPr>
          <w:rStyle w:val="Refdenotaderodap"/>
          <w:rFonts w:ascii="Book Antiqua" w:eastAsia="Arial" w:hAnsi="Book Antiqua" w:cs="Microsoft Sans Serif"/>
          <w:i/>
          <w:iCs/>
          <w:color w:val="000000"/>
        </w:rPr>
        <w:footnoteReference w:id="7"/>
      </w:r>
      <w:r w:rsidRPr="00620C5D">
        <w:rPr>
          <w:rFonts w:ascii="Book Antiqua" w:eastAsia="Arial" w:hAnsi="Book Antiqua" w:cs="Microsoft Sans Serif"/>
          <w:color w:val="000000"/>
        </w:rPr>
        <w:t xml:space="preserve"> e tem sublinhado que a providência de </w:t>
      </w:r>
      <w:r w:rsidRPr="00620C5D">
        <w:rPr>
          <w:rFonts w:ascii="Book Antiqua" w:eastAsia="Arial" w:hAnsi="Book Antiqua" w:cs="Microsoft Sans Serif"/>
          <w:i/>
          <w:iCs/>
          <w:color w:val="000000"/>
        </w:rPr>
        <w:t>habeas corpus</w:t>
      </w:r>
      <w:r w:rsidRPr="00620C5D">
        <w:rPr>
          <w:rFonts w:ascii="Book Antiqua" w:eastAsia="Arial" w:hAnsi="Book Antiqua" w:cs="Microsoft Sans Serif"/>
          <w:color w:val="000000"/>
        </w:rPr>
        <w:t xml:space="preserve"> constitui uma medida expedita perante ofensa grave à liberdade, com abuso de poder, sem lei ou contra a lei. </w:t>
      </w:r>
    </w:p>
    <w:p w14:paraId="24A8CC27" w14:textId="77777777" w:rsidR="004F73CC" w:rsidRPr="00620C5D" w:rsidRDefault="004F73CC" w:rsidP="004F73CC">
      <w:pPr>
        <w:autoSpaceDE w:val="0"/>
        <w:autoSpaceDN w:val="0"/>
        <w:adjustRightInd w:val="0"/>
        <w:spacing w:line="360" w:lineRule="auto"/>
        <w:jc w:val="both"/>
        <w:rPr>
          <w:rFonts w:ascii="Book Antiqua" w:eastAsia="Arial" w:hAnsi="Book Antiqua" w:cs="Microsoft Sans Serif"/>
          <w:color w:val="000000"/>
        </w:rPr>
      </w:pPr>
    </w:p>
    <w:p w14:paraId="7AACC9E2" w14:textId="77777777" w:rsidR="004F73CC" w:rsidRPr="00620C5D" w:rsidRDefault="004F73CC" w:rsidP="004F73CC">
      <w:pPr>
        <w:autoSpaceDE w:val="0"/>
        <w:autoSpaceDN w:val="0"/>
        <w:adjustRightInd w:val="0"/>
        <w:spacing w:line="360" w:lineRule="auto"/>
        <w:jc w:val="both"/>
        <w:rPr>
          <w:rFonts w:ascii="Book Antiqua" w:eastAsia="Arial" w:hAnsi="Book Antiqua" w:cs="Calibri"/>
          <w:color w:val="000000"/>
        </w:rPr>
      </w:pPr>
      <w:r w:rsidRPr="00620C5D">
        <w:rPr>
          <w:rFonts w:ascii="Book Antiqua" w:eastAsia="Arial" w:hAnsi="Book Antiqua" w:cs="Calibri"/>
          <w:color w:val="000000"/>
        </w:rPr>
        <w:t>Não constitui, portanto, um recurso sobre atos de um processo através dos quais é ordenada ou mantida a privação da liberdade do arguido, nem um sucedâneo dos recursos admissíveis, que são os meios adequados de impugnação das decisões judiciais. Esta providência não se destina a apreciar erros de direito e a formular juízos de mérito sobre decisões judiciais determinantes de privação da liberdade</w:t>
      </w:r>
      <w:r w:rsidRPr="00620C5D">
        <w:rPr>
          <w:rStyle w:val="Refdenotaderodap"/>
          <w:rFonts w:ascii="Book Antiqua" w:eastAsia="Arial" w:hAnsi="Book Antiqua" w:cs="Calibri"/>
          <w:color w:val="000000"/>
        </w:rPr>
        <w:footnoteReference w:id="8"/>
      </w:r>
      <w:r w:rsidRPr="00620C5D">
        <w:rPr>
          <w:rFonts w:ascii="Book Antiqua" w:eastAsia="Arial" w:hAnsi="Book Antiqua" w:cs="Calibri"/>
          <w:color w:val="000000"/>
        </w:rPr>
        <w:t xml:space="preserve">. </w:t>
      </w:r>
    </w:p>
    <w:p w14:paraId="47F70688" w14:textId="77777777" w:rsidR="004F73CC" w:rsidRPr="00620C5D" w:rsidRDefault="004F73CC" w:rsidP="004F73CC">
      <w:pPr>
        <w:autoSpaceDE w:val="0"/>
        <w:autoSpaceDN w:val="0"/>
        <w:adjustRightInd w:val="0"/>
        <w:spacing w:line="360" w:lineRule="auto"/>
        <w:rPr>
          <w:rFonts w:ascii="Book Antiqua" w:eastAsia="Arial" w:hAnsi="Book Antiqua" w:cs="Calibri"/>
          <w:color w:val="000000"/>
        </w:rPr>
      </w:pPr>
    </w:p>
    <w:p w14:paraId="6AC2765B" w14:textId="77777777" w:rsidR="004F73CC" w:rsidRPr="00620C5D" w:rsidRDefault="004F73CC" w:rsidP="004F73CC">
      <w:pPr>
        <w:autoSpaceDE w:val="0"/>
        <w:autoSpaceDN w:val="0"/>
        <w:adjustRightInd w:val="0"/>
        <w:spacing w:line="360" w:lineRule="auto"/>
        <w:jc w:val="both"/>
        <w:rPr>
          <w:rFonts w:ascii="Book Antiqua" w:eastAsia="Arial" w:hAnsi="Book Antiqua" w:cs="Calibri"/>
          <w:i/>
          <w:iCs/>
          <w:color w:val="000000"/>
        </w:rPr>
      </w:pPr>
      <w:r w:rsidRPr="00620C5D">
        <w:rPr>
          <w:rFonts w:ascii="Book Antiqua" w:eastAsia="Arial" w:hAnsi="Book Antiqua" w:cs="Calibri"/>
          <w:color w:val="000000"/>
        </w:rPr>
        <w:t>Como afirmou o Supremo Tribunal no seu Acórdão de 16 de dezembro de 2003, trata-se de “</w:t>
      </w:r>
      <w:r w:rsidRPr="00620C5D">
        <w:rPr>
          <w:rFonts w:ascii="Book Antiqua" w:eastAsia="Arial" w:hAnsi="Book Antiqua" w:cs="Calibri"/>
          <w:i/>
          <w:iCs/>
          <w:color w:val="000000"/>
        </w:rPr>
        <w:t xml:space="preserve">um processo que não é um recurso, mas uma providência </w:t>
      </w:r>
      <w:proofErr w:type="spellStart"/>
      <w:r w:rsidRPr="00620C5D">
        <w:rPr>
          <w:rFonts w:ascii="Book Antiqua" w:eastAsia="Arial" w:hAnsi="Book Antiqua" w:cs="Calibri"/>
          <w:i/>
          <w:iCs/>
          <w:color w:val="000000"/>
        </w:rPr>
        <w:t>excepcional</w:t>
      </w:r>
      <w:proofErr w:type="spellEnd"/>
      <w:r w:rsidRPr="00620C5D">
        <w:rPr>
          <w:rFonts w:ascii="Book Antiqua" w:eastAsia="Arial" w:hAnsi="Book Antiqua" w:cs="Calibri"/>
          <w:i/>
          <w:iCs/>
          <w:color w:val="000000"/>
        </w:rPr>
        <w:t xml:space="preserve"> destinada a pôr um fim expedito a situações de ilegalidade grosseira, aparente, ostensiva, indiscutível, fora de toda a dúvida, da prisão e, não, a toda e qualquer ilegalidade, essa sim, possível </w:t>
      </w:r>
      <w:proofErr w:type="spellStart"/>
      <w:r w:rsidRPr="00620C5D">
        <w:rPr>
          <w:rFonts w:ascii="Book Antiqua" w:eastAsia="Arial" w:hAnsi="Book Antiqua" w:cs="Calibri"/>
          <w:i/>
          <w:iCs/>
          <w:color w:val="000000"/>
        </w:rPr>
        <w:t>objecto</w:t>
      </w:r>
      <w:proofErr w:type="spellEnd"/>
      <w:r w:rsidRPr="00620C5D">
        <w:rPr>
          <w:rFonts w:ascii="Book Antiqua" w:eastAsia="Arial" w:hAnsi="Book Antiqua" w:cs="Calibri"/>
          <w:i/>
          <w:iCs/>
          <w:color w:val="000000"/>
        </w:rPr>
        <w:t xml:space="preserve"> de recurso ordinário e ou extraordinário. Processo </w:t>
      </w:r>
      <w:proofErr w:type="spellStart"/>
      <w:r w:rsidRPr="00620C5D">
        <w:rPr>
          <w:rFonts w:ascii="Book Antiqua" w:eastAsia="Arial" w:hAnsi="Book Antiqua" w:cs="Calibri"/>
          <w:i/>
          <w:iCs/>
          <w:color w:val="000000"/>
        </w:rPr>
        <w:t>excepcional</w:t>
      </w:r>
      <w:proofErr w:type="spellEnd"/>
      <w:r w:rsidRPr="00620C5D">
        <w:rPr>
          <w:rFonts w:ascii="Book Antiqua" w:eastAsia="Arial" w:hAnsi="Book Antiqua" w:cs="Calibri"/>
          <w:i/>
          <w:iCs/>
          <w:color w:val="000000"/>
        </w:rPr>
        <w:t xml:space="preserve"> de </w:t>
      </w:r>
      <w:r w:rsidRPr="00620C5D">
        <w:rPr>
          <w:rFonts w:ascii="Book Antiqua" w:eastAsia="Arial" w:hAnsi="Book Antiqua" w:cs="Calibri"/>
          <w:i/>
          <w:iCs/>
          <w:color w:val="000000"/>
        </w:rPr>
        <w:lastRenderedPageBreak/>
        <w:t>habeas corpus este, que, pelas impostas celeridade e simplicidade que o caracterizam, mais não pode almejar, pois, que a aplicação da lei a circunstâncias de facto já tornadas seguras e indiscutíveis (...)</w:t>
      </w:r>
    </w:p>
    <w:p w14:paraId="414370ED" w14:textId="77777777" w:rsidR="004F73CC" w:rsidRPr="00620C5D" w:rsidRDefault="004F73CC" w:rsidP="004F73CC">
      <w:pPr>
        <w:autoSpaceDE w:val="0"/>
        <w:autoSpaceDN w:val="0"/>
        <w:adjustRightInd w:val="0"/>
        <w:spacing w:line="360" w:lineRule="auto"/>
        <w:jc w:val="both"/>
        <w:rPr>
          <w:rFonts w:ascii="Book Antiqua" w:eastAsia="Arial" w:hAnsi="Book Antiqua" w:cs="Calibri"/>
          <w:i/>
          <w:iCs/>
          <w:color w:val="000000"/>
        </w:rPr>
      </w:pPr>
    </w:p>
    <w:p w14:paraId="53501534" w14:textId="77777777" w:rsidR="004F73CC" w:rsidRPr="00620C5D" w:rsidRDefault="004F73CC" w:rsidP="004F73CC">
      <w:pPr>
        <w:autoSpaceDE w:val="0"/>
        <w:autoSpaceDN w:val="0"/>
        <w:adjustRightInd w:val="0"/>
        <w:spacing w:line="360" w:lineRule="auto"/>
        <w:jc w:val="both"/>
        <w:rPr>
          <w:rFonts w:ascii="Book Antiqua" w:eastAsia="Arial" w:hAnsi="Book Antiqua" w:cs="Calibri"/>
          <w:color w:val="000000"/>
        </w:rPr>
      </w:pPr>
      <w:r w:rsidRPr="00620C5D">
        <w:rPr>
          <w:rFonts w:ascii="Book Antiqua" w:eastAsia="Arial" w:hAnsi="Book Antiqua" w:cs="Calibri"/>
          <w:color w:val="000000"/>
        </w:rPr>
        <w:t xml:space="preserve">A natureza sumária da decisão de </w:t>
      </w:r>
      <w:r w:rsidRPr="00620C5D">
        <w:rPr>
          <w:rFonts w:ascii="Book Antiqua" w:eastAsia="Arial" w:hAnsi="Book Antiqua" w:cs="Calibri"/>
          <w:i/>
          <w:iCs/>
          <w:color w:val="000000"/>
        </w:rPr>
        <w:t>habeas corpus</w:t>
      </w:r>
      <w:r w:rsidRPr="00620C5D">
        <w:rPr>
          <w:rFonts w:ascii="Book Antiqua" w:eastAsia="Arial" w:hAnsi="Book Antiqua" w:cs="Calibri"/>
          <w:color w:val="000000"/>
        </w:rPr>
        <w:t>, por outro lado, não se deve conjugar com a definição de questões suscetíveis de um tratamento dicotómico e em paridade de defensabilidade. É que</w:t>
      </w:r>
      <w:r w:rsidR="00134CE0">
        <w:rPr>
          <w:rFonts w:ascii="Book Antiqua" w:eastAsia="Arial" w:hAnsi="Book Antiqua" w:cs="Calibri"/>
          <w:color w:val="000000"/>
        </w:rPr>
        <w:t>,</w:t>
      </w:r>
      <w:r w:rsidRPr="00620C5D">
        <w:rPr>
          <w:rFonts w:ascii="Book Antiqua" w:eastAsia="Arial" w:hAnsi="Book Antiqua" w:cs="Calibri"/>
          <w:color w:val="000000"/>
        </w:rPr>
        <w:t xml:space="preserve"> em tal hipótese</w:t>
      </w:r>
      <w:r>
        <w:rPr>
          <w:rFonts w:ascii="Book Antiqua" w:eastAsia="Arial" w:hAnsi="Book Antiqua" w:cs="Calibri"/>
          <w:color w:val="000000"/>
        </w:rPr>
        <w:t>,</w:t>
      </w:r>
      <w:r w:rsidRPr="00620C5D">
        <w:rPr>
          <w:rFonts w:ascii="Book Antiqua" w:eastAsia="Arial" w:hAnsi="Book Antiqua" w:cs="Calibri"/>
          <w:color w:val="000000"/>
        </w:rPr>
        <w:t xml:space="preserve"> e como se acentua na decisão de 1 de fevereiro de 2007, o Supremo Tribunal de Justiça não se pode substituir, de ânimo leve, às instâncias, ou mesmo à sua própria eventual futura intervenção no caso, por via de recurso ordinário, e, sumariamente, ainda que de modo implícito, censurar aquelas por haverem levado a cabo alguma ilegalidade que, como se viu, importa que seja grosseira.</w:t>
      </w:r>
    </w:p>
    <w:p w14:paraId="424A5551" w14:textId="77777777" w:rsidR="004F73CC" w:rsidRDefault="004F73CC" w:rsidP="004F73CC">
      <w:pPr>
        <w:autoSpaceDE w:val="0"/>
        <w:autoSpaceDN w:val="0"/>
        <w:adjustRightInd w:val="0"/>
        <w:spacing w:line="360" w:lineRule="auto"/>
        <w:jc w:val="both"/>
        <w:rPr>
          <w:rFonts w:ascii="Book Antiqua" w:eastAsia="Arial" w:hAnsi="Book Antiqua" w:cs="Calibri"/>
          <w:color w:val="000000"/>
        </w:rPr>
      </w:pPr>
    </w:p>
    <w:p w14:paraId="38B7CDB5" w14:textId="77777777" w:rsidR="004F73CC" w:rsidRPr="00620C5D" w:rsidRDefault="004F73CC" w:rsidP="004F73CC">
      <w:pPr>
        <w:autoSpaceDE w:val="0"/>
        <w:autoSpaceDN w:val="0"/>
        <w:adjustRightInd w:val="0"/>
        <w:spacing w:line="360" w:lineRule="auto"/>
        <w:jc w:val="both"/>
        <w:rPr>
          <w:rFonts w:ascii="Book Antiqua" w:eastAsia="Arial" w:hAnsi="Book Antiqua" w:cs="Calibri"/>
          <w:color w:val="000000"/>
        </w:rPr>
      </w:pPr>
      <w:r w:rsidRPr="00620C5D">
        <w:rPr>
          <w:rFonts w:ascii="Book Antiqua" w:eastAsia="Arial" w:hAnsi="Book Antiqua" w:cs="Calibri"/>
          <w:color w:val="000000"/>
        </w:rPr>
        <w:t>É que, como continua a afirmar o Supremo Tribunal de Justiça “</w:t>
      </w:r>
      <w:r w:rsidRPr="00620C5D">
        <w:rPr>
          <w:rFonts w:ascii="Book Antiqua" w:eastAsia="Arial" w:hAnsi="Book Antiqua" w:cs="Calibri"/>
          <w:i/>
          <w:iCs/>
          <w:color w:val="000000"/>
        </w:rPr>
        <w:t xml:space="preserve">Atento o carácter extraordinário da providência, para que se desencadeie exame da situação de detenção ou prisão em sede de habeas corpus, há que deparar com abuso de poder, consubstanciador de atentado ilegítimo à liberdade individual – grave, grosseiro e rapidamente verificável – integrando uma das hipóteses previstas no </w:t>
      </w:r>
      <w:proofErr w:type="spellStart"/>
      <w:r w:rsidRPr="00620C5D">
        <w:rPr>
          <w:rFonts w:ascii="Book Antiqua" w:eastAsia="Arial" w:hAnsi="Book Antiqua" w:cs="Calibri"/>
          <w:i/>
          <w:iCs/>
          <w:color w:val="000000"/>
        </w:rPr>
        <w:t>art</w:t>
      </w:r>
      <w:proofErr w:type="spellEnd"/>
      <w:r w:rsidRPr="00620C5D">
        <w:rPr>
          <w:rFonts w:ascii="Book Antiqua" w:eastAsia="Arial" w:hAnsi="Book Antiqua" w:cs="Calibri"/>
          <w:i/>
          <w:iCs/>
          <w:color w:val="000000"/>
        </w:rPr>
        <w:t>. 222.º, n.º 2, do CPP”</w:t>
      </w:r>
      <w:r w:rsidRPr="00620C5D">
        <w:rPr>
          <w:rStyle w:val="Refdenotaderodap"/>
          <w:rFonts w:ascii="Book Antiqua" w:eastAsia="Arial" w:hAnsi="Book Antiqua" w:cs="Calibri"/>
          <w:i/>
          <w:iCs/>
          <w:color w:val="000000"/>
        </w:rPr>
        <w:footnoteReference w:id="9"/>
      </w:r>
      <w:r w:rsidRPr="00620C5D">
        <w:rPr>
          <w:rFonts w:ascii="Book Antiqua" w:eastAsia="Arial" w:hAnsi="Book Antiqua" w:cs="Calibri"/>
          <w:color w:val="000000"/>
        </w:rPr>
        <w:t xml:space="preserve">. </w:t>
      </w:r>
    </w:p>
    <w:p w14:paraId="133CDA6E" w14:textId="77777777" w:rsidR="004F73CC" w:rsidRPr="00620C5D" w:rsidRDefault="004F73CC" w:rsidP="004F73CC">
      <w:pPr>
        <w:autoSpaceDE w:val="0"/>
        <w:autoSpaceDN w:val="0"/>
        <w:adjustRightInd w:val="0"/>
        <w:spacing w:line="360" w:lineRule="auto"/>
        <w:rPr>
          <w:rFonts w:ascii="Book Antiqua" w:eastAsia="Arial" w:hAnsi="Book Antiqua" w:cs="Calibri"/>
          <w:color w:val="000000"/>
        </w:rPr>
      </w:pPr>
    </w:p>
    <w:p w14:paraId="2094761E" w14:textId="77777777" w:rsidR="004F73CC" w:rsidRPr="00620C5D" w:rsidRDefault="004F73CC" w:rsidP="004F73CC">
      <w:pPr>
        <w:kinsoku w:val="0"/>
        <w:overflowPunct w:val="0"/>
        <w:spacing w:line="360" w:lineRule="auto"/>
        <w:jc w:val="both"/>
        <w:textAlignment w:val="baseline"/>
        <w:rPr>
          <w:rFonts w:ascii="Book Antiqua" w:hAnsi="Book Antiqua" w:cs="Calibri"/>
        </w:rPr>
      </w:pPr>
      <w:r w:rsidRPr="00620C5D">
        <w:rPr>
          <w:rFonts w:ascii="Book Antiqua" w:hAnsi="Book Antiqua" w:cs="Calibri"/>
          <w:lang w:val="pt-BR" w:eastAsia="pt-BR"/>
        </w:rPr>
        <w:t xml:space="preserve">Acresce que, de acordo com o princípio da </w:t>
      </w:r>
      <w:r w:rsidRPr="00620C5D">
        <w:rPr>
          <w:rFonts w:ascii="Book Antiqua" w:hAnsi="Book Antiqua" w:cs="Calibri"/>
          <w:shd w:val="clear" w:color="auto" w:fill="FFFFFF"/>
        </w:rPr>
        <w:t>atualidade, é necessário que a ilegalidade da prisão seja atual, consubstanciando-se atualidade a reportada ao momento em que é necessário apreciar o pedido</w:t>
      </w:r>
      <w:r w:rsidRPr="00620C5D">
        <w:rPr>
          <w:rStyle w:val="Refdenotaderodap"/>
          <w:rFonts w:ascii="Book Antiqua" w:hAnsi="Book Antiqua" w:cs="Calibri"/>
          <w:shd w:val="clear" w:color="auto" w:fill="FFFFFF"/>
        </w:rPr>
        <w:footnoteReference w:id="10"/>
      </w:r>
      <w:r w:rsidRPr="00620C5D">
        <w:rPr>
          <w:rFonts w:ascii="Book Antiqua" w:hAnsi="Book Antiqua" w:cs="Calibri"/>
          <w:shd w:val="clear" w:color="auto" w:fill="FFFFFF"/>
        </w:rPr>
        <w:t xml:space="preserve">. </w:t>
      </w:r>
      <w:r w:rsidRPr="00620C5D">
        <w:rPr>
          <w:rFonts w:ascii="Book Antiqua" w:hAnsi="Book Antiqua" w:cs="Calibri"/>
        </w:rPr>
        <w:t xml:space="preserve">Tem sido unânime a Jurisprudência do Supremo Tribunal relativamente à exigência da verificação do pressuposto da atualidade da prisão ilegal. No Ac. de 18/07/2014 sustenta-se: </w:t>
      </w:r>
      <w:r w:rsidRPr="00620C5D">
        <w:rPr>
          <w:rFonts w:ascii="Book Antiqua" w:hAnsi="Book Antiqua" w:cs="Calibri"/>
        </w:rPr>
        <w:lastRenderedPageBreak/>
        <w:t>“</w:t>
      </w:r>
      <w:r w:rsidRPr="00620C5D">
        <w:rPr>
          <w:rFonts w:ascii="Book Antiqua" w:hAnsi="Book Antiqua" w:cs="Calibri"/>
          <w:i/>
          <w:iCs/>
        </w:rPr>
        <w:t xml:space="preserve">A procedência do pedido de habeas corpus pressupõe, além do mais, uma </w:t>
      </w:r>
      <w:proofErr w:type="spellStart"/>
      <w:r w:rsidRPr="00620C5D">
        <w:rPr>
          <w:rFonts w:ascii="Book Antiqua" w:hAnsi="Book Antiqua" w:cs="Calibri"/>
          <w:i/>
          <w:iCs/>
        </w:rPr>
        <w:t>actualidade</w:t>
      </w:r>
      <w:proofErr w:type="spellEnd"/>
      <w:r w:rsidRPr="00620C5D">
        <w:rPr>
          <w:rFonts w:ascii="Book Antiqua" w:hAnsi="Book Antiqua" w:cs="Calibri"/>
          <w:i/>
          <w:iCs/>
        </w:rPr>
        <w:t xml:space="preserve"> da ilegalidade da prisão aferida em relação ao tempo em que é apreciado aquele pedid</w:t>
      </w:r>
      <w:r w:rsidRPr="00620C5D">
        <w:rPr>
          <w:rFonts w:ascii="Book Antiqua" w:hAnsi="Book Antiqua" w:cs="Calibri"/>
        </w:rPr>
        <w:t>o”</w:t>
      </w:r>
      <w:r w:rsidRPr="00620C5D">
        <w:rPr>
          <w:rStyle w:val="Refdenotaderodap"/>
          <w:rFonts w:ascii="Book Antiqua" w:hAnsi="Book Antiqua" w:cs="Calibri"/>
        </w:rPr>
        <w:footnoteReference w:id="11"/>
      </w:r>
      <w:r w:rsidRPr="00620C5D">
        <w:rPr>
          <w:rFonts w:ascii="Book Antiqua" w:hAnsi="Book Antiqua" w:cs="Calibri"/>
        </w:rPr>
        <w:t xml:space="preserve"> </w:t>
      </w:r>
    </w:p>
    <w:p w14:paraId="02C91AD5" w14:textId="77777777" w:rsidR="004F73CC" w:rsidRPr="00620C5D" w:rsidRDefault="004F73CC" w:rsidP="004F73CC">
      <w:pPr>
        <w:kinsoku w:val="0"/>
        <w:overflowPunct w:val="0"/>
        <w:spacing w:line="360" w:lineRule="auto"/>
        <w:jc w:val="both"/>
        <w:textAlignment w:val="baseline"/>
        <w:rPr>
          <w:rFonts w:ascii="Book Antiqua" w:hAnsi="Book Antiqua" w:cs="Calibri"/>
          <w:lang w:eastAsia="pt-BR"/>
        </w:rPr>
      </w:pPr>
    </w:p>
    <w:p w14:paraId="7816FCD8" w14:textId="77777777" w:rsidR="004F73CC" w:rsidRPr="00620C5D" w:rsidRDefault="004F73CC" w:rsidP="004F73CC">
      <w:pPr>
        <w:spacing w:line="360" w:lineRule="auto"/>
        <w:jc w:val="both"/>
        <w:rPr>
          <w:rFonts w:ascii="Book Antiqua" w:hAnsi="Book Antiqua" w:cs="Microsoft Sans Serif"/>
        </w:rPr>
      </w:pPr>
      <w:r>
        <w:rPr>
          <w:rFonts w:ascii="Book Antiqua" w:hAnsi="Book Antiqua" w:cs="Calibri"/>
        </w:rPr>
        <w:t xml:space="preserve">Acresce que </w:t>
      </w:r>
      <w:r w:rsidRPr="00620C5D">
        <w:rPr>
          <w:rFonts w:ascii="Book Antiqua" w:hAnsi="Book Antiqua" w:cs="Microsoft Sans Serif"/>
        </w:rPr>
        <w:t xml:space="preserve">o direito à liberdade pessoal, como direito fundamental, é de aplicação direta e vincula todas as entidades públicas e privadas e a sua limitação, suspensão ou privação apenas opera nos casos e com as garantias da Constituição e da lei – artigos 27º, nº 2 e 28º, da CRP e artigo 5º, da Convenção Europeia dos Direitos do Humanos, não deixando, porém, também a Lei Fundamental de prever os casos de violação dos deveres a que os cidadãos estão adstritos ou as situações particulares decorrentes da prática de crimes. </w:t>
      </w:r>
    </w:p>
    <w:p w14:paraId="24EEF5C4" w14:textId="77777777" w:rsidR="004F73CC" w:rsidRPr="00620C5D" w:rsidRDefault="004F73CC" w:rsidP="004F73CC">
      <w:pPr>
        <w:spacing w:line="360" w:lineRule="auto"/>
        <w:jc w:val="both"/>
        <w:rPr>
          <w:rFonts w:ascii="Book Antiqua" w:hAnsi="Book Antiqua" w:cs="Microsoft Sans Serif"/>
        </w:rPr>
      </w:pPr>
    </w:p>
    <w:p w14:paraId="7E571E04" w14:textId="77777777" w:rsidR="004F73CC" w:rsidRPr="00620C5D" w:rsidRDefault="004F73CC" w:rsidP="004F73CC">
      <w:pPr>
        <w:spacing w:line="360" w:lineRule="auto"/>
        <w:jc w:val="both"/>
        <w:rPr>
          <w:rFonts w:ascii="Book Antiqua" w:hAnsi="Book Antiqua" w:cs="Calibri"/>
        </w:rPr>
      </w:pPr>
      <w:r w:rsidRPr="00620C5D">
        <w:rPr>
          <w:rFonts w:ascii="Book Antiqua" w:hAnsi="Book Antiqua" w:cs="Calibri"/>
        </w:rPr>
        <w:t>Já no que respeita à prisão ilegal,</w:t>
      </w:r>
      <w:r>
        <w:rPr>
          <w:rFonts w:ascii="Book Antiqua" w:hAnsi="Book Antiqua" w:cs="Calibri"/>
        </w:rPr>
        <w:t xml:space="preserve"> </w:t>
      </w:r>
      <w:r w:rsidRPr="00620C5D">
        <w:rPr>
          <w:rFonts w:ascii="Book Antiqua" w:hAnsi="Book Antiqua" w:cs="Calibri"/>
        </w:rPr>
        <w:t>sobre a epígrafe</w:t>
      </w:r>
      <w:r w:rsidRPr="00620C5D">
        <w:rPr>
          <w:rFonts w:ascii="Book Antiqua" w:hAnsi="Book Antiqua" w:cs="Calibri"/>
          <w:i/>
          <w:iCs/>
        </w:rPr>
        <w:t>,</w:t>
      </w:r>
      <w:r w:rsidRPr="00620C5D">
        <w:rPr>
          <w:rFonts w:ascii="Book Antiqua" w:hAnsi="Book Antiqua" w:cs="Calibri"/>
        </w:rPr>
        <w:t xml:space="preserve"> “</w:t>
      </w:r>
      <w:r w:rsidRPr="00620C5D">
        <w:rPr>
          <w:rFonts w:ascii="Book Antiqua" w:hAnsi="Book Antiqua" w:cs="Calibri"/>
          <w:i/>
          <w:iCs/>
        </w:rPr>
        <w:t>Habeas corpus em virtude de prisão ilegal”</w:t>
      </w:r>
      <w:r w:rsidRPr="00620C5D">
        <w:rPr>
          <w:rFonts w:ascii="Book Antiqua" w:hAnsi="Book Antiqua" w:cs="Calibri"/>
        </w:rPr>
        <w:t>, estabelece o artigo 222º nº 1 do CPP que o Supremo Tribunal de Justiça concede, sob petição, a providência a qualquer pessoa que se encontrar ilegalmente presa, estabelecendo o seu n.º 2 que a ilegalidade da prisão tem de decorrer de uma das seguintes circunstâncias:</w:t>
      </w:r>
    </w:p>
    <w:p w14:paraId="6F277A09" w14:textId="77777777" w:rsidR="004F73CC" w:rsidRPr="00620C5D" w:rsidRDefault="004F73CC" w:rsidP="004F73CC">
      <w:pPr>
        <w:pStyle w:val="NormalWeb"/>
        <w:shd w:val="clear" w:color="auto" w:fill="FFFFFF"/>
        <w:spacing w:line="360" w:lineRule="auto"/>
        <w:jc w:val="both"/>
        <w:rPr>
          <w:rFonts w:ascii="Book Antiqua" w:hAnsi="Book Antiqua" w:cs="Calibri"/>
          <w:i/>
          <w:iCs/>
        </w:rPr>
      </w:pPr>
      <w:r w:rsidRPr="00620C5D">
        <w:rPr>
          <w:rFonts w:ascii="Book Antiqua" w:hAnsi="Book Antiqua" w:cs="Calibri"/>
          <w:i/>
          <w:iCs/>
        </w:rPr>
        <w:t>a) Ter sido efetuada ou ordenada por entidade incompetente;</w:t>
      </w:r>
    </w:p>
    <w:p w14:paraId="58818B67" w14:textId="77777777" w:rsidR="004F73CC" w:rsidRPr="002C5A62" w:rsidRDefault="004F73CC" w:rsidP="004F73CC">
      <w:pPr>
        <w:pStyle w:val="NormalWeb"/>
        <w:shd w:val="clear" w:color="auto" w:fill="FFFFFF"/>
        <w:jc w:val="both"/>
        <w:rPr>
          <w:rFonts w:ascii="Book Antiqua" w:hAnsi="Book Antiqua" w:cs="Calibri"/>
          <w:i/>
          <w:iCs/>
        </w:rPr>
      </w:pPr>
      <w:r w:rsidRPr="002C5A62">
        <w:rPr>
          <w:rFonts w:ascii="Book Antiqua" w:hAnsi="Book Antiqua" w:cs="Calibri"/>
          <w:i/>
          <w:iCs/>
        </w:rPr>
        <w:t>b) Ser motivada por facto pelo qual a lei a não permite;</w:t>
      </w:r>
    </w:p>
    <w:p w14:paraId="7CCDCA0D" w14:textId="77777777" w:rsidR="004F73CC" w:rsidRDefault="004F73CC" w:rsidP="004F73CC">
      <w:pPr>
        <w:kinsoku w:val="0"/>
        <w:overflowPunct w:val="0"/>
        <w:spacing w:line="360" w:lineRule="auto"/>
        <w:jc w:val="both"/>
        <w:textAlignment w:val="baseline"/>
        <w:rPr>
          <w:rFonts w:ascii="Book Antiqua" w:hAnsi="Book Antiqua" w:cs="Calibri"/>
          <w:i/>
          <w:iCs/>
        </w:rPr>
      </w:pPr>
      <w:r w:rsidRPr="002C5A62">
        <w:rPr>
          <w:rFonts w:ascii="Book Antiqua" w:hAnsi="Book Antiqua" w:cs="Calibri"/>
          <w:i/>
          <w:iCs/>
        </w:rPr>
        <w:t>c) Manter-se para além dos prazos fixados pela lei ou por decisão judicial.</w:t>
      </w:r>
    </w:p>
    <w:p w14:paraId="7DCD5A8B" w14:textId="77777777" w:rsidR="00E73BEF" w:rsidRDefault="00E73BEF" w:rsidP="004F73CC">
      <w:pPr>
        <w:kinsoku w:val="0"/>
        <w:overflowPunct w:val="0"/>
        <w:spacing w:line="360" w:lineRule="auto"/>
        <w:jc w:val="both"/>
        <w:textAlignment w:val="baseline"/>
        <w:rPr>
          <w:rFonts w:ascii="Book Antiqua" w:hAnsi="Book Antiqua" w:cs="Calibri"/>
          <w:i/>
          <w:iCs/>
        </w:rPr>
      </w:pPr>
    </w:p>
    <w:p w14:paraId="4A177038" w14:textId="77777777" w:rsidR="009C0FA6" w:rsidRPr="000B3385" w:rsidRDefault="00DD15E5" w:rsidP="009C0FA6">
      <w:pPr>
        <w:spacing w:line="360" w:lineRule="auto"/>
        <w:jc w:val="both"/>
        <w:rPr>
          <w:rFonts w:ascii="Book Antiqua" w:hAnsi="Book Antiqua"/>
        </w:rPr>
      </w:pPr>
      <w:r w:rsidRPr="00C503C4">
        <w:rPr>
          <w:rFonts w:ascii="Book Antiqua" w:eastAsia="Arial" w:hAnsi="Book Antiqua" w:cs="Calibri"/>
        </w:rPr>
        <w:t xml:space="preserve">3. </w:t>
      </w:r>
      <w:r w:rsidR="00EB392E">
        <w:rPr>
          <w:rFonts w:ascii="Book Antiqua" w:eastAsia="Arial" w:hAnsi="Book Antiqua" w:cs="Calibri"/>
        </w:rPr>
        <w:t>Peticiona</w:t>
      </w:r>
      <w:r w:rsidR="009C0FA6" w:rsidRPr="00C503C4">
        <w:rPr>
          <w:rFonts w:ascii="Book Antiqua" w:hAnsi="Book Antiqua"/>
        </w:rPr>
        <w:t xml:space="preserve"> o requerente, que decorridos mais de dois meses desde o trânsito em julgado do Acórdão proferido</w:t>
      </w:r>
      <w:r w:rsidR="00FF0C94">
        <w:rPr>
          <w:rFonts w:ascii="Book Antiqua" w:hAnsi="Book Antiqua"/>
        </w:rPr>
        <w:t>,</w:t>
      </w:r>
      <w:r w:rsidR="009C0FA6" w:rsidRPr="00C503C4">
        <w:rPr>
          <w:rFonts w:ascii="Book Antiqua" w:hAnsi="Book Antiqua"/>
        </w:rPr>
        <w:t xml:space="preserve"> se encontra, ainda, preso no Estabelecimento Prisional de Lisboa, embora o tribunal tenha ordenado o seu internamento em </w:t>
      </w:r>
      <w:r w:rsidR="009C0FA6" w:rsidRPr="00C503C4">
        <w:rPr>
          <w:rFonts w:ascii="Book Antiqua" w:hAnsi="Book Antiqua"/>
        </w:rPr>
        <w:lastRenderedPageBreak/>
        <w:t>estabelecimento de cura, tratamento ou segurança, acrescentando</w:t>
      </w:r>
      <w:r w:rsidR="009B6721" w:rsidRPr="00C503C4">
        <w:rPr>
          <w:rFonts w:ascii="Book Antiqua" w:hAnsi="Book Antiqua"/>
        </w:rPr>
        <w:t xml:space="preserve"> que </w:t>
      </w:r>
      <w:r w:rsidR="009C0FA6" w:rsidRPr="00C503C4">
        <w:rPr>
          <w:rFonts w:ascii="Book Antiqua" w:hAnsi="Book Antiqua"/>
          <w:i/>
          <w:iCs/>
        </w:rPr>
        <w:t xml:space="preserve">“tendo o Acórdão que condenou o Arguido a uma medida de segurança de internamento, transitado em julgado há mais de dois meses, mostram-se ultrapassados os prazos máximos para que o mesmo se mantenha preso num Estabelecimento Prisional”, </w:t>
      </w:r>
      <w:r w:rsidR="009C0FA6" w:rsidRPr="00C503C4">
        <w:rPr>
          <w:rFonts w:ascii="Book Antiqua" w:hAnsi="Book Antiqua"/>
        </w:rPr>
        <w:t>termos</w:t>
      </w:r>
      <w:r w:rsidR="009C0FA6" w:rsidRPr="000B3385">
        <w:rPr>
          <w:rFonts w:ascii="Book Antiqua" w:hAnsi="Book Antiqua"/>
        </w:rPr>
        <w:t xml:space="preserve"> em que, através da presente providência, vem requerer que seja ordenada a sua imediata libertação porquanto a sua prisão é manifestamente ilegal, ou caso assim não se entenda, que se dignem ordenar a imediata transferência do arguido, para estabelecimento adequado.</w:t>
      </w:r>
    </w:p>
    <w:p w14:paraId="0038F993" w14:textId="77777777" w:rsidR="009C0FA6" w:rsidRDefault="009C0FA6" w:rsidP="009C0FA6">
      <w:pPr>
        <w:spacing w:line="360" w:lineRule="auto"/>
        <w:jc w:val="both"/>
        <w:rPr>
          <w:rFonts w:ascii="Book Antiqua" w:hAnsi="Book Antiqua" w:cs="Microsoft Sans Serif"/>
          <w:lang w:eastAsia="pt-BR"/>
        </w:rPr>
      </w:pPr>
    </w:p>
    <w:p w14:paraId="24CB3F17" w14:textId="77777777" w:rsidR="00ED1B9B" w:rsidRPr="000D4128" w:rsidRDefault="00ED1B9B" w:rsidP="00E32E08">
      <w:pPr>
        <w:autoSpaceDE w:val="0"/>
        <w:autoSpaceDN w:val="0"/>
        <w:adjustRightInd w:val="0"/>
        <w:spacing w:line="360" w:lineRule="auto"/>
        <w:jc w:val="both"/>
        <w:rPr>
          <w:rFonts w:ascii="Book Antiqua" w:eastAsia="Arial" w:hAnsi="Book Antiqua" w:cs="Calibri"/>
        </w:rPr>
      </w:pPr>
      <w:r w:rsidRPr="000D4128">
        <w:rPr>
          <w:rFonts w:ascii="Book Antiqua" w:eastAsia="Arial" w:hAnsi="Book Antiqua" w:cs="Calibri"/>
        </w:rPr>
        <w:t xml:space="preserve">Não assiste, porém, razão ao requerente. </w:t>
      </w:r>
    </w:p>
    <w:p w14:paraId="24402229" w14:textId="77777777" w:rsidR="00E73BEF" w:rsidRPr="00690F0F" w:rsidRDefault="00E73BEF" w:rsidP="00E73BEF">
      <w:pPr>
        <w:autoSpaceDE w:val="0"/>
        <w:autoSpaceDN w:val="0"/>
        <w:adjustRightInd w:val="0"/>
        <w:spacing w:line="360" w:lineRule="auto"/>
        <w:jc w:val="both"/>
        <w:rPr>
          <w:rFonts w:ascii="Book Antiqua" w:eastAsia="Arial" w:hAnsi="Book Antiqua" w:cs="Calibri"/>
        </w:rPr>
      </w:pPr>
    </w:p>
    <w:p w14:paraId="4B6B47B9" w14:textId="77777777" w:rsidR="00E73BEF" w:rsidRPr="001537E9" w:rsidRDefault="00E73BEF" w:rsidP="00E73BEF">
      <w:pPr>
        <w:autoSpaceDE w:val="0"/>
        <w:autoSpaceDN w:val="0"/>
        <w:adjustRightInd w:val="0"/>
        <w:spacing w:line="360" w:lineRule="auto"/>
        <w:jc w:val="both"/>
        <w:rPr>
          <w:rFonts w:ascii="Book Antiqua" w:hAnsi="Book Antiqua"/>
        </w:rPr>
      </w:pPr>
      <w:r w:rsidRPr="00690F0F">
        <w:rPr>
          <w:rFonts w:ascii="Book Antiqua" w:eastAsia="Arial" w:hAnsi="Book Antiqua" w:cs="Calibri"/>
        </w:rPr>
        <w:t>4. Da análise dos autos, não</w:t>
      </w:r>
      <w:r w:rsidR="00EC5150" w:rsidRPr="00690F0F">
        <w:rPr>
          <w:rFonts w:ascii="Book Antiqua" w:eastAsia="Arial" w:hAnsi="Book Antiqua" w:cs="Calibri"/>
        </w:rPr>
        <w:t xml:space="preserve"> resulta questionada </w:t>
      </w:r>
      <w:r w:rsidRPr="00690F0F">
        <w:rPr>
          <w:rFonts w:ascii="Book Antiqua" w:eastAsia="Arial" w:hAnsi="Book Antiqua" w:cs="Calibri"/>
        </w:rPr>
        <w:t>a competência da entidade que ordenou a sua privação d</w:t>
      </w:r>
      <w:r w:rsidR="00951C5F" w:rsidRPr="00690F0F">
        <w:rPr>
          <w:rFonts w:ascii="Book Antiqua" w:eastAsia="Arial" w:hAnsi="Book Antiqua" w:cs="Calibri"/>
        </w:rPr>
        <w:t>a</w:t>
      </w:r>
      <w:r w:rsidRPr="00690F0F">
        <w:rPr>
          <w:rFonts w:ascii="Book Antiqua" w:eastAsia="Arial" w:hAnsi="Book Antiqua" w:cs="Calibri"/>
        </w:rPr>
        <w:t xml:space="preserve"> liberdade - um tribunal</w:t>
      </w:r>
      <w:r w:rsidR="00EC5150" w:rsidRPr="00690F0F">
        <w:rPr>
          <w:rFonts w:ascii="Book Antiqua" w:eastAsia="Arial" w:hAnsi="Book Antiqua" w:cs="Calibri"/>
        </w:rPr>
        <w:t>,</w:t>
      </w:r>
      <w:r w:rsidRPr="00690F0F">
        <w:rPr>
          <w:rFonts w:ascii="Book Antiqua" w:eastAsia="Arial" w:hAnsi="Book Antiqua" w:cs="Calibri"/>
        </w:rPr>
        <w:t xml:space="preserve"> no âmbito de uma decisão judicial transitada em julgado (artigo 222º nº 2, al. a) do CPP</w:t>
      </w:r>
      <w:r w:rsidR="00EC5150" w:rsidRPr="00690F0F">
        <w:rPr>
          <w:rFonts w:ascii="Book Antiqua" w:eastAsia="Arial" w:hAnsi="Book Antiqua" w:cs="Calibri"/>
        </w:rPr>
        <w:t>; d</w:t>
      </w:r>
      <w:r w:rsidRPr="00690F0F">
        <w:rPr>
          <w:rFonts w:ascii="Book Antiqua" w:eastAsia="Arial" w:hAnsi="Book Antiqua" w:cs="Calibri"/>
        </w:rPr>
        <w:t xml:space="preserve">e igual modo é inegável que essa mesma privação da liberdade se encontra motivada </w:t>
      </w:r>
      <w:r w:rsidRPr="00690F0F">
        <w:rPr>
          <w:rFonts w:ascii="Book Antiqua" w:hAnsi="Book Antiqua" w:cs="Calibri"/>
        </w:rPr>
        <w:t>por facto pelo qual a lei a permite, conforme artigos 131º, 91º nº 2 e 92º nº 2, este do Código Penal e artigo 222º, nº 2 alínea b) do CPP</w:t>
      </w:r>
      <w:r w:rsidR="007C21FF" w:rsidRPr="00690F0F">
        <w:rPr>
          <w:rFonts w:ascii="Book Antiqua" w:hAnsi="Book Antiqua" w:cs="Calibri"/>
        </w:rPr>
        <w:t xml:space="preserve">; </w:t>
      </w:r>
      <w:r w:rsidRPr="00690F0F">
        <w:rPr>
          <w:rFonts w:ascii="Book Antiqua" w:hAnsi="Book Antiqua" w:cs="Calibri"/>
        </w:rPr>
        <w:t>igualmente s</w:t>
      </w:r>
      <w:r w:rsidRPr="00690F0F">
        <w:rPr>
          <w:rFonts w:ascii="Book Antiqua" w:eastAsia="Arial" w:hAnsi="Book Antiqua" w:cs="Calibri"/>
        </w:rPr>
        <w:t>e contém no prazo fixado na mesma decisão judicial - citado artigo 91º nº 2 do CP e artigo 222º, nº 2, alínea c) este igualmente do CPP.</w:t>
      </w:r>
    </w:p>
    <w:p w14:paraId="6DAB7353" w14:textId="77777777" w:rsidR="00E73BEF" w:rsidRDefault="00E73BEF" w:rsidP="00E73BEF">
      <w:pPr>
        <w:spacing w:line="360" w:lineRule="auto"/>
        <w:jc w:val="both"/>
        <w:rPr>
          <w:rFonts w:ascii="Book Antiqua" w:hAnsi="Book Antiqua" w:cs="Microsoft Sans Serif"/>
          <w:lang w:eastAsia="pt-BR"/>
        </w:rPr>
      </w:pPr>
    </w:p>
    <w:p w14:paraId="65741F4D" w14:textId="77777777" w:rsidR="00BD547B" w:rsidRDefault="005375C9" w:rsidP="00BD547B">
      <w:pPr>
        <w:pStyle w:val="NormalWeb"/>
        <w:shd w:val="clear" w:color="auto" w:fill="FFFFFF"/>
        <w:spacing w:line="360" w:lineRule="auto"/>
        <w:jc w:val="both"/>
        <w:rPr>
          <w:rFonts w:ascii="Book Antiqua" w:hAnsi="Book Antiqua" w:cs="Microsoft Sans Serif"/>
          <w:lang w:eastAsia="pt-BR"/>
        </w:rPr>
      </w:pPr>
      <w:r w:rsidRPr="00566B33">
        <w:rPr>
          <w:rFonts w:ascii="Book Antiqua" w:eastAsia="Arial" w:hAnsi="Book Antiqua" w:cs="Calibri"/>
        </w:rPr>
        <w:t xml:space="preserve">5. </w:t>
      </w:r>
      <w:r w:rsidR="00566B33">
        <w:rPr>
          <w:rFonts w:ascii="Book Antiqua" w:eastAsia="Arial" w:hAnsi="Book Antiqua" w:cs="Calibri"/>
        </w:rPr>
        <w:t>C</w:t>
      </w:r>
      <w:r w:rsidR="00BD547B" w:rsidRPr="00566B33">
        <w:rPr>
          <w:rFonts w:ascii="Book Antiqua" w:hAnsi="Book Antiqua" w:cs="Microsoft Sans Serif"/>
          <w:lang w:eastAsia="pt-BR"/>
        </w:rPr>
        <w:t>omo</w:t>
      </w:r>
      <w:r w:rsidR="00BD547B">
        <w:rPr>
          <w:rFonts w:ascii="Book Antiqua" w:hAnsi="Book Antiqua" w:cs="Microsoft Sans Serif"/>
          <w:lang w:eastAsia="pt-BR"/>
        </w:rPr>
        <w:t xml:space="preserve"> referido, o</w:t>
      </w:r>
      <w:r w:rsidR="00BD547B" w:rsidRPr="00E30074">
        <w:rPr>
          <w:rFonts w:ascii="Book Antiqua" w:hAnsi="Book Antiqua" w:cs="Microsoft Sans Serif"/>
          <w:lang w:eastAsia="pt-BR"/>
        </w:rPr>
        <w:t xml:space="preserve">s termos </w:t>
      </w:r>
      <w:r w:rsidR="00BD547B">
        <w:rPr>
          <w:rFonts w:ascii="Book Antiqua" w:hAnsi="Book Antiqua" w:cs="Microsoft Sans Serif"/>
          <w:lang w:eastAsia="pt-BR"/>
        </w:rPr>
        <w:t xml:space="preserve">como o artigo </w:t>
      </w:r>
      <w:r w:rsidR="00BD547B" w:rsidRPr="00E30074">
        <w:rPr>
          <w:rFonts w:ascii="Book Antiqua" w:hAnsi="Book Antiqua" w:cs="Microsoft Sans Serif"/>
          <w:lang w:eastAsia="pt-BR"/>
        </w:rPr>
        <w:t>222.º, n.º 2, do CPP</w:t>
      </w:r>
      <w:r w:rsidR="00BD547B">
        <w:rPr>
          <w:rFonts w:ascii="Book Antiqua" w:hAnsi="Book Antiqua" w:cs="Microsoft Sans Serif"/>
          <w:lang w:eastAsia="pt-BR"/>
        </w:rPr>
        <w:t xml:space="preserve"> se apresenta redigido, </w:t>
      </w:r>
      <w:r w:rsidR="00BD547B" w:rsidRPr="00E30074">
        <w:rPr>
          <w:rFonts w:ascii="Book Antiqua" w:hAnsi="Book Antiqua" w:cs="Microsoft Sans Serif"/>
          <w:lang w:eastAsia="pt-BR"/>
        </w:rPr>
        <w:t xml:space="preserve">não permitem qualquer outro fundamento, para além dos </w:t>
      </w:r>
      <w:r w:rsidR="00BD547B">
        <w:rPr>
          <w:rFonts w:ascii="Book Antiqua" w:hAnsi="Book Antiqua" w:cs="Microsoft Sans Serif"/>
          <w:lang w:eastAsia="pt-BR"/>
        </w:rPr>
        <w:t xml:space="preserve">três </w:t>
      </w:r>
      <w:r w:rsidR="00BD547B" w:rsidRPr="00E30074">
        <w:rPr>
          <w:rFonts w:ascii="Book Antiqua" w:hAnsi="Book Antiqua" w:cs="Microsoft Sans Serif"/>
          <w:lang w:eastAsia="pt-BR"/>
        </w:rPr>
        <w:t xml:space="preserve">taxativamente previstos, para a procedência do pedido de </w:t>
      </w:r>
      <w:r w:rsidR="00BD547B" w:rsidRPr="00E30074">
        <w:rPr>
          <w:rFonts w:ascii="Book Antiqua" w:hAnsi="Book Antiqua" w:cs="Microsoft Sans Serif"/>
          <w:i/>
          <w:iCs/>
          <w:lang w:eastAsia="pt-BR"/>
        </w:rPr>
        <w:t>habeas corpus</w:t>
      </w:r>
      <w:r w:rsidR="00BD547B" w:rsidRPr="00E30074">
        <w:rPr>
          <w:rFonts w:ascii="Book Antiqua" w:hAnsi="Book Antiqua" w:cs="Microsoft Sans Serif"/>
          <w:lang w:eastAsia="pt-BR"/>
        </w:rPr>
        <w:t>: a ilegalidade deve ser proveniente da prisão</w:t>
      </w:r>
      <w:r w:rsidR="00F06AF0">
        <w:rPr>
          <w:rFonts w:ascii="Book Antiqua" w:hAnsi="Book Antiqua" w:cs="Microsoft Sans Serif"/>
          <w:lang w:eastAsia="pt-BR"/>
        </w:rPr>
        <w:t>:</w:t>
      </w:r>
      <w:r w:rsidR="00BD547B" w:rsidRPr="00E30074">
        <w:rPr>
          <w:rFonts w:ascii="Book Antiqua" w:hAnsi="Book Antiqua" w:cs="Microsoft Sans Serif"/>
          <w:lang w:eastAsia="pt-BR"/>
        </w:rPr>
        <w:t xml:space="preserve"> i) ter sido ordenada ou efetuada por </w:t>
      </w:r>
      <w:r w:rsidR="00BD547B" w:rsidRPr="00E30074">
        <w:rPr>
          <w:rFonts w:ascii="Book Antiqua" w:hAnsi="Book Antiqua" w:cs="Microsoft Sans Serif"/>
          <w:lang w:eastAsia="pt-BR"/>
        </w:rPr>
        <w:lastRenderedPageBreak/>
        <w:t xml:space="preserve">entidade incompetente; </w:t>
      </w:r>
      <w:proofErr w:type="spellStart"/>
      <w:r w:rsidR="00BD547B" w:rsidRPr="00E30074">
        <w:rPr>
          <w:rFonts w:ascii="Book Antiqua" w:hAnsi="Book Antiqua" w:cs="Microsoft Sans Serif"/>
          <w:lang w:eastAsia="pt-BR"/>
        </w:rPr>
        <w:t>ii</w:t>
      </w:r>
      <w:proofErr w:type="spellEnd"/>
      <w:r w:rsidR="00BD547B" w:rsidRPr="00E30074">
        <w:rPr>
          <w:rFonts w:ascii="Book Antiqua" w:hAnsi="Book Antiqua" w:cs="Microsoft Sans Serif"/>
          <w:lang w:eastAsia="pt-BR"/>
        </w:rPr>
        <w:t xml:space="preserve">) ser motivada por facto pelo qual a lei não permite; </w:t>
      </w:r>
      <w:proofErr w:type="spellStart"/>
      <w:r w:rsidR="00BD547B" w:rsidRPr="00E30074">
        <w:rPr>
          <w:rFonts w:ascii="Book Antiqua" w:hAnsi="Book Antiqua" w:cs="Microsoft Sans Serif"/>
          <w:lang w:eastAsia="pt-BR"/>
        </w:rPr>
        <w:t>iii</w:t>
      </w:r>
      <w:proofErr w:type="spellEnd"/>
      <w:r w:rsidR="00BD547B" w:rsidRPr="00E30074">
        <w:rPr>
          <w:rFonts w:ascii="Book Antiqua" w:hAnsi="Book Antiqua" w:cs="Microsoft Sans Serif"/>
          <w:lang w:eastAsia="pt-BR"/>
        </w:rPr>
        <w:t>) manter-se para além dos prazos fixados pela lei ou por decisão judicial.</w:t>
      </w:r>
    </w:p>
    <w:p w14:paraId="32E1B965" w14:textId="77777777" w:rsidR="00811D5B" w:rsidRPr="00E30074" w:rsidRDefault="00811D5B" w:rsidP="00BD547B">
      <w:pPr>
        <w:pStyle w:val="NormalWeb"/>
        <w:shd w:val="clear" w:color="auto" w:fill="FFFFFF"/>
        <w:spacing w:line="360" w:lineRule="auto"/>
        <w:jc w:val="both"/>
        <w:rPr>
          <w:rFonts w:ascii="Book Antiqua" w:hAnsi="Book Antiqua" w:cs="Microsoft Sans Serif"/>
          <w:lang w:eastAsia="pt-BR"/>
        </w:rPr>
      </w:pPr>
    </w:p>
    <w:p w14:paraId="18922B2A" w14:textId="77777777" w:rsidR="00BD547B" w:rsidRDefault="00566B33" w:rsidP="00BD547B">
      <w:pPr>
        <w:pStyle w:val="NormalWeb"/>
        <w:shd w:val="clear" w:color="auto" w:fill="FFFFFF"/>
        <w:spacing w:line="360" w:lineRule="auto"/>
        <w:jc w:val="both"/>
        <w:rPr>
          <w:rFonts w:ascii="Book Antiqua" w:hAnsi="Book Antiqua" w:cs="Microsoft Sans Serif"/>
          <w:lang w:eastAsia="pt-BR"/>
        </w:rPr>
      </w:pPr>
      <w:r>
        <w:rPr>
          <w:rFonts w:ascii="Book Antiqua" w:hAnsi="Book Antiqua" w:cs="Microsoft Sans Serif"/>
          <w:lang w:eastAsia="pt-BR"/>
        </w:rPr>
        <w:t>6</w:t>
      </w:r>
      <w:r w:rsidR="00BD547B">
        <w:rPr>
          <w:rFonts w:ascii="Book Antiqua" w:hAnsi="Book Antiqua" w:cs="Microsoft Sans Serif"/>
          <w:lang w:eastAsia="pt-BR"/>
        </w:rPr>
        <w:t>. O</w:t>
      </w:r>
      <w:r w:rsidR="00BD547B" w:rsidRPr="00E30074">
        <w:rPr>
          <w:rFonts w:ascii="Book Antiqua" w:hAnsi="Book Antiqua" w:cs="Microsoft Sans Serif"/>
          <w:lang w:eastAsia="pt-BR"/>
        </w:rPr>
        <w:t xml:space="preserve"> requerente, no âmbito dos presentes autos, foi considerado inimputável e condenado a uma medida de segurança de internamento</w:t>
      </w:r>
      <w:r w:rsidR="00BD547B">
        <w:rPr>
          <w:rFonts w:ascii="Book Antiqua" w:hAnsi="Book Antiqua" w:cs="Microsoft Sans Serif"/>
          <w:lang w:eastAsia="pt-BR"/>
        </w:rPr>
        <w:t xml:space="preserve">, pelo que se </w:t>
      </w:r>
      <w:r w:rsidR="00BD547B" w:rsidRPr="00E30074">
        <w:rPr>
          <w:rFonts w:ascii="Book Antiqua" w:hAnsi="Book Antiqua" w:cs="Microsoft Sans Serif"/>
          <w:lang w:eastAsia="pt-BR"/>
        </w:rPr>
        <w:t>encontra em cumprimento de</w:t>
      </w:r>
      <w:r w:rsidR="00BD547B">
        <w:rPr>
          <w:rFonts w:ascii="Book Antiqua" w:hAnsi="Book Antiqua" w:cs="Microsoft Sans Serif"/>
          <w:lang w:eastAsia="pt-BR"/>
        </w:rPr>
        <w:t xml:space="preserve">ssa </w:t>
      </w:r>
      <w:r w:rsidR="00BD547B" w:rsidRPr="00E30074">
        <w:rPr>
          <w:rFonts w:ascii="Book Antiqua" w:hAnsi="Book Antiqua" w:cs="Microsoft Sans Serif"/>
          <w:lang w:eastAsia="pt-BR"/>
        </w:rPr>
        <w:t>medida de segurança</w:t>
      </w:r>
      <w:r w:rsidR="00BD547B">
        <w:rPr>
          <w:rFonts w:ascii="Book Antiqua" w:hAnsi="Book Antiqua" w:cs="Microsoft Sans Serif"/>
          <w:lang w:eastAsia="pt-BR"/>
        </w:rPr>
        <w:t>,</w:t>
      </w:r>
      <w:r w:rsidR="00BD547B" w:rsidRPr="00E30074">
        <w:rPr>
          <w:rFonts w:ascii="Book Antiqua" w:hAnsi="Book Antiqua" w:cs="Microsoft Sans Serif"/>
          <w:lang w:eastAsia="pt-BR"/>
        </w:rPr>
        <w:t xml:space="preserve"> </w:t>
      </w:r>
      <w:r w:rsidR="00B55694">
        <w:rPr>
          <w:rFonts w:ascii="Book Antiqua" w:hAnsi="Book Antiqua" w:cs="Microsoft Sans Serif"/>
          <w:lang w:eastAsia="pt-BR"/>
        </w:rPr>
        <w:t xml:space="preserve">cujo duração mínima de internamento </w:t>
      </w:r>
      <w:r w:rsidR="00FF6D66">
        <w:rPr>
          <w:rFonts w:ascii="Book Antiqua" w:hAnsi="Book Antiqua" w:cs="Microsoft Sans Serif"/>
          <w:lang w:eastAsia="pt-BR"/>
        </w:rPr>
        <w:t>de 3 anos</w:t>
      </w:r>
      <w:r w:rsidR="00BE5CC1">
        <w:rPr>
          <w:rFonts w:ascii="Book Antiqua" w:hAnsi="Book Antiqua" w:cs="Microsoft Sans Serif"/>
          <w:lang w:eastAsia="pt-BR"/>
        </w:rPr>
        <w:t xml:space="preserve">, </w:t>
      </w:r>
      <w:r w:rsidR="00B55694">
        <w:rPr>
          <w:rFonts w:ascii="Book Antiqua" w:hAnsi="Book Antiqua" w:cs="Microsoft Sans Serif"/>
          <w:lang w:eastAsia="pt-BR"/>
        </w:rPr>
        <w:t xml:space="preserve">se cumprirá </w:t>
      </w:r>
      <w:r w:rsidR="003B49B2">
        <w:rPr>
          <w:rFonts w:ascii="Book Antiqua" w:hAnsi="Book Antiqua" w:cs="Microsoft Sans Serif"/>
          <w:lang w:eastAsia="pt-BR"/>
        </w:rPr>
        <w:t xml:space="preserve">a </w:t>
      </w:r>
      <w:r w:rsidR="005D0E23" w:rsidRPr="005D0E23">
        <w:rPr>
          <w:rFonts w:ascii="Book Antiqua" w:hAnsi="Book Antiqua" w:cs="Microsoft Sans Serif"/>
          <w:b/>
          <w:bCs/>
          <w:lang w:eastAsia="pt-BR"/>
        </w:rPr>
        <w:t>4 de julho de 2022</w:t>
      </w:r>
      <w:r w:rsidR="00BE5CC1">
        <w:rPr>
          <w:rFonts w:ascii="Book Antiqua" w:hAnsi="Book Antiqua" w:cs="Microsoft Sans Serif"/>
          <w:b/>
          <w:bCs/>
          <w:lang w:eastAsia="pt-BR"/>
        </w:rPr>
        <w:t>.</w:t>
      </w:r>
      <w:r w:rsidR="00BD547B" w:rsidRPr="00E30074">
        <w:rPr>
          <w:rFonts w:ascii="Book Antiqua" w:hAnsi="Book Antiqua" w:cs="Microsoft Sans Serif"/>
          <w:lang w:eastAsia="pt-BR"/>
        </w:rPr>
        <w:t xml:space="preserve"> A medida de internamento pressupõe a privação de liberdade. O requerente aguarda em</w:t>
      </w:r>
      <w:r w:rsidR="00490FC1" w:rsidRPr="00E30074">
        <w:rPr>
          <w:rFonts w:ascii="Book Antiqua" w:hAnsi="Book Antiqua" w:cs="Microsoft Sans Serif"/>
          <w:lang w:eastAsia="pt-BR"/>
        </w:rPr>
        <w:t xml:space="preserve"> local inadequado</w:t>
      </w:r>
      <w:r w:rsidR="00490FC1">
        <w:rPr>
          <w:rFonts w:ascii="Book Antiqua" w:hAnsi="Book Antiqua" w:cs="Microsoft Sans Serif"/>
          <w:lang w:eastAsia="pt-BR"/>
        </w:rPr>
        <w:t xml:space="preserve">, ou </w:t>
      </w:r>
      <w:r w:rsidR="00374583">
        <w:rPr>
          <w:rFonts w:ascii="Book Antiqua" w:hAnsi="Book Antiqua" w:cs="Microsoft Sans Serif"/>
          <w:lang w:eastAsia="pt-BR"/>
        </w:rPr>
        <w:t xml:space="preserve">seja, em </w:t>
      </w:r>
      <w:r w:rsidR="00374583" w:rsidRPr="00E30074">
        <w:rPr>
          <w:rFonts w:ascii="Book Antiqua" w:hAnsi="Book Antiqua" w:cs="Microsoft Sans Serif"/>
          <w:lang w:eastAsia="pt-BR"/>
        </w:rPr>
        <w:t>Estabelecimento</w:t>
      </w:r>
      <w:r w:rsidR="002733A5">
        <w:rPr>
          <w:rFonts w:ascii="Book Antiqua" w:hAnsi="Book Antiqua" w:cs="Microsoft Sans Serif"/>
          <w:lang w:eastAsia="pt-BR"/>
        </w:rPr>
        <w:t xml:space="preserve"> </w:t>
      </w:r>
      <w:r w:rsidR="00BD547B" w:rsidRPr="00E30074">
        <w:rPr>
          <w:rFonts w:ascii="Book Antiqua" w:hAnsi="Book Antiqua" w:cs="Microsoft Sans Serif"/>
          <w:lang w:eastAsia="pt-BR"/>
        </w:rPr>
        <w:t>P</w:t>
      </w:r>
      <w:r w:rsidR="002733A5">
        <w:rPr>
          <w:rFonts w:ascii="Book Antiqua" w:hAnsi="Book Antiqua" w:cs="Microsoft Sans Serif"/>
          <w:lang w:eastAsia="pt-BR"/>
        </w:rPr>
        <w:t>risional</w:t>
      </w:r>
      <w:r w:rsidR="00BD547B" w:rsidRPr="00E30074">
        <w:rPr>
          <w:rFonts w:ascii="Book Antiqua" w:hAnsi="Book Antiqua" w:cs="Microsoft Sans Serif"/>
          <w:lang w:eastAsia="pt-BR"/>
        </w:rPr>
        <w:t xml:space="preserve">, a possibilidade de ser removido para Estabelecimento de Tratamento e Segurança, onde já devia estar internado. </w:t>
      </w:r>
      <w:r w:rsidR="00B7549F">
        <w:rPr>
          <w:rFonts w:ascii="Book Antiqua" w:hAnsi="Book Antiqua" w:cs="Microsoft Sans Serif"/>
          <w:lang w:eastAsia="pt-BR"/>
        </w:rPr>
        <w:t xml:space="preserve">Porém, </w:t>
      </w:r>
      <w:r w:rsidR="00BD547B" w:rsidRPr="00E30074">
        <w:rPr>
          <w:rFonts w:ascii="Book Antiqua" w:hAnsi="Book Antiqua" w:cs="Microsoft Sans Serif"/>
          <w:lang w:eastAsia="pt-BR"/>
        </w:rPr>
        <w:t xml:space="preserve">a </w:t>
      </w:r>
      <w:r w:rsidR="00B7549F">
        <w:rPr>
          <w:rFonts w:ascii="Book Antiqua" w:hAnsi="Book Antiqua" w:cs="Microsoft Sans Serif"/>
          <w:lang w:eastAsia="pt-BR"/>
        </w:rPr>
        <w:t xml:space="preserve">sua </w:t>
      </w:r>
      <w:r w:rsidR="00BD547B" w:rsidRPr="00E30074">
        <w:rPr>
          <w:rFonts w:ascii="Book Antiqua" w:hAnsi="Book Antiqua" w:cs="Microsoft Sans Serif"/>
          <w:lang w:eastAsia="pt-BR"/>
        </w:rPr>
        <w:t xml:space="preserve">situação não se encaixa em nenhuma das hipóteses de ilegalidade da prisão </w:t>
      </w:r>
      <w:r w:rsidR="00B7549F">
        <w:rPr>
          <w:rFonts w:ascii="Book Antiqua" w:hAnsi="Book Antiqua" w:cs="Microsoft Sans Serif"/>
          <w:lang w:eastAsia="pt-BR"/>
        </w:rPr>
        <w:t>contidas</w:t>
      </w:r>
      <w:r w:rsidR="00B7549F" w:rsidRPr="00E30074">
        <w:rPr>
          <w:rFonts w:ascii="Book Antiqua" w:hAnsi="Book Antiqua" w:cs="Microsoft Sans Serif"/>
          <w:lang w:eastAsia="pt-BR"/>
        </w:rPr>
        <w:t xml:space="preserve"> </w:t>
      </w:r>
      <w:r w:rsidR="00B7549F">
        <w:rPr>
          <w:rFonts w:ascii="Book Antiqua" w:hAnsi="Book Antiqua" w:cs="Microsoft Sans Serif"/>
          <w:lang w:eastAsia="pt-BR"/>
        </w:rPr>
        <w:t>no</w:t>
      </w:r>
      <w:r w:rsidR="00BD547B" w:rsidRPr="00E30074">
        <w:rPr>
          <w:rFonts w:ascii="Book Antiqua" w:hAnsi="Book Antiqua" w:cs="Microsoft Sans Serif"/>
          <w:lang w:eastAsia="pt-BR"/>
        </w:rPr>
        <w:t xml:space="preserve"> art</w:t>
      </w:r>
      <w:r w:rsidR="00B7549F">
        <w:rPr>
          <w:rFonts w:ascii="Book Antiqua" w:hAnsi="Book Antiqua" w:cs="Microsoft Sans Serif"/>
          <w:lang w:eastAsia="pt-BR"/>
        </w:rPr>
        <w:t>igo</w:t>
      </w:r>
      <w:r w:rsidR="00BD547B" w:rsidRPr="00E30074">
        <w:rPr>
          <w:rFonts w:ascii="Book Antiqua" w:hAnsi="Book Antiqua" w:cs="Microsoft Sans Serif"/>
          <w:lang w:eastAsia="pt-BR"/>
        </w:rPr>
        <w:t xml:space="preserve"> 222.º, n.º 2, do CPP.</w:t>
      </w:r>
      <w:r w:rsidR="00B7549F">
        <w:rPr>
          <w:rStyle w:val="Refdenotaderodap"/>
          <w:rFonts w:ascii="Book Antiqua" w:hAnsi="Book Antiqua" w:cs="Microsoft Sans Serif"/>
          <w:lang w:eastAsia="pt-BR"/>
        </w:rPr>
        <w:footnoteReference w:id="12"/>
      </w:r>
    </w:p>
    <w:p w14:paraId="0E45AFF4" w14:textId="77777777" w:rsidR="000642B1" w:rsidRPr="00E30074" w:rsidRDefault="000642B1" w:rsidP="00BD547B">
      <w:pPr>
        <w:pStyle w:val="NormalWeb"/>
        <w:shd w:val="clear" w:color="auto" w:fill="FFFFFF"/>
        <w:spacing w:line="360" w:lineRule="auto"/>
        <w:jc w:val="both"/>
        <w:rPr>
          <w:rFonts w:ascii="Book Antiqua" w:hAnsi="Book Antiqua" w:cs="Microsoft Sans Serif"/>
          <w:lang w:eastAsia="pt-BR"/>
        </w:rPr>
      </w:pPr>
    </w:p>
    <w:p w14:paraId="227BD206" w14:textId="77777777" w:rsidR="00EC52BA" w:rsidRDefault="002A18B5" w:rsidP="00C472BD">
      <w:pPr>
        <w:pStyle w:val="NormalWeb"/>
        <w:shd w:val="clear" w:color="auto" w:fill="FFFFFF"/>
        <w:spacing w:line="360" w:lineRule="auto"/>
        <w:jc w:val="both"/>
        <w:rPr>
          <w:rFonts w:ascii="Book Antiqua" w:hAnsi="Book Antiqua"/>
          <w:i/>
          <w:iCs/>
        </w:rPr>
      </w:pPr>
      <w:r>
        <w:rPr>
          <w:rFonts w:ascii="Book Antiqua" w:eastAsia="Arial" w:hAnsi="Book Antiqua" w:cs="Calibri"/>
        </w:rPr>
        <w:t>7</w:t>
      </w:r>
      <w:r w:rsidR="00A26E47" w:rsidRPr="002A18B5">
        <w:rPr>
          <w:rFonts w:ascii="Book Antiqua" w:eastAsia="Arial" w:hAnsi="Book Antiqua" w:cs="Calibri"/>
        </w:rPr>
        <w:t xml:space="preserve">. </w:t>
      </w:r>
      <w:r w:rsidR="00A26E47" w:rsidRPr="002A18B5">
        <w:rPr>
          <w:rFonts w:ascii="Book Antiqua" w:hAnsi="Book Antiqua"/>
        </w:rPr>
        <w:t>Como</w:t>
      </w:r>
      <w:r w:rsidR="00A26E47" w:rsidRPr="00D96F53">
        <w:rPr>
          <w:rFonts w:ascii="Book Antiqua" w:hAnsi="Book Antiqua"/>
        </w:rPr>
        <w:t xml:space="preserve"> se decidiu no Ac. STJ de 11/7/2019, Proc. 1609/18.1T9AMD-</w:t>
      </w:r>
      <w:proofErr w:type="gramStart"/>
      <w:r w:rsidR="00A26E47" w:rsidRPr="00D96F53">
        <w:rPr>
          <w:rFonts w:ascii="Book Antiqua" w:hAnsi="Book Antiqua"/>
        </w:rPr>
        <w:t>D.S</w:t>
      </w:r>
      <w:proofErr w:type="gramEnd"/>
      <w:r w:rsidR="00A26E47" w:rsidRPr="00D96F53">
        <w:rPr>
          <w:rFonts w:ascii="Book Antiqua" w:hAnsi="Book Antiqua"/>
        </w:rPr>
        <w:t xml:space="preserve">1, “ (…) </w:t>
      </w:r>
      <w:r w:rsidR="00A26E47" w:rsidRPr="00D96F53">
        <w:rPr>
          <w:rFonts w:ascii="Book Antiqua" w:hAnsi="Book Antiqua"/>
          <w:i/>
          <w:iCs/>
        </w:rPr>
        <w:t>À medida de segurança de internamento é aplicável, por analogia, a providência d</w:t>
      </w:r>
      <w:r w:rsidR="00A26E47">
        <w:rPr>
          <w:rFonts w:ascii="Book Antiqua" w:hAnsi="Book Antiqua"/>
          <w:i/>
          <w:iCs/>
        </w:rPr>
        <w:t xml:space="preserve">e </w:t>
      </w:r>
      <w:r w:rsidR="00A26E47" w:rsidRPr="00D96F53">
        <w:rPr>
          <w:rFonts w:ascii="Book Antiqua" w:hAnsi="Book Antiqua"/>
          <w:i/>
          <w:iCs/>
        </w:rPr>
        <w:t>habeas corpus.</w:t>
      </w:r>
      <w:r w:rsidR="00A26E47">
        <w:rPr>
          <w:rFonts w:ascii="Book Antiqua" w:hAnsi="Book Antiqua"/>
          <w:i/>
          <w:iCs/>
        </w:rPr>
        <w:t xml:space="preserve"> </w:t>
      </w:r>
      <w:r w:rsidR="00A26E47" w:rsidRPr="00D96F53">
        <w:rPr>
          <w:rFonts w:ascii="Book Antiqua" w:hAnsi="Book Antiqua"/>
          <w:i/>
          <w:iCs/>
        </w:rPr>
        <w:t>Não existe privação da liberdade ilegal quando o condenado se encontra num EP, após trânsito em julgado da decisão que o sujeitou a uma medida de segurança de internamento, que se encontra a cumprir, ainda que não em estabelecimento adequado por se aguardar a sua colocação</w:t>
      </w:r>
      <w:r w:rsidR="00A26E47" w:rsidRPr="00D96F53">
        <w:rPr>
          <w:rFonts w:ascii="Book Antiqua" w:hAnsi="Book Antiqua"/>
        </w:rPr>
        <w:t>”.</w:t>
      </w:r>
      <w:r w:rsidR="00A26E47">
        <w:rPr>
          <w:rStyle w:val="Refdenotaderodap"/>
          <w:rFonts w:ascii="Book Antiqua" w:hAnsi="Book Antiqua"/>
        </w:rPr>
        <w:footnoteReference w:id="13"/>
      </w:r>
      <w:r w:rsidR="00C472BD">
        <w:rPr>
          <w:rFonts w:ascii="Book Antiqua" w:hAnsi="Book Antiqua"/>
        </w:rPr>
        <w:t xml:space="preserve"> </w:t>
      </w:r>
      <w:r w:rsidR="00FD40AD" w:rsidRPr="00D96F53">
        <w:rPr>
          <w:rFonts w:ascii="Book Antiqua" w:hAnsi="Book Antiqua"/>
        </w:rPr>
        <w:t xml:space="preserve"> </w:t>
      </w:r>
      <w:r w:rsidR="00E02BB8" w:rsidRPr="00E02BB8">
        <w:rPr>
          <w:rFonts w:ascii="Book Antiqua" w:hAnsi="Book Antiqua"/>
        </w:rPr>
        <w:t>No mesmo sentido, acórdão d</w:t>
      </w:r>
      <w:r w:rsidR="00FD40AD" w:rsidRPr="00D96F53">
        <w:rPr>
          <w:rFonts w:ascii="Book Antiqua" w:hAnsi="Book Antiqua"/>
        </w:rPr>
        <w:t>o</w:t>
      </w:r>
      <w:r w:rsidR="00E02BB8" w:rsidRPr="00E02BB8">
        <w:rPr>
          <w:rFonts w:ascii="Book Antiqua" w:hAnsi="Book Antiqua"/>
        </w:rPr>
        <w:t xml:space="preserve"> Supremo Tribunal de 20/9/2017</w:t>
      </w:r>
      <w:r w:rsidR="00C472BD">
        <w:rPr>
          <w:rStyle w:val="Refdenotaderodap"/>
          <w:rFonts w:ascii="Book Antiqua" w:hAnsi="Book Antiqua"/>
        </w:rPr>
        <w:footnoteReference w:id="14"/>
      </w:r>
      <w:r w:rsidR="00E02BB8" w:rsidRPr="00E02BB8">
        <w:rPr>
          <w:rFonts w:ascii="Book Antiqua" w:hAnsi="Book Antiqua"/>
        </w:rPr>
        <w:t>,: “</w:t>
      </w:r>
      <w:r w:rsidR="00E02BB8" w:rsidRPr="00E02BB8">
        <w:rPr>
          <w:rFonts w:ascii="Book Antiqua" w:hAnsi="Book Antiqua"/>
          <w:i/>
          <w:iCs/>
        </w:rPr>
        <w:t xml:space="preserve">Para efeitos de providência de “habeas corpus” não se enquadra em </w:t>
      </w:r>
      <w:r w:rsidR="00E02BB8" w:rsidRPr="00E02BB8">
        <w:rPr>
          <w:rFonts w:ascii="Book Antiqua" w:hAnsi="Book Antiqua"/>
          <w:i/>
          <w:iCs/>
        </w:rPr>
        <w:lastRenderedPageBreak/>
        <w:t xml:space="preserve">qualquer das alíneas do n.º 2 do </w:t>
      </w:r>
      <w:proofErr w:type="spellStart"/>
      <w:r w:rsidR="00E02BB8" w:rsidRPr="00E02BB8">
        <w:rPr>
          <w:rFonts w:ascii="Book Antiqua" w:hAnsi="Book Antiqua"/>
          <w:i/>
          <w:iCs/>
        </w:rPr>
        <w:t>art</w:t>
      </w:r>
      <w:proofErr w:type="spellEnd"/>
      <w:r w:rsidR="00E02BB8" w:rsidRPr="00E02BB8">
        <w:rPr>
          <w:rFonts w:ascii="Book Antiqua" w:hAnsi="Book Antiqua"/>
          <w:i/>
          <w:iCs/>
        </w:rPr>
        <w:t>. 222.º, do CPP, que são de enumeração taxativa, a discordância do requerente - ao qual foi aplicada a medida de internamento em anexo psiquiátrico para tratamento e segurança – quanto ao lugar de cumprimento da medida que foi decretada pelo tribunal”</w:t>
      </w:r>
    </w:p>
    <w:p w14:paraId="181C9167" w14:textId="77777777" w:rsidR="00EC52BA" w:rsidRPr="00EC52BA" w:rsidRDefault="00EC52BA" w:rsidP="00EC52BA">
      <w:pPr>
        <w:pStyle w:val="Textodenotaderodap"/>
        <w:spacing w:line="360" w:lineRule="auto"/>
        <w:jc w:val="both"/>
        <w:rPr>
          <w:rFonts w:ascii="Book Antiqua" w:hAnsi="Book Antiqua"/>
          <w:i/>
          <w:iCs/>
          <w:sz w:val="24"/>
          <w:szCs w:val="24"/>
        </w:rPr>
      </w:pPr>
      <w:r w:rsidRPr="00EC52BA">
        <w:rPr>
          <w:rFonts w:ascii="Book Antiqua" w:hAnsi="Book Antiqua"/>
          <w:sz w:val="24"/>
          <w:szCs w:val="24"/>
          <w:shd w:val="clear" w:color="auto" w:fill="FFFFFF"/>
        </w:rPr>
        <w:t>Ainda no mesmo sentido, Ac. STJ de 21/8/2018, Proc. 187/13.2TBVZL-</w:t>
      </w:r>
      <w:proofErr w:type="gramStart"/>
      <w:r w:rsidRPr="00EC52BA">
        <w:rPr>
          <w:rFonts w:ascii="Book Antiqua" w:hAnsi="Book Antiqua"/>
          <w:sz w:val="24"/>
          <w:szCs w:val="24"/>
          <w:shd w:val="clear" w:color="auto" w:fill="FFFFFF"/>
        </w:rPr>
        <w:t>A.S</w:t>
      </w:r>
      <w:proofErr w:type="gramEnd"/>
      <w:r w:rsidRPr="00EC52BA">
        <w:rPr>
          <w:rFonts w:ascii="Book Antiqua" w:hAnsi="Book Antiqua"/>
          <w:sz w:val="24"/>
          <w:szCs w:val="24"/>
          <w:shd w:val="clear" w:color="auto" w:fill="FFFFFF"/>
        </w:rPr>
        <w:t>1: “</w:t>
      </w:r>
      <w:r w:rsidRPr="00EC52BA">
        <w:rPr>
          <w:rFonts w:ascii="Book Antiqua" w:hAnsi="Book Antiqua"/>
          <w:i/>
          <w:iCs/>
          <w:sz w:val="24"/>
          <w:szCs w:val="24"/>
          <w:shd w:val="clear" w:color="auto" w:fill="FFFFFF"/>
        </w:rPr>
        <w:t xml:space="preserve">O fundamento invocado da al. b) do n.º 2 do </w:t>
      </w:r>
      <w:proofErr w:type="spellStart"/>
      <w:r w:rsidRPr="00EC52BA">
        <w:rPr>
          <w:rFonts w:ascii="Book Antiqua" w:hAnsi="Book Antiqua"/>
          <w:i/>
          <w:iCs/>
          <w:sz w:val="24"/>
          <w:szCs w:val="24"/>
          <w:shd w:val="clear" w:color="auto" w:fill="FFFFFF"/>
        </w:rPr>
        <w:t>art</w:t>
      </w:r>
      <w:proofErr w:type="spellEnd"/>
      <w:r w:rsidRPr="00EC52BA">
        <w:rPr>
          <w:rFonts w:ascii="Book Antiqua" w:hAnsi="Book Antiqua"/>
          <w:i/>
          <w:iCs/>
          <w:sz w:val="24"/>
          <w:szCs w:val="24"/>
          <w:shd w:val="clear" w:color="auto" w:fill="FFFFFF"/>
        </w:rPr>
        <w:t xml:space="preserve">. 222.º do CPPP não subsiste, dado que em causa está uma medida privativa de liberdade (internamento) para ser executada no estabelecimento ou unidade a ser considerada mais adequada à situação do requerente e a determinar pelos serviços </w:t>
      </w:r>
      <w:proofErr w:type="spellStart"/>
      <w:r w:rsidRPr="00EC52BA">
        <w:rPr>
          <w:rFonts w:ascii="Book Antiqua" w:hAnsi="Book Antiqua"/>
          <w:i/>
          <w:iCs/>
          <w:sz w:val="24"/>
          <w:szCs w:val="24"/>
          <w:shd w:val="clear" w:color="auto" w:fill="FFFFFF"/>
        </w:rPr>
        <w:t>respectivos</w:t>
      </w:r>
      <w:proofErr w:type="spellEnd"/>
      <w:r w:rsidRPr="00EC52BA">
        <w:rPr>
          <w:rFonts w:ascii="Book Antiqua" w:hAnsi="Book Antiqua"/>
          <w:i/>
          <w:iCs/>
          <w:sz w:val="24"/>
          <w:szCs w:val="24"/>
          <w:shd w:val="clear" w:color="auto" w:fill="FFFFFF"/>
        </w:rPr>
        <w:t>. Assim a privação da liberdade foi ordenada por entidade competente (tribunal da condenação) e motivada por facto pela qual a lei permite e em prazo consentâneo com a sua duração”</w:t>
      </w:r>
    </w:p>
    <w:p w14:paraId="1B02E21B" w14:textId="77777777" w:rsidR="00EC52BA" w:rsidRDefault="00EC52BA" w:rsidP="00811D5B">
      <w:pPr>
        <w:shd w:val="clear" w:color="auto" w:fill="FFFFFF"/>
        <w:spacing w:before="100" w:beforeAutospacing="1" w:after="100" w:afterAutospacing="1" w:line="360" w:lineRule="auto"/>
        <w:jc w:val="both"/>
        <w:rPr>
          <w:rFonts w:ascii="Book Antiqua" w:hAnsi="Book Antiqua"/>
        </w:rPr>
      </w:pPr>
    </w:p>
    <w:p w14:paraId="58A8D670" w14:textId="77777777" w:rsidR="00E02BB8" w:rsidRPr="00E02BB8" w:rsidRDefault="00811D5B" w:rsidP="00811D5B">
      <w:pPr>
        <w:shd w:val="clear" w:color="auto" w:fill="FFFFFF"/>
        <w:spacing w:before="100" w:beforeAutospacing="1" w:after="100" w:afterAutospacing="1" w:line="360" w:lineRule="auto"/>
        <w:jc w:val="both"/>
        <w:rPr>
          <w:rFonts w:ascii="Book Antiqua" w:hAnsi="Book Antiqua"/>
        </w:rPr>
      </w:pPr>
      <w:r w:rsidRPr="00811D5B">
        <w:rPr>
          <w:rFonts w:ascii="Book Antiqua" w:hAnsi="Book Antiqua"/>
        </w:rPr>
        <w:t xml:space="preserve">8. </w:t>
      </w:r>
      <w:r w:rsidR="00E02BB8" w:rsidRPr="00E02BB8">
        <w:rPr>
          <w:rFonts w:ascii="Book Antiqua" w:hAnsi="Book Antiqua"/>
        </w:rPr>
        <w:t xml:space="preserve">Certamente que a entidade judiciária </w:t>
      </w:r>
      <w:r w:rsidR="00A00A5F">
        <w:rPr>
          <w:rFonts w:ascii="Book Antiqua" w:hAnsi="Book Antiqua"/>
        </w:rPr>
        <w:t>insistirá junto da D</w:t>
      </w:r>
      <w:r w:rsidR="00E02BB8" w:rsidRPr="00E02BB8">
        <w:rPr>
          <w:rFonts w:ascii="Book Antiqua" w:hAnsi="Book Antiqua"/>
        </w:rPr>
        <w:t xml:space="preserve">ireção-Geral de Reinserção e Serviços Prisionais e </w:t>
      </w:r>
      <w:r w:rsidR="005D4D86">
        <w:rPr>
          <w:rFonts w:ascii="Book Antiqua" w:hAnsi="Book Antiqua"/>
        </w:rPr>
        <w:t>da</w:t>
      </w:r>
      <w:r w:rsidR="00E02BB8" w:rsidRPr="00E02BB8">
        <w:rPr>
          <w:rFonts w:ascii="Book Antiqua" w:hAnsi="Book Antiqua"/>
        </w:rPr>
        <w:t xml:space="preserve"> </w:t>
      </w:r>
      <w:r w:rsidR="005D4D86" w:rsidRPr="00E02BB8">
        <w:rPr>
          <w:rFonts w:ascii="Book Antiqua" w:hAnsi="Book Antiqua"/>
        </w:rPr>
        <w:t>Direção</w:t>
      </w:r>
      <w:r w:rsidR="00E02BB8" w:rsidRPr="00E02BB8">
        <w:rPr>
          <w:rFonts w:ascii="Book Antiqua" w:hAnsi="Book Antiqua"/>
        </w:rPr>
        <w:t xml:space="preserve"> de Serviços de Execução de Penas e Medidas Privativas de Liberdade no sentido de providenciarem, com </w:t>
      </w:r>
      <w:r w:rsidR="007055D6">
        <w:rPr>
          <w:rFonts w:ascii="Book Antiqua" w:hAnsi="Book Antiqua"/>
        </w:rPr>
        <w:t xml:space="preserve">toda a </w:t>
      </w:r>
      <w:r w:rsidR="00E02BB8" w:rsidRPr="00E02BB8">
        <w:rPr>
          <w:rFonts w:ascii="Book Antiqua" w:hAnsi="Book Antiqua"/>
        </w:rPr>
        <w:t xml:space="preserve">urgência, pela transferência do recluso para </w:t>
      </w:r>
      <w:r w:rsidR="007055D6">
        <w:rPr>
          <w:rFonts w:ascii="Book Antiqua" w:hAnsi="Book Antiqua"/>
        </w:rPr>
        <w:t xml:space="preserve">estabelecimento </w:t>
      </w:r>
      <w:r w:rsidR="00695938">
        <w:rPr>
          <w:rFonts w:ascii="Book Antiqua" w:hAnsi="Book Antiqua"/>
        </w:rPr>
        <w:t>de saúde adequado</w:t>
      </w:r>
      <w:r w:rsidR="00E97876">
        <w:rPr>
          <w:rFonts w:ascii="Book Antiqua" w:hAnsi="Book Antiqua"/>
        </w:rPr>
        <w:t>, destinado a inimputáveis.</w:t>
      </w:r>
    </w:p>
    <w:p w14:paraId="60375C1B" w14:textId="77777777" w:rsidR="00E02BB8" w:rsidRPr="00E02BB8" w:rsidRDefault="00E02BB8" w:rsidP="00811D5B">
      <w:pPr>
        <w:shd w:val="clear" w:color="auto" w:fill="FFFFFF"/>
        <w:spacing w:before="100" w:beforeAutospacing="1" w:after="100" w:afterAutospacing="1" w:line="360" w:lineRule="auto"/>
        <w:jc w:val="both"/>
        <w:rPr>
          <w:rFonts w:ascii="Book Antiqua" w:hAnsi="Book Antiqua"/>
        </w:rPr>
      </w:pPr>
    </w:p>
    <w:p w14:paraId="46D55458" w14:textId="77777777" w:rsidR="00311057" w:rsidRPr="00311057" w:rsidRDefault="00311057" w:rsidP="00311057">
      <w:pPr>
        <w:shd w:val="clear" w:color="auto" w:fill="FFFFFF"/>
        <w:spacing w:before="100" w:beforeAutospacing="1" w:after="100" w:afterAutospacing="1" w:line="360" w:lineRule="auto"/>
        <w:jc w:val="both"/>
        <w:rPr>
          <w:rFonts w:ascii="Book Antiqua" w:hAnsi="Book Antiqua"/>
          <w:b/>
          <w:bCs/>
        </w:rPr>
      </w:pPr>
      <w:r w:rsidRPr="00311057">
        <w:rPr>
          <w:rFonts w:ascii="Book Antiqua" w:hAnsi="Book Antiqua"/>
          <w:b/>
          <w:bCs/>
        </w:rPr>
        <w:t>III. DECISÃO</w:t>
      </w:r>
    </w:p>
    <w:p w14:paraId="01119A53" w14:textId="77777777" w:rsidR="00E02BB8" w:rsidRPr="00E02BB8" w:rsidRDefault="00E02BB8" w:rsidP="00311057">
      <w:pPr>
        <w:shd w:val="clear" w:color="auto" w:fill="FFFFFF"/>
        <w:spacing w:before="100" w:beforeAutospacing="1" w:after="100" w:afterAutospacing="1" w:line="360" w:lineRule="auto"/>
        <w:jc w:val="both"/>
        <w:rPr>
          <w:rFonts w:ascii="Book Antiqua" w:hAnsi="Book Antiqua"/>
        </w:rPr>
      </w:pPr>
      <w:r w:rsidRPr="00E02BB8">
        <w:rPr>
          <w:rFonts w:ascii="Book Antiqua" w:hAnsi="Book Antiqua"/>
        </w:rPr>
        <w:t>Atento o exposto, acordam os Juízes da 3ª Secção Criminal do Supremo Tribunal de Justiça em indeferir o pedido de</w:t>
      </w:r>
      <w:r w:rsidR="00311057" w:rsidRPr="00C77B43">
        <w:rPr>
          <w:rFonts w:ascii="Book Antiqua" w:hAnsi="Book Antiqua"/>
        </w:rPr>
        <w:t xml:space="preserve"> </w:t>
      </w:r>
      <w:r w:rsidRPr="00E02BB8">
        <w:rPr>
          <w:rFonts w:ascii="Book Antiqua" w:hAnsi="Book Antiqua"/>
          <w:i/>
          <w:iCs/>
        </w:rPr>
        <w:t>habeas corpus</w:t>
      </w:r>
      <w:r w:rsidR="00311057" w:rsidRPr="00C77B43">
        <w:rPr>
          <w:rFonts w:ascii="Book Antiqua" w:hAnsi="Book Antiqua"/>
          <w:i/>
          <w:iCs/>
        </w:rPr>
        <w:t xml:space="preserve"> </w:t>
      </w:r>
      <w:r w:rsidRPr="00E02BB8">
        <w:rPr>
          <w:rFonts w:ascii="Book Antiqua" w:hAnsi="Book Antiqua"/>
        </w:rPr>
        <w:t>apresentado pelo requerente</w:t>
      </w:r>
      <w:r w:rsidR="00C77B43" w:rsidRPr="00C77B43">
        <w:rPr>
          <w:rFonts w:ascii="Book Antiqua" w:hAnsi="Book Antiqua"/>
        </w:rPr>
        <w:t xml:space="preserve"> </w:t>
      </w:r>
      <w:r w:rsidR="00C77B43" w:rsidRPr="00C77B43">
        <w:rPr>
          <w:rFonts w:ascii="Book Antiqua" w:hAnsi="Book Antiqua"/>
        </w:rPr>
        <w:lastRenderedPageBreak/>
        <w:t>HUGO ALEXANDRE RODRIGUES GONÇALVES</w:t>
      </w:r>
      <w:r w:rsidRPr="00E02BB8">
        <w:rPr>
          <w:rFonts w:ascii="Book Antiqua" w:hAnsi="Book Antiqua"/>
        </w:rPr>
        <w:t xml:space="preserve"> por falta de fundamento bastante (art</w:t>
      </w:r>
      <w:r w:rsidR="00C77B43" w:rsidRPr="00C77B43">
        <w:rPr>
          <w:rFonts w:ascii="Book Antiqua" w:hAnsi="Book Antiqua"/>
        </w:rPr>
        <w:t>igo</w:t>
      </w:r>
      <w:r w:rsidRPr="00E02BB8">
        <w:rPr>
          <w:rFonts w:ascii="Book Antiqua" w:hAnsi="Book Antiqua"/>
        </w:rPr>
        <w:t xml:space="preserve"> 223.º, n.º 4, alínea a) do CPP).</w:t>
      </w:r>
    </w:p>
    <w:p w14:paraId="1B5A1A47" w14:textId="77777777" w:rsidR="00E02BB8" w:rsidRPr="00E02BB8" w:rsidRDefault="00E02BB8" w:rsidP="00311057">
      <w:pPr>
        <w:shd w:val="clear" w:color="auto" w:fill="FFFFFF"/>
        <w:spacing w:before="100" w:beforeAutospacing="1" w:after="100" w:afterAutospacing="1" w:line="360" w:lineRule="auto"/>
        <w:jc w:val="both"/>
        <w:rPr>
          <w:rFonts w:ascii="Book Antiqua" w:hAnsi="Book Antiqua"/>
        </w:rPr>
      </w:pPr>
      <w:r w:rsidRPr="00E02BB8">
        <w:rPr>
          <w:rFonts w:ascii="Book Antiqua" w:hAnsi="Book Antiqua"/>
        </w:rPr>
        <w:t>Custas pelo requerente, fixando-se a taxa de justiça em 2 UC, nos termos da tabela anexa ao Regulamento das Custas Processuais.</w:t>
      </w:r>
    </w:p>
    <w:p w14:paraId="6AAECB24" w14:textId="77777777" w:rsidR="00FC59CC" w:rsidRDefault="00FC59CC" w:rsidP="00AE4F7F">
      <w:pPr>
        <w:kinsoku w:val="0"/>
        <w:overflowPunct w:val="0"/>
        <w:spacing w:line="360" w:lineRule="auto"/>
        <w:textAlignment w:val="baseline"/>
        <w:rPr>
          <w:rFonts w:ascii="Book Antiqua" w:hAnsi="Book Antiqua" w:cs="Microsoft Sans Serif"/>
        </w:rPr>
      </w:pPr>
    </w:p>
    <w:p w14:paraId="4EB41602" w14:textId="77777777" w:rsidR="00AE4F7F" w:rsidRPr="00620C5D" w:rsidRDefault="00AE4F7F" w:rsidP="00AE4F7F">
      <w:pPr>
        <w:kinsoku w:val="0"/>
        <w:overflowPunct w:val="0"/>
        <w:spacing w:line="360" w:lineRule="auto"/>
        <w:textAlignment w:val="baseline"/>
        <w:rPr>
          <w:rFonts w:ascii="Book Antiqua" w:hAnsi="Book Antiqua" w:cs="Microsoft Sans Serif"/>
        </w:rPr>
      </w:pPr>
      <w:r w:rsidRPr="00620C5D">
        <w:rPr>
          <w:rFonts w:ascii="Book Antiqua" w:hAnsi="Book Antiqua" w:cs="Microsoft Sans Serif"/>
        </w:rPr>
        <w:t xml:space="preserve">Lisboa, 2 de </w:t>
      </w:r>
      <w:r>
        <w:rPr>
          <w:rFonts w:ascii="Book Antiqua" w:hAnsi="Book Antiqua" w:cs="Microsoft Sans Serif"/>
        </w:rPr>
        <w:t xml:space="preserve">fevereiro </w:t>
      </w:r>
      <w:r w:rsidRPr="00620C5D">
        <w:rPr>
          <w:rFonts w:ascii="Book Antiqua" w:hAnsi="Book Antiqua" w:cs="Microsoft Sans Serif"/>
        </w:rPr>
        <w:t>de 202</w:t>
      </w:r>
      <w:r>
        <w:rPr>
          <w:rFonts w:ascii="Book Antiqua" w:hAnsi="Book Antiqua" w:cs="Microsoft Sans Serif"/>
        </w:rPr>
        <w:t>2</w:t>
      </w:r>
    </w:p>
    <w:p w14:paraId="6DBD1880"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rPr>
      </w:pPr>
    </w:p>
    <w:p w14:paraId="0A61D52C"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rPr>
      </w:pPr>
      <w:r w:rsidRPr="00620C5D">
        <w:rPr>
          <w:rFonts w:ascii="Book Antiqua" w:hAnsi="Book Antiqua" w:cs="Microsoft Sans Serif"/>
        </w:rPr>
        <w:t>_______________________________________</w:t>
      </w:r>
    </w:p>
    <w:p w14:paraId="663BB766"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i/>
        </w:rPr>
      </w:pPr>
      <w:r w:rsidRPr="00620C5D">
        <w:rPr>
          <w:rFonts w:ascii="Book Antiqua" w:hAnsi="Book Antiqua" w:cs="Microsoft Sans Serif"/>
          <w:i/>
        </w:rPr>
        <w:t>Maria Helena Fazenda (relatora)</w:t>
      </w:r>
    </w:p>
    <w:p w14:paraId="1BF7A9A9"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i/>
        </w:rPr>
      </w:pPr>
    </w:p>
    <w:p w14:paraId="07347790"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rPr>
      </w:pPr>
      <w:r w:rsidRPr="00620C5D">
        <w:rPr>
          <w:rFonts w:ascii="Book Antiqua" w:hAnsi="Book Antiqua" w:cs="Microsoft Sans Serif"/>
        </w:rPr>
        <w:t>_________________________________________</w:t>
      </w:r>
    </w:p>
    <w:p w14:paraId="02DB8783"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i/>
        </w:rPr>
      </w:pPr>
      <w:r>
        <w:rPr>
          <w:rFonts w:ascii="Book Antiqua" w:hAnsi="Book Antiqua" w:cs="Microsoft Sans Serif"/>
          <w:i/>
        </w:rPr>
        <w:t xml:space="preserve">José Luís Lopes da </w:t>
      </w:r>
      <w:r w:rsidR="000769AD">
        <w:rPr>
          <w:rFonts w:ascii="Book Antiqua" w:hAnsi="Book Antiqua" w:cs="Microsoft Sans Serif"/>
          <w:i/>
        </w:rPr>
        <w:t xml:space="preserve">Mota </w:t>
      </w:r>
      <w:r w:rsidR="000769AD" w:rsidRPr="00620C5D">
        <w:rPr>
          <w:rFonts w:ascii="Book Antiqua" w:hAnsi="Book Antiqua" w:cs="Microsoft Sans Serif"/>
          <w:i/>
        </w:rPr>
        <w:t>(Juiz</w:t>
      </w:r>
      <w:r w:rsidRPr="00620C5D">
        <w:rPr>
          <w:rFonts w:ascii="Book Antiqua" w:hAnsi="Book Antiqua" w:cs="Microsoft Sans Serif"/>
          <w:i/>
        </w:rPr>
        <w:t xml:space="preserve"> Conselheir</w:t>
      </w:r>
      <w:r w:rsidR="000769AD">
        <w:rPr>
          <w:rFonts w:ascii="Book Antiqua" w:hAnsi="Book Antiqua" w:cs="Microsoft Sans Serif"/>
          <w:i/>
        </w:rPr>
        <w:t>o</w:t>
      </w:r>
      <w:r w:rsidRPr="00620C5D">
        <w:rPr>
          <w:rFonts w:ascii="Book Antiqua" w:hAnsi="Book Antiqua" w:cs="Microsoft Sans Serif"/>
          <w:i/>
        </w:rPr>
        <w:t xml:space="preserve"> Adjunt</w:t>
      </w:r>
      <w:r w:rsidR="000769AD">
        <w:rPr>
          <w:rFonts w:ascii="Book Antiqua" w:hAnsi="Book Antiqua" w:cs="Microsoft Sans Serif"/>
          <w:i/>
        </w:rPr>
        <w:t>o</w:t>
      </w:r>
      <w:r w:rsidRPr="00620C5D">
        <w:rPr>
          <w:rFonts w:ascii="Book Antiqua" w:hAnsi="Book Antiqua" w:cs="Microsoft Sans Serif"/>
          <w:i/>
        </w:rPr>
        <w:t>)</w:t>
      </w:r>
    </w:p>
    <w:p w14:paraId="3AEA68E8"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i/>
        </w:rPr>
      </w:pPr>
    </w:p>
    <w:p w14:paraId="4DC76E97"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rPr>
      </w:pPr>
      <w:r w:rsidRPr="00620C5D">
        <w:rPr>
          <w:rFonts w:ascii="Book Antiqua" w:hAnsi="Book Antiqua" w:cs="Microsoft Sans Serif"/>
        </w:rPr>
        <w:t>_________________________________________</w:t>
      </w:r>
    </w:p>
    <w:p w14:paraId="76EA6D52" w14:textId="77777777" w:rsidR="00AE4F7F" w:rsidRPr="00620C5D" w:rsidRDefault="00317F98" w:rsidP="00AE4F7F">
      <w:pPr>
        <w:kinsoku w:val="0"/>
        <w:overflowPunct w:val="0"/>
        <w:spacing w:line="360" w:lineRule="auto"/>
        <w:jc w:val="center"/>
        <w:textAlignment w:val="baseline"/>
        <w:rPr>
          <w:rFonts w:ascii="Book Antiqua" w:hAnsi="Book Antiqua" w:cs="Microsoft Sans Serif"/>
          <w:i/>
        </w:rPr>
      </w:pPr>
      <w:r>
        <w:rPr>
          <w:rFonts w:ascii="Book Antiqua" w:hAnsi="Book Antiqua" w:cs="Microsoft Sans Serif"/>
          <w:i/>
        </w:rPr>
        <w:t xml:space="preserve">Pires da Graça </w:t>
      </w:r>
      <w:r w:rsidR="00AE4F7F" w:rsidRPr="00620C5D">
        <w:rPr>
          <w:rFonts w:ascii="Book Antiqua" w:hAnsi="Book Antiqua" w:cs="Microsoft Sans Serif"/>
          <w:i/>
        </w:rPr>
        <w:t>(Presidente da Secção)</w:t>
      </w:r>
    </w:p>
    <w:p w14:paraId="1A70D428" w14:textId="77777777" w:rsidR="00AE4F7F" w:rsidRPr="00620C5D" w:rsidRDefault="00AE4F7F" w:rsidP="00AE4F7F">
      <w:pPr>
        <w:kinsoku w:val="0"/>
        <w:overflowPunct w:val="0"/>
        <w:spacing w:line="360" w:lineRule="auto"/>
        <w:jc w:val="center"/>
        <w:textAlignment w:val="baseline"/>
        <w:rPr>
          <w:rFonts w:ascii="Book Antiqua" w:hAnsi="Book Antiqua" w:cs="Microsoft Sans Serif"/>
          <w:i/>
        </w:rPr>
      </w:pPr>
    </w:p>
    <w:p w14:paraId="7587D5A0" w14:textId="77777777" w:rsidR="00FC3E35" w:rsidRPr="00311057" w:rsidRDefault="00FC3E35" w:rsidP="00311057">
      <w:pPr>
        <w:spacing w:line="360" w:lineRule="auto"/>
        <w:jc w:val="both"/>
        <w:rPr>
          <w:rFonts w:ascii="Book Antiqua" w:hAnsi="Book Antiqua" w:cs="Microsoft Sans Serif"/>
          <w:lang w:eastAsia="pt-BR"/>
        </w:rPr>
      </w:pPr>
    </w:p>
    <w:p w14:paraId="771B45D2" w14:textId="77777777" w:rsidR="00FC3E35" w:rsidRPr="00311057" w:rsidRDefault="00FC3E35" w:rsidP="00311057">
      <w:pPr>
        <w:spacing w:line="360" w:lineRule="auto"/>
        <w:jc w:val="both"/>
        <w:rPr>
          <w:rFonts w:ascii="Book Antiqua" w:hAnsi="Book Antiqua" w:cs="Microsoft Sans Serif"/>
          <w:lang w:eastAsia="pt-BR"/>
        </w:rPr>
      </w:pPr>
    </w:p>
    <w:p w14:paraId="6C527C4D" w14:textId="77777777" w:rsidR="00FC3E35" w:rsidRDefault="00FC3E35" w:rsidP="00912AF3">
      <w:pPr>
        <w:spacing w:line="360" w:lineRule="auto"/>
        <w:jc w:val="both"/>
        <w:rPr>
          <w:rFonts w:ascii="Book Antiqua" w:hAnsi="Book Antiqua" w:cs="Microsoft Sans Serif"/>
          <w:lang w:eastAsia="pt-BR"/>
        </w:rPr>
      </w:pPr>
    </w:p>
    <w:bookmarkEnd w:id="1"/>
    <w:p w14:paraId="33778F48" w14:textId="77777777" w:rsidR="00FC3E35" w:rsidRDefault="00FC3E35" w:rsidP="00912AF3">
      <w:pPr>
        <w:spacing w:line="360" w:lineRule="auto"/>
        <w:jc w:val="both"/>
        <w:rPr>
          <w:rFonts w:ascii="Book Antiqua" w:hAnsi="Book Antiqua" w:cs="Microsoft Sans Serif"/>
          <w:lang w:eastAsia="pt-BR"/>
        </w:rPr>
      </w:pPr>
    </w:p>
    <w:sectPr w:rsidR="00FC3E35" w:rsidSect="00D9202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34AD" w14:textId="77777777" w:rsidR="00D01C16" w:rsidRDefault="00D01C16" w:rsidP="003A21E2">
      <w:r>
        <w:separator/>
      </w:r>
    </w:p>
  </w:endnote>
  <w:endnote w:type="continuationSeparator" w:id="0">
    <w:p w14:paraId="308D72ED" w14:textId="77777777" w:rsidR="00D01C16" w:rsidRDefault="00D01C16" w:rsidP="003A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Light">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DD32" w14:textId="77777777" w:rsidR="00A901CE" w:rsidRDefault="00D01C16" w:rsidP="00A901CE">
    <w:pPr>
      <w:jc w:val="both"/>
      <w:rPr>
        <w:rFonts w:ascii="Bookman Old Style" w:hAnsi="Bookman Old Style" w:cs="Arial"/>
        <w:i/>
        <w:sz w:val="16"/>
        <w:szCs w:val="16"/>
      </w:rPr>
    </w:pPr>
  </w:p>
  <w:p w14:paraId="538EB023" w14:textId="77777777" w:rsidR="002C20D7" w:rsidRPr="00423299" w:rsidRDefault="002C20D7" w:rsidP="002C20D7">
    <w:pPr>
      <w:jc w:val="center"/>
      <w:rPr>
        <w:rFonts w:ascii="Book Antiqua" w:hAnsi="Book Antiqua"/>
        <w:b/>
        <w:bCs/>
        <w:sz w:val="18"/>
        <w:szCs w:val="18"/>
      </w:rPr>
    </w:pPr>
    <w:r w:rsidRPr="00423299">
      <w:rPr>
        <w:rFonts w:ascii="Book Antiqua" w:hAnsi="Book Antiqua"/>
        <w:b/>
        <w:bCs/>
        <w:sz w:val="18"/>
        <w:szCs w:val="18"/>
      </w:rPr>
      <w:t>Processo 55/19.4SWLSB-</w:t>
    </w:r>
    <w:proofErr w:type="gramStart"/>
    <w:r w:rsidRPr="00423299">
      <w:rPr>
        <w:rFonts w:ascii="Book Antiqua" w:hAnsi="Book Antiqua"/>
        <w:b/>
        <w:bCs/>
        <w:sz w:val="18"/>
        <w:szCs w:val="18"/>
      </w:rPr>
      <w:t>B.S</w:t>
    </w:r>
    <w:proofErr w:type="gramEnd"/>
    <w:r w:rsidRPr="00423299">
      <w:rPr>
        <w:rFonts w:ascii="Book Antiqua" w:hAnsi="Book Antiqua"/>
        <w:b/>
        <w:bCs/>
        <w:sz w:val="18"/>
        <w:szCs w:val="18"/>
      </w:rPr>
      <w:t>1</w:t>
    </w:r>
  </w:p>
  <w:p w14:paraId="24081AEA" w14:textId="77777777" w:rsidR="001F628E" w:rsidRPr="00423299" w:rsidRDefault="001F628E" w:rsidP="002C20D7">
    <w:pPr>
      <w:spacing w:line="276" w:lineRule="auto"/>
      <w:jc w:val="center"/>
      <w:rPr>
        <w:b/>
        <w:bCs/>
        <w:sz w:val="18"/>
        <w:szCs w:val="18"/>
      </w:rPr>
    </w:pPr>
  </w:p>
  <w:p w14:paraId="65FD4192" w14:textId="77777777" w:rsidR="00650C2C" w:rsidRPr="00423299" w:rsidRDefault="00650C2C" w:rsidP="002C20D7">
    <w:pPr>
      <w:spacing w:line="276" w:lineRule="auto"/>
      <w:jc w:val="center"/>
      <w:rPr>
        <w:rFonts w:ascii="Book Antiqua" w:hAnsi="Book Antiqua"/>
        <w:b/>
        <w:bCs/>
        <w:sz w:val="18"/>
        <w:szCs w:val="18"/>
      </w:rPr>
    </w:pPr>
    <w:r w:rsidRPr="00423299">
      <w:rPr>
        <w:rFonts w:ascii="Book Antiqua" w:hAnsi="Book Antiqua"/>
        <w:b/>
        <w:bCs/>
        <w:sz w:val="18"/>
        <w:szCs w:val="18"/>
      </w:rPr>
      <w:t>Habeas Corpus</w:t>
    </w:r>
  </w:p>
  <w:p w14:paraId="3FC97194" w14:textId="77777777" w:rsidR="00650C2C" w:rsidRPr="00423299" w:rsidRDefault="00D01C16" w:rsidP="001F628E">
    <w:pPr>
      <w:spacing w:line="276" w:lineRule="auto"/>
      <w:jc w:val="right"/>
      <w:rPr>
        <w:rFonts w:ascii="Book Antiqua" w:hAnsi="Book Antiqua"/>
        <w:sz w:val="18"/>
        <w:szCs w:val="18"/>
      </w:rPr>
    </w:pPr>
    <w:sdt>
      <w:sdtPr>
        <w:rPr>
          <w:rFonts w:ascii="Book Antiqua" w:hAnsi="Book Antiqua"/>
          <w:sz w:val="18"/>
          <w:szCs w:val="18"/>
        </w:rPr>
        <w:id w:val="-1318336367"/>
        <w:docPartObj>
          <w:docPartGallery w:val="Page Numbers (Top of Page)"/>
          <w:docPartUnique/>
        </w:docPartObj>
      </w:sdtPr>
      <w:sdtEndPr/>
      <w:sdtContent>
        <w:r w:rsidR="00650C2C" w:rsidRPr="00423299">
          <w:rPr>
            <w:rFonts w:ascii="Book Antiqua" w:hAnsi="Book Antiqua"/>
            <w:sz w:val="18"/>
            <w:szCs w:val="18"/>
          </w:rPr>
          <w:t xml:space="preserve">Página </w:t>
        </w:r>
        <w:r w:rsidR="00650C2C" w:rsidRPr="00423299">
          <w:rPr>
            <w:rFonts w:ascii="Book Antiqua" w:hAnsi="Book Antiqua"/>
            <w:b/>
            <w:bCs/>
            <w:sz w:val="18"/>
            <w:szCs w:val="18"/>
          </w:rPr>
          <w:fldChar w:fldCharType="begin"/>
        </w:r>
        <w:r w:rsidR="00650C2C" w:rsidRPr="00423299">
          <w:rPr>
            <w:rFonts w:ascii="Book Antiqua" w:hAnsi="Book Antiqua"/>
            <w:b/>
            <w:bCs/>
            <w:sz w:val="18"/>
            <w:szCs w:val="18"/>
          </w:rPr>
          <w:instrText>PAGE</w:instrText>
        </w:r>
        <w:r w:rsidR="00650C2C" w:rsidRPr="00423299">
          <w:rPr>
            <w:rFonts w:ascii="Book Antiqua" w:hAnsi="Book Antiqua"/>
            <w:b/>
            <w:bCs/>
            <w:sz w:val="18"/>
            <w:szCs w:val="18"/>
          </w:rPr>
          <w:fldChar w:fldCharType="separate"/>
        </w:r>
        <w:r w:rsidR="00650C2C" w:rsidRPr="00423299">
          <w:rPr>
            <w:rFonts w:ascii="Book Antiqua" w:hAnsi="Book Antiqua"/>
            <w:b/>
            <w:bCs/>
            <w:sz w:val="18"/>
            <w:szCs w:val="18"/>
          </w:rPr>
          <w:t>1</w:t>
        </w:r>
        <w:r w:rsidR="00650C2C" w:rsidRPr="00423299">
          <w:rPr>
            <w:rFonts w:ascii="Book Antiqua" w:hAnsi="Book Antiqua"/>
            <w:b/>
            <w:bCs/>
            <w:sz w:val="18"/>
            <w:szCs w:val="18"/>
          </w:rPr>
          <w:fldChar w:fldCharType="end"/>
        </w:r>
        <w:r w:rsidR="00650C2C" w:rsidRPr="00423299">
          <w:rPr>
            <w:rFonts w:ascii="Book Antiqua" w:hAnsi="Book Antiqua"/>
            <w:sz w:val="18"/>
            <w:szCs w:val="18"/>
          </w:rPr>
          <w:t xml:space="preserve"> de </w:t>
        </w:r>
        <w:r w:rsidR="00650C2C" w:rsidRPr="00423299">
          <w:rPr>
            <w:rFonts w:ascii="Book Antiqua" w:hAnsi="Book Antiqua"/>
            <w:b/>
            <w:bCs/>
            <w:sz w:val="18"/>
            <w:szCs w:val="18"/>
          </w:rPr>
          <w:fldChar w:fldCharType="begin"/>
        </w:r>
        <w:r w:rsidR="00650C2C" w:rsidRPr="00423299">
          <w:rPr>
            <w:rFonts w:ascii="Book Antiqua" w:hAnsi="Book Antiqua"/>
            <w:b/>
            <w:bCs/>
            <w:sz w:val="18"/>
            <w:szCs w:val="18"/>
          </w:rPr>
          <w:instrText>NUMPAGES</w:instrText>
        </w:r>
        <w:r w:rsidR="00650C2C" w:rsidRPr="00423299">
          <w:rPr>
            <w:rFonts w:ascii="Book Antiqua" w:hAnsi="Book Antiqua"/>
            <w:b/>
            <w:bCs/>
            <w:sz w:val="18"/>
            <w:szCs w:val="18"/>
          </w:rPr>
          <w:fldChar w:fldCharType="separate"/>
        </w:r>
        <w:r w:rsidR="00650C2C" w:rsidRPr="00423299">
          <w:rPr>
            <w:rFonts w:ascii="Book Antiqua" w:hAnsi="Book Antiqua"/>
            <w:b/>
            <w:bCs/>
            <w:sz w:val="18"/>
            <w:szCs w:val="18"/>
          </w:rPr>
          <w:t>27</w:t>
        </w:r>
        <w:r w:rsidR="00650C2C" w:rsidRPr="00423299">
          <w:rPr>
            <w:rFonts w:ascii="Book Antiqua" w:hAnsi="Book Antiqua"/>
            <w:b/>
            <w:bCs/>
            <w:sz w:val="18"/>
            <w:szCs w:val="18"/>
          </w:rPr>
          <w:fldChar w:fldCharType="end"/>
        </w:r>
      </w:sdtContent>
    </w:sdt>
  </w:p>
  <w:p w14:paraId="2E17180E" w14:textId="77777777" w:rsidR="00650C2C" w:rsidRPr="001F628E" w:rsidRDefault="00650C2C" w:rsidP="001F628E">
    <w:pPr>
      <w:spacing w:line="276" w:lineRule="auto"/>
      <w:jc w:val="both"/>
      <w:rPr>
        <w:rFonts w:ascii="Microsoft Sans Serif" w:hAnsi="Microsoft Sans Serif" w:cs="Microsoft Sans Serif"/>
        <w:i/>
        <w:sz w:val="20"/>
        <w:szCs w:val="20"/>
      </w:rPr>
    </w:pPr>
  </w:p>
  <w:p w14:paraId="47028A08" w14:textId="77777777" w:rsidR="00C10AA7" w:rsidRPr="00180D2C" w:rsidRDefault="00D01C16">
    <w:pPr>
      <w:pStyle w:val="Rodap"/>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8B51" w14:textId="77777777" w:rsidR="00D01C16" w:rsidRDefault="00D01C16" w:rsidP="003A21E2">
      <w:r>
        <w:separator/>
      </w:r>
    </w:p>
  </w:footnote>
  <w:footnote w:type="continuationSeparator" w:id="0">
    <w:p w14:paraId="1297B118" w14:textId="77777777" w:rsidR="00D01C16" w:rsidRDefault="00D01C16" w:rsidP="003A21E2">
      <w:r>
        <w:continuationSeparator/>
      </w:r>
    </w:p>
  </w:footnote>
  <w:footnote w:id="1">
    <w:p w14:paraId="243D3137" w14:textId="77777777" w:rsidR="003A21E2" w:rsidRPr="001474AB" w:rsidRDefault="003A21E2" w:rsidP="005F6578">
      <w:pPr>
        <w:pStyle w:val="Textodenotaderodap"/>
        <w:jc w:val="both"/>
        <w:rPr>
          <w:rFonts w:ascii="Book Antiqua" w:hAnsi="Book Antiqua" w:cs="Microsoft Sans Serif"/>
          <w:sz w:val="18"/>
          <w:szCs w:val="18"/>
        </w:rPr>
      </w:pPr>
      <w:r w:rsidRPr="001474AB">
        <w:rPr>
          <w:rStyle w:val="Refdenotaderodap"/>
          <w:rFonts w:ascii="Book Antiqua" w:hAnsi="Book Antiqua" w:cs="Microsoft Sans Serif"/>
          <w:sz w:val="18"/>
          <w:szCs w:val="18"/>
        </w:rPr>
        <w:footnoteRef/>
      </w:r>
      <w:r w:rsidRPr="001474AB">
        <w:rPr>
          <w:rFonts w:ascii="Book Antiqua" w:hAnsi="Book Antiqua" w:cs="Microsoft Sans Serif"/>
          <w:sz w:val="18"/>
          <w:szCs w:val="18"/>
        </w:rPr>
        <w:t xml:space="preserve"> Doravante designada pelas iniciais CPP</w:t>
      </w:r>
    </w:p>
  </w:footnote>
  <w:footnote w:id="2">
    <w:p w14:paraId="5A95E232" w14:textId="77777777" w:rsidR="007C5952" w:rsidRPr="00EC52BA" w:rsidRDefault="007C5952">
      <w:pPr>
        <w:pStyle w:val="Textodenotaderodap"/>
        <w:rPr>
          <w:rFonts w:ascii="Book Antiqua" w:hAnsi="Book Antiqua"/>
          <w:sz w:val="18"/>
          <w:szCs w:val="18"/>
        </w:rPr>
      </w:pPr>
      <w:r w:rsidRPr="00EC52BA">
        <w:rPr>
          <w:rStyle w:val="Refdenotaderodap"/>
          <w:rFonts w:ascii="Book Antiqua" w:hAnsi="Book Antiqua"/>
          <w:sz w:val="18"/>
          <w:szCs w:val="18"/>
        </w:rPr>
        <w:footnoteRef/>
      </w:r>
      <w:r w:rsidRPr="00EC52BA">
        <w:rPr>
          <w:rFonts w:ascii="Book Antiqua" w:hAnsi="Book Antiqua"/>
          <w:sz w:val="18"/>
          <w:szCs w:val="18"/>
        </w:rPr>
        <w:t xml:space="preserve"> </w:t>
      </w:r>
      <w:r w:rsidR="00714D7D" w:rsidRPr="00EC52BA">
        <w:rPr>
          <w:rFonts w:ascii="Book Antiqua" w:hAnsi="Book Antiqua"/>
          <w:sz w:val="18"/>
          <w:szCs w:val="18"/>
        </w:rPr>
        <w:t xml:space="preserve">O trânsito em jugado do acórdão do STJ ocorreu em </w:t>
      </w:r>
      <w:r w:rsidR="00B725F0" w:rsidRPr="00EC52BA">
        <w:rPr>
          <w:rFonts w:ascii="Book Antiqua" w:hAnsi="Book Antiqua"/>
          <w:sz w:val="18"/>
          <w:szCs w:val="18"/>
        </w:rPr>
        <w:t xml:space="preserve">12.11.2021 e </w:t>
      </w:r>
      <w:r w:rsidR="0001236F" w:rsidRPr="00EC52BA">
        <w:rPr>
          <w:rFonts w:ascii="Book Antiqua" w:hAnsi="Book Antiqua"/>
          <w:sz w:val="18"/>
          <w:szCs w:val="18"/>
        </w:rPr>
        <w:t>não</w:t>
      </w:r>
      <w:r w:rsidR="00B725F0" w:rsidRPr="00EC52BA">
        <w:rPr>
          <w:rFonts w:ascii="Book Antiqua" w:hAnsi="Book Antiqua"/>
          <w:sz w:val="18"/>
          <w:szCs w:val="18"/>
        </w:rPr>
        <w:t xml:space="preserve">, como </w:t>
      </w:r>
      <w:r w:rsidR="00C42B5C" w:rsidRPr="00EC52BA">
        <w:rPr>
          <w:rFonts w:ascii="Book Antiqua" w:hAnsi="Book Antiqua"/>
          <w:sz w:val="18"/>
          <w:szCs w:val="18"/>
        </w:rPr>
        <w:t xml:space="preserve">certamente </w:t>
      </w:r>
      <w:r w:rsidR="0001236F" w:rsidRPr="00EC52BA">
        <w:rPr>
          <w:rFonts w:ascii="Book Antiqua" w:hAnsi="Book Antiqua"/>
          <w:sz w:val="18"/>
          <w:szCs w:val="18"/>
        </w:rPr>
        <w:t>por lapso</w:t>
      </w:r>
      <w:r w:rsidR="008172C4" w:rsidRPr="00EC52BA">
        <w:rPr>
          <w:rFonts w:ascii="Book Antiqua" w:hAnsi="Book Antiqua"/>
          <w:sz w:val="18"/>
          <w:szCs w:val="18"/>
        </w:rPr>
        <w:t xml:space="preserve">, </w:t>
      </w:r>
      <w:r w:rsidR="00B725F0" w:rsidRPr="00EC52BA">
        <w:rPr>
          <w:rFonts w:ascii="Book Antiqua" w:hAnsi="Book Antiqua"/>
          <w:sz w:val="18"/>
          <w:szCs w:val="18"/>
        </w:rPr>
        <w:t>se refere na informação</w:t>
      </w:r>
      <w:r w:rsidR="00031A3C" w:rsidRPr="00EC52BA">
        <w:rPr>
          <w:rFonts w:ascii="Book Antiqua" w:hAnsi="Book Antiqua"/>
          <w:sz w:val="18"/>
          <w:szCs w:val="18"/>
        </w:rPr>
        <w:t xml:space="preserve"> elaborado nos termos do artigo 213º do CPP.</w:t>
      </w:r>
    </w:p>
  </w:footnote>
  <w:footnote w:id="3">
    <w:p w14:paraId="4313827D" w14:textId="77777777" w:rsidR="00182B10" w:rsidRPr="00D17884" w:rsidRDefault="00182B10" w:rsidP="00182B10">
      <w:pPr>
        <w:pStyle w:val="Textodenotaderodap"/>
        <w:rPr>
          <w:rFonts w:ascii="Book Antiqua" w:hAnsi="Book Antiqua"/>
          <w:sz w:val="18"/>
          <w:szCs w:val="18"/>
        </w:rPr>
      </w:pPr>
      <w:r w:rsidRPr="00D17884">
        <w:rPr>
          <w:rStyle w:val="Refdenotaderodap"/>
          <w:rFonts w:ascii="Book Antiqua" w:hAnsi="Book Antiqua"/>
          <w:sz w:val="18"/>
          <w:szCs w:val="18"/>
        </w:rPr>
        <w:footnoteRef/>
      </w:r>
      <w:r w:rsidRPr="00D17884">
        <w:rPr>
          <w:rFonts w:ascii="Book Antiqua" w:hAnsi="Book Antiqua"/>
          <w:sz w:val="18"/>
          <w:szCs w:val="18"/>
        </w:rPr>
        <w:t xml:space="preserve"> Crime de homicídio</w:t>
      </w:r>
      <w:r w:rsidR="004007C6">
        <w:rPr>
          <w:rFonts w:ascii="Book Antiqua" w:hAnsi="Book Antiqua"/>
          <w:sz w:val="18"/>
          <w:szCs w:val="18"/>
        </w:rPr>
        <w:t>,</w:t>
      </w:r>
      <w:r w:rsidR="00C0576C">
        <w:rPr>
          <w:rFonts w:ascii="Book Antiqua" w:hAnsi="Book Antiqua"/>
          <w:sz w:val="18"/>
          <w:szCs w:val="18"/>
        </w:rPr>
        <w:t xml:space="preserve"> na forma tentada</w:t>
      </w:r>
      <w:r>
        <w:rPr>
          <w:rFonts w:ascii="Book Antiqua" w:hAnsi="Book Antiqua"/>
          <w:sz w:val="18"/>
          <w:szCs w:val="18"/>
        </w:rPr>
        <w:t>.</w:t>
      </w:r>
    </w:p>
  </w:footnote>
  <w:footnote w:id="4">
    <w:p w14:paraId="5E81C595" w14:textId="77777777" w:rsidR="004F73CC" w:rsidRPr="002C20D7" w:rsidRDefault="004F73CC" w:rsidP="00961225">
      <w:pPr>
        <w:jc w:val="both"/>
        <w:rPr>
          <w:rFonts w:ascii="Book Antiqua" w:hAnsi="Book Antiqua" w:cs="Microsoft Sans Serif"/>
          <w:sz w:val="18"/>
          <w:szCs w:val="18"/>
        </w:rPr>
      </w:pPr>
      <w:r w:rsidRPr="002C20D7">
        <w:rPr>
          <w:rStyle w:val="Refdenotaderodap"/>
          <w:rFonts w:ascii="Book Antiqua" w:hAnsi="Book Antiqua" w:cs="Microsoft Sans Serif"/>
          <w:sz w:val="18"/>
          <w:szCs w:val="18"/>
        </w:rPr>
        <w:footnoteRef/>
      </w:r>
      <w:r w:rsidRPr="002C20D7">
        <w:rPr>
          <w:rFonts w:ascii="Book Antiqua" w:hAnsi="Book Antiqua" w:cs="Microsoft Sans Serif"/>
          <w:sz w:val="18"/>
          <w:szCs w:val="18"/>
        </w:rPr>
        <w:t xml:space="preserve"> Vide AC do STJ de 07JUN17 (relator Pires da Graça), AC de 15FEV17 (relator Raul Borges) proferido no proc. nº 7459/00.4TDLSB-M. S1 e os arestos ali citados; ACS de 22.06.2017 e de 20.12.2017 (relator Manuel Braz), proferidos no mesmo processo, todos citados no AC do STJ de 02.06.2021, PROC 25/19.2FCFUN-</w:t>
      </w:r>
      <w:r w:rsidR="00961225" w:rsidRPr="002C20D7">
        <w:rPr>
          <w:rFonts w:ascii="Book Antiqua" w:hAnsi="Book Antiqua" w:cs="Microsoft Sans Serif"/>
          <w:sz w:val="18"/>
          <w:szCs w:val="18"/>
        </w:rPr>
        <w:t>A. S</w:t>
      </w:r>
      <w:r w:rsidRPr="002C20D7">
        <w:rPr>
          <w:rFonts w:ascii="Book Antiqua" w:hAnsi="Book Antiqua" w:cs="Microsoft Sans Serif"/>
          <w:sz w:val="18"/>
          <w:szCs w:val="18"/>
        </w:rPr>
        <w:t>1, relatora Conceição Gomes.</w:t>
      </w:r>
    </w:p>
  </w:footnote>
  <w:footnote w:id="5">
    <w:p w14:paraId="3385CC9B" w14:textId="77777777" w:rsidR="004F73CC" w:rsidRPr="00E950C0" w:rsidRDefault="004F73CC" w:rsidP="00961225">
      <w:pPr>
        <w:pStyle w:val="Textodenotaderodap"/>
        <w:jc w:val="both"/>
        <w:rPr>
          <w:rFonts w:ascii="Book Antiqua" w:hAnsi="Book Antiqua" w:cs="Microsoft Sans Serif"/>
          <w:sz w:val="18"/>
          <w:szCs w:val="18"/>
        </w:rPr>
      </w:pPr>
      <w:r w:rsidRPr="00E950C0">
        <w:rPr>
          <w:rStyle w:val="Refdenotaderodap"/>
          <w:rFonts w:ascii="Book Antiqua" w:hAnsi="Book Antiqua" w:cs="Microsoft Sans Serif"/>
          <w:sz w:val="18"/>
          <w:szCs w:val="18"/>
        </w:rPr>
        <w:footnoteRef/>
      </w:r>
      <w:r w:rsidRPr="00E950C0">
        <w:rPr>
          <w:rFonts w:ascii="Book Antiqua" w:hAnsi="Book Antiqua" w:cs="Microsoft Sans Serif"/>
          <w:sz w:val="18"/>
          <w:szCs w:val="18"/>
        </w:rPr>
        <w:t xml:space="preserve"> Vide AC do STJ de 30NOV16 (relator Pires da Graça), proferido no proc. nº </w:t>
      </w:r>
      <w:r w:rsidRPr="00E950C0">
        <w:rPr>
          <w:rFonts w:ascii="Book Antiqua" w:hAnsi="Book Antiqua" w:cs="Microsoft Sans Serif"/>
          <w:bCs/>
          <w:sz w:val="18"/>
          <w:szCs w:val="18"/>
        </w:rPr>
        <w:t>66/14.6GBLSB-</w:t>
      </w:r>
      <w:r w:rsidR="00961225" w:rsidRPr="00E950C0">
        <w:rPr>
          <w:rFonts w:ascii="Book Antiqua" w:hAnsi="Book Antiqua" w:cs="Microsoft Sans Serif"/>
          <w:bCs/>
          <w:sz w:val="18"/>
          <w:szCs w:val="18"/>
        </w:rPr>
        <w:t>A. S</w:t>
      </w:r>
      <w:r w:rsidRPr="00E950C0">
        <w:rPr>
          <w:rFonts w:ascii="Book Antiqua" w:hAnsi="Book Antiqua" w:cs="Microsoft Sans Serif"/>
          <w:bCs/>
          <w:sz w:val="18"/>
          <w:szCs w:val="18"/>
        </w:rPr>
        <w:t>1.</w:t>
      </w:r>
    </w:p>
  </w:footnote>
  <w:footnote w:id="6">
    <w:p w14:paraId="2F072A3B" w14:textId="77777777" w:rsidR="004F73CC" w:rsidRPr="00EC52BA" w:rsidRDefault="004F73CC" w:rsidP="00961225">
      <w:pPr>
        <w:pStyle w:val="Textodenotaderodap"/>
        <w:jc w:val="both"/>
        <w:rPr>
          <w:rFonts w:ascii="Book Antiqua" w:hAnsi="Book Antiqua" w:cs="Microsoft Sans Serif"/>
          <w:sz w:val="18"/>
          <w:szCs w:val="18"/>
        </w:rPr>
      </w:pPr>
      <w:r w:rsidRPr="00EC52BA">
        <w:rPr>
          <w:rStyle w:val="Refdenotaderodap"/>
          <w:rFonts w:ascii="Book Antiqua" w:hAnsi="Book Antiqua" w:cs="Microsoft Sans Serif"/>
          <w:sz w:val="18"/>
          <w:szCs w:val="18"/>
        </w:rPr>
        <w:footnoteRef/>
      </w:r>
      <w:r w:rsidRPr="00EC52BA">
        <w:rPr>
          <w:rFonts w:ascii="Book Antiqua" w:hAnsi="Book Antiqua" w:cs="Microsoft Sans Serif"/>
          <w:sz w:val="18"/>
          <w:szCs w:val="18"/>
        </w:rPr>
        <w:t xml:space="preserve"> Vide AC de 15FEV17 (relator Raul Borges) proferido no proc. nº 7459/00.4TDLSB-</w:t>
      </w:r>
      <w:r w:rsidR="00961225" w:rsidRPr="00EC52BA">
        <w:rPr>
          <w:rFonts w:ascii="Book Antiqua" w:hAnsi="Book Antiqua" w:cs="Microsoft Sans Serif"/>
          <w:sz w:val="18"/>
          <w:szCs w:val="18"/>
        </w:rPr>
        <w:t>M. S</w:t>
      </w:r>
      <w:r w:rsidRPr="00EC52BA">
        <w:rPr>
          <w:rFonts w:ascii="Book Antiqua" w:hAnsi="Book Antiqua" w:cs="Microsoft Sans Serif"/>
          <w:sz w:val="18"/>
          <w:szCs w:val="18"/>
        </w:rPr>
        <w:t>1.</w:t>
      </w:r>
    </w:p>
  </w:footnote>
  <w:footnote w:id="7">
    <w:p w14:paraId="40EBDDB2" w14:textId="77777777" w:rsidR="004F73CC" w:rsidRPr="00EC52BA" w:rsidRDefault="004F73CC" w:rsidP="004F73CC">
      <w:pPr>
        <w:autoSpaceDE w:val="0"/>
        <w:autoSpaceDN w:val="0"/>
        <w:adjustRightInd w:val="0"/>
        <w:rPr>
          <w:rFonts w:ascii="Garamond" w:hAnsi="Garamond"/>
          <w:sz w:val="18"/>
          <w:szCs w:val="18"/>
        </w:rPr>
      </w:pPr>
      <w:r w:rsidRPr="00EC52BA">
        <w:rPr>
          <w:rStyle w:val="Refdenotaderodap"/>
          <w:rFonts w:ascii="Book Antiqua" w:hAnsi="Book Antiqua"/>
          <w:sz w:val="18"/>
          <w:szCs w:val="18"/>
        </w:rPr>
        <w:footnoteRef/>
      </w:r>
      <w:r w:rsidRPr="00EC52BA">
        <w:rPr>
          <w:rFonts w:ascii="Book Antiqua" w:eastAsia="Arial" w:hAnsi="Book Antiqua" w:cs="Calibri"/>
          <w:color w:val="000000"/>
          <w:sz w:val="18"/>
          <w:szCs w:val="18"/>
        </w:rPr>
        <w:t xml:space="preserve"> Ac. STJ, de 19-05-2010, CJ (STJ), 2010, T2, pág.196</w:t>
      </w:r>
      <w:r w:rsidRPr="00EC52BA">
        <w:rPr>
          <w:rFonts w:ascii="Garamond" w:eastAsia="Arial" w:hAnsi="Garamond" w:cs="Calibri"/>
          <w:color w:val="000000"/>
          <w:sz w:val="18"/>
          <w:szCs w:val="18"/>
        </w:rPr>
        <w:t xml:space="preserve"> </w:t>
      </w:r>
    </w:p>
  </w:footnote>
  <w:footnote w:id="8">
    <w:p w14:paraId="33A4BB59" w14:textId="77777777" w:rsidR="004F73CC" w:rsidRPr="00EC52BA" w:rsidRDefault="004F73CC" w:rsidP="004F73CC">
      <w:pPr>
        <w:pStyle w:val="Textodenotaderodap"/>
        <w:rPr>
          <w:rFonts w:ascii="Book Antiqua" w:hAnsi="Book Antiqua"/>
          <w:sz w:val="18"/>
          <w:szCs w:val="18"/>
        </w:rPr>
      </w:pPr>
      <w:r w:rsidRPr="00EC52BA">
        <w:rPr>
          <w:rStyle w:val="Refdenotaderodap"/>
          <w:rFonts w:ascii="Book Antiqua" w:hAnsi="Book Antiqua"/>
          <w:sz w:val="18"/>
          <w:szCs w:val="18"/>
        </w:rPr>
        <w:footnoteRef/>
      </w:r>
      <w:r w:rsidRPr="00EC52BA">
        <w:rPr>
          <w:rFonts w:ascii="Book Antiqua" w:hAnsi="Book Antiqua"/>
          <w:sz w:val="18"/>
          <w:szCs w:val="18"/>
        </w:rPr>
        <w:t xml:space="preserve"> </w:t>
      </w:r>
      <w:r w:rsidRPr="00EC52BA">
        <w:rPr>
          <w:rFonts w:ascii="Book Antiqua" w:eastAsia="Arial" w:hAnsi="Book Antiqua" w:cs="Calibri"/>
          <w:color w:val="000000"/>
          <w:sz w:val="18"/>
          <w:szCs w:val="18"/>
        </w:rPr>
        <w:t>Ac. STJ de 20/09/2017, Proc. 82/17.6YFLSB, e jurisprudência aí citada (máxime: por remissão para o Ac. de 4.02.2016, proc. 529/03.9TAAVR-</w:t>
      </w:r>
      <w:proofErr w:type="gramStart"/>
      <w:r w:rsidRPr="00EC52BA">
        <w:rPr>
          <w:rFonts w:ascii="Book Antiqua" w:eastAsia="Arial" w:hAnsi="Book Antiqua" w:cs="Calibri"/>
          <w:color w:val="000000"/>
          <w:sz w:val="18"/>
          <w:szCs w:val="18"/>
        </w:rPr>
        <w:t>E.S</w:t>
      </w:r>
      <w:proofErr w:type="gramEnd"/>
      <w:r w:rsidRPr="00EC52BA">
        <w:rPr>
          <w:rFonts w:ascii="Book Antiqua" w:eastAsia="Arial" w:hAnsi="Book Antiqua" w:cs="Calibri"/>
          <w:color w:val="000000"/>
          <w:sz w:val="18"/>
          <w:szCs w:val="18"/>
        </w:rPr>
        <w:t>1), ECLI:PT:STJ:2017:82.17.6YFL</w:t>
      </w:r>
      <w:r w:rsidRPr="00EC52BA">
        <w:rPr>
          <w:rFonts w:ascii="Book Antiqua" w:eastAsia="Arial" w:hAnsi="Book Antiqua" w:cs="Calibri"/>
          <w:sz w:val="18"/>
          <w:szCs w:val="18"/>
        </w:rPr>
        <w:t>SB.D4</w:t>
      </w:r>
    </w:p>
  </w:footnote>
  <w:footnote w:id="9">
    <w:p w14:paraId="51B41C53" w14:textId="77777777" w:rsidR="004F73CC" w:rsidRPr="00611F9C" w:rsidRDefault="004F73CC" w:rsidP="004F73CC">
      <w:pPr>
        <w:autoSpaceDE w:val="0"/>
        <w:autoSpaceDN w:val="0"/>
        <w:adjustRightInd w:val="0"/>
        <w:jc w:val="both"/>
        <w:rPr>
          <w:rFonts w:ascii="Book Antiqua" w:hAnsi="Book Antiqua"/>
          <w:sz w:val="18"/>
          <w:szCs w:val="18"/>
        </w:rPr>
      </w:pPr>
      <w:r w:rsidRPr="00611F9C">
        <w:rPr>
          <w:rStyle w:val="Refdenotaderodap"/>
          <w:rFonts w:ascii="Book Antiqua" w:hAnsi="Book Antiqua"/>
          <w:sz w:val="18"/>
          <w:szCs w:val="18"/>
        </w:rPr>
        <w:footnoteRef/>
      </w:r>
      <w:r w:rsidRPr="00611F9C">
        <w:rPr>
          <w:rFonts w:ascii="Book Antiqua" w:hAnsi="Book Antiqua"/>
          <w:sz w:val="18"/>
          <w:szCs w:val="18"/>
        </w:rPr>
        <w:t xml:space="preserve"> </w:t>
      </w:r>
      <w:r w:rsidRPr="00611F9C">
        <w:rPr>
          <w:rFonts w:ascii="Book Antiqua" w:eastAsia="Arial" w:hAnsi="Book Antiqua" w:cs="Calibri"/>
          <w:color w:val="000000"/>
          <w:sz w:val="18"/>
          <w:szCs w:val="18"/>
        </w:rPr>
        <w:t>Ac. STJ de 10/08/2018, Proc. 398/17.1PASXL-</w:t>
      </w:r>
      <w:proofErr w:type="gramStart"/>
      <w:r w:rsidRPr="00611F9C">
        <w:rPr>
          <w:rFonts w:ascii="Book Antiqua" w:eastAsia="Arial" w:hAnsi="Book Antiqua" w:cs="Calibri"/>
          <w:color w:val="000000"/>
          <w:sz w:val="18"/>
          <w:szCs w:val="18"/>
        </w:rPr>
        <w:t>B.S</w:t>
      </w:r>
      <w:proofErr w:type="gramEnd"/>
      <w:r w:rsidRPr="00611F9C">
        <w:rPr>
          <w:rFonts w:ascii="Book Antiqua" w:eastAsia="Arial" w:hAnsi="Book Antiqua" w:cs="Calibri"/>
          <w:color w:val="000000"/>
          <w:sz w:val="18"/>
          <w:szCs w:val="18"/>
        </w:rPr>
        <w:t>1, www.dgsi.pt/</w:t>
      </w:r>
      <w:proofErr w:type="spellStart"/>
      <w:r w:rsidRPr="00611F9C">
        <w:rPr>
          <w:rFonts w:ascii="Book Antiqua" w:eastAsia="Arial" w:hAnsi="Book Antiqua" w:cs="Calibri"/>
          <w:color w:val="000000"/>
          <w:sz w:val="18"/>
          <w:szCs w:val="18"/>
        </w:rPr>
        <w:t>jstj</w:t>
      </w:r>
      <w:proofErr w:type="spellEnd"/>
      <w:r w:rsidRPr="00611F9C">
        <w:rPr>
          <w:rFonts w:ascii="Book Antiqua" w:eastAsia="Arial" w:hAnsi="Book Antiqua" w:cs="Calibri"/>
          <w:color w:val="000000"/>
          <w:sz w:val="18"/>
          <w:szCs w:val="18"/>
        </w:rPr>
        <w:t xml:space="preserve">. </w:t>
      </w:r>
    </w:p>
  </w:footnote>
  <w:footnote w:id="10">
    <w:p w14:paraId="05AF7193" w14:textId="77777777" w:rsidR="004F73CC" w:rsidRPr="00611F9C" w:rsidRDefault="004F73CC" w:rsidP="004F73CC">
      <w:pPr>
        <w:jc w:val="both"/>
        <w:rPr>
          <w:rFonts w:ascii="Book Antiqua" w:hAnsi="Book Antiqua"/>
          <w:sz w:val="18"/>
          <w:szCs w:val="18"/>
        </w:rPr>
      </w:pPr>
      <w:r w:rsidRPr="00611F9C">
        <w:rPr>
          <w:rStyle w:val="Refdenotaderodap"/>
          <w:rFonts w:ascii="Book Antiqua" w:hAnsi="Book Antiqua"/>
          <w:sz w:val="18"/>
          <w:szCs w:val="18"/>
        </w:rPr>
        <w:footnoteRef/>
      </w:r>
      <w:r w:rsidRPr="00611F9C">
        <w:rPr>
          <w:rFonts w:ascii="Book Antiqua" w:hAnsi="Book Antiqua"/>
          <w:sz w:val="18"/>
          <w:szCs w:val="18"/>
        </w:rPr>
        <w:t xml:space="preserve"> Acórdão de 02 de junho de 2021 (relatora Conceição Gomes) - </w:t>
      </w:r>
      <w:r w:rsidRPr="00611F9C">
        <w:rPr>
          <w:rFonts w:ascii="Book Antiqua" w:hAnsi="Book Antiqua"/>
          <w:i/>
          <w:sz w:val="18"/>
          <w:szCs w:val="18"/>
        </w:rPr>
        <w:t>PROC 25/19.2FCFUN-</w:t>
      </w:r>
      <w:proofErr w:type="gramStart"/>
      <w:r w:rsidRPr="00611F9C">
        <w:rPr>
          <w:rFonts w:ascii="Book Antiqua" w:hAnsi="Book Antiqua"/>
          <w:i/>
          <w:sz w:val="18"/>
          <w:szCs w:val="18"/>
        </w:rPr>
        <w:t>A.S</w:t>
      </w:r>
      <w:proofErr w:type="gramEnd"/>
      <w:r w:rsidRPr="00611F9C">
        <w:rPr>
          <w:rFonts w:ascii="Book Antiqua" w:hAnsi="Book Antiqua"/>
          <w:i/>
          <w:sz w:val="18"/>
          <w:szCs w:val="18"/>
        </w:rPr>
        <w:t>1</w:t>
      </w:r>
    </w:p>
  </w:footnote>
  <w:footnote w:id="11">
    <w:p w14:paraId="36A4CA94" w14:textId="77777777" w:rsidR="004F73CC" w:rsidRPr="00611F9C" w:rsidRDefault="004F73CC" w:rsidP="004F73CC">
      <w:pPr>
        <w:pStyle w:val="Textodenotaderodap"/>
        <w:jc w:val="both"/>
        <w:rPr>
          <w:rFonts w:ascii="Book Antiqua" w:hAnsi="Book Antiqua" w:cs="Calibri"/>
          <w:sz w:val="18"/>
          <w:szCs w:val="18"/>
        </w:rPr>
      </w:pPr>
      <w:r w:rsidRPr="00611F9C">
        <w:rPr>
          <w:rStyle w:val="Refdenotaderodap"/>
          <w:rFonts w:ascii="Book Antiqua" w:hAnsi="Book Antiqua" w:cs="Calibri"/>
          <w:sz w:val="18"/>
          <w:szCs w:val="18"/>
        </w:rPr>
        <w:footnoteRef/>
      </w:r>
      <w:r w:rsidRPr="00611F9C">
        <w:rPr>
          <w:rFonts w:ascii="Book Antiqua" w:hAnsi="Book Antiqua" w:cs="Calibri"/>
          <w:sz w:val="18"/>
          <w:szCs w:val="18"/>
        </w:rPr>
        <w:t xml:space="preserve"> 211/12.6GAMDB-</w:t>
      </w:r>
      <w:proofErr w:type="gramStart"/>
      <w:r w:rsidRPr="00611F9C">
        <w:rPr>
          <w:rFonts w:ascii="Book Antiqua" w:hAnsi="Book Antiqua" w:cs="Calibri"/>
          <w:sz w:val="18"/>
          <w:szCs w:val="18"/>
        </w:rPr>
        <w:t>A.S</w:t>
      </w:r>
      <w:proofErr w:type="gramEnd"/>
      <w:r w:rsidRPr="00611F9C">
        <w:rPr>
          <w:rFonts w:ascii="Book Antiqua" w:hAnsi="Book Antiqua" w:cs="Calibri"/>
          <w:sz w:val="18"/>
          <w:szCs w:val="18"/>
        </w:rPr>
        <w:t xml:space="preserve">1. in </w:t>
      </w:r>
      <w:proofErr w:type="spellStart"/>
      <w:r w:rsidRPr="00611F9C">
        <w:rPr>
          <w:rFonts w:ascii="Book Antiqua" w:hAnsi="Book Antiqua" w:cs="Calibri"/>
          <w:sz w:val="18"/>
          <w:szCs w:val="18"/>
        </w:rPr>
        <w:t>www</w:t>
      </w:r>
      <w:proofErr w:type="spellEnd"/>
      <w:r w:rsidRPr="00611F9C">
        <w:rPr>
          <w:rFonts w:ascii="Book Antiqua" w:hAnsi="Book Antiqua" w:cs="Calibri"/>
          <w:sz w:val="18"/>
          <w:szCs w:val="18"/>
        </w:rPr>
        <w:t>. Dgsi.pt</w:t>
      </w:r>
    </w:p>
  </w:footnote>
  <w:footnote w:id="12">
    <w:p w14:paraId="6AFC4FC1" w14:textId="77777777" w:rsidR="00B7549F" w:rsidRPr="00EC52BA" w:rsidRDefault="00B7549F">
      <w:pPr>
        <w:pStyle w:val="Textodenotaderodap"/>
        <w:rPr>
          <w:rFonts w:ascii="Book Antiqua" w:hAnsi="Book Antiqua"/>
          <w:sz w:val="18"/>
          <w:szCs w:val="18"/>
        </w:rPr>
      </w:pPr>
      <w:r w:rsidRPr="00EC52BA">
        <w:rPr>
          <w:rStyle w:val="Refdenotaderodap"/>
          <w:rFonts w:ascii="Book Antiqua" w:hAnsi="Book Antiqua"/>
          <w:sz w:val="18"/>
          <w:szCs w:val="18"/>
        </w:rPr>
        <w:footnoteRef/>
      </w:r>
      <w:r w:rsidRPr="00EC52BA">
        <w:rPr>
          <w:rFonts w:ascii="Book Antiqua" w:hAnsi="Book Antiqua"/>
          <w:sz w:val="18"/>
          <w:szCs w:val="18"/>
        </w:rPr>
        <w:t xml:space="preserve"> </w:t>
      </w:r>
      <w:r w:rsidR="007B2947" w:rsidRPr="00EC52BA">
        <w:rPr>
          <w:rFonts w:ascii="Book Antiqua" w:hAnsi="Book Antiqua"/>
          <w:sz w:val="18"/>
          <w:szCs w:val="18"/>
        </w:rPr>
        <w:t>Cf.</w:t>
      </w:r>
      <w:r w:rsidR="00CB43BB" w:rsidRPr="00EC52BA">
        <w:rPr>
          <w:rFonts w:ascii="Book Antiqua" w:hAnsi="Book Antiqua"/>
          <w:sz w:val="18"/>
          <w:szCs w:val="18"/>
        </w:rPr>
        <w:t xml:space="preserve">, entre outros, acórdão do STJ no </w:t>
      </w:r>
      <w:proofErr w:type="spellStart"/>
      <w:proofErr w:type="gramStart"/>
      <w:r w:rsidR="00CB43BB" w:rsidRPr="00EC52BA">
        <w:rPr>
          <w:rFonts w:ascii="Book Antiqua" w:hAnsi="Book Antiqua"/>
          <w:sz w:val="18"/>
          <w:szCs w:val="18"/>
        </w:rPr>
        <w:t>Proc</w:t>
      </w:r>
      <w:proofErr w:type="spellEnd"/>
      <w:r w:rsidR="00CB43BB" w:rsidRPr="00EC52BA">
        <w:rPr>
          <w:rFonts w:ascii="Book Antiqua" w:hAnsi="Book Antiqua"/>
          <w:sz w:val="18"/>
          <w:szCs w:val="18"/>
        </w:rPr>
        <w:t xml:space="preserve"> </w:t>
      </w:r>
      <w:r w:rsidR="009F6ACA" w:rsidRPr="00EC52BA">
        <w:rPr>
          <w:rFonts w:ascii="Book Antiqua" w:hAnsi="Book Antiqua"/>
          <w:sz w:val="18"/>
          <w:szCs w:val="18"/>
        </w:rPr>
        <w:t xml:space="preserve"> n.º</w:t>
      </w:r>
      <w:proofErr w:type="gramEnd"/>
      <w:r w:rsidR="009F6ACA" w:rsidRPr="00EC52BA">
        <w:rPr>
          <w:rFonts w:ascii="Book Antiqua" w:hAnsi="Book Antiqua"/>
          <w:sz w:val="18"/>
          <w:szCs w:val="18"/>
        </w:rPr>
        <w:t xml:space="preserve"> 21/15.9YFLSB.S1, relator S</w:t>
      </w:r>
      <w:r w:rsidR="00E24DF3" w:rsidRPr="00EC52BA">
        <w:rPr>
          <w:rFonts w:ascii="Book Antiqua" w:hAnsi="Book Antiqua"/>
          <w:sz w:val="18"/>
          <w:szCs w:val="18"/>
        </w:rPr>
        <w:t>outo Moura</w:t>
      </w:r>
    </w:p>
  </w:footnote>
  <w:footnote w:id="13">
    <w:p w14:paraId="6C8C7D98" w14:textId="77777777" w:rsidR="00A26E47" w:rsidRPr="00EC52BA" w:rsidRDefault="00A26E47" w:rsidP="00A26E47">
      <w:pPr>
        <w:pStyle w:val="Textodenotaderodap"/>
        <w:rPr>
          <w:rFonts w:ascii="Book Antiqua" w:hAnsi="Book Antiqua"/>
          <w:sz w:val="18"/>
          <w:szCs w:val="18"/>
        </w:rPr>
      </w:pPr>
      <w:r w:rsidRPr="00EC52BA">
        <w:rPr>
          <w:rStyle w:val="Refdenotaderodap"/>
          <w:rFonts w:ascii="Book Antiqua" w:hAnsi="Book Antiqua"/>
          <w:sz w:val="18"/>
          <w:szCs w:val="18"/>
        </w:rPr>
        <w:footnoteRef/>
      </w:r>
      <w:r w:rsidRPr="00EC52BA">
        <w:rPr>
          <w:rFonts w:ascii="Book Antiqua" w:hAnsi="Book Antiqua"/>
          <w:sz w:val="18"/>
          <w:szCs w:val="18"/>
        </w:rPr>
        <w:t xml:space="preserve"> </w:t>
      </w:r>
      <w:r w:rsidR="002C48D8" w:rsidRPr="00EC52BA">
        <w:rPr>
          <w:rFonts w:ascii="Book Antiqua" w:hAnsi="Book Antiqua"/>
          <w:sz w:val="18"/>
          <w:szCs w:val="18"/>
        </w:rPr>
        <w:t xml:space="preserve">No mesmo sentido </w:t>
      </w:r>
      <w:r w:rsidRPr="00EC52BA">
        <w:rPr>
          <w:rFonts w:ascii="Book Antiqua" w:hAnsi="Book Antiqua"/>
          <w:sz w:val="18"/>
          <w:szCs w:val="18"/>
        </w:rPr>
        <w:t>acórdão do STJ Proc. 523/17.2PBEVR-B.S1, relator Sénio Alves</w:t>
      </w:r>
      <w:r w:rsidR="00E24DF3" w:rsidRPr="00EC52BA">
        <w:rPr>
          <w:rFonts w:ascii="Book Antiqua" w:hAnsi="Book Antiqua"/>
          <w:sz w:val="18"/>
          <w:szCs w:val="18"/>
        </w:rPr>
        <w:t xml:space="preserve">, disponível em </w:t>
      </w:r>
      <w:hyperlink r:id="rId1" w:history="1">
        <w:r w:rsidR="002C48D8" w:rsidRPr="00EC52BA">
          <w:rPr>
            <w:rStyle w:val="Hiperligao"/>
            <w:rFonts w:ascii="Book Antiqua" w:hAnsi="Book Antiqua"/>
            <w:sz w:val="18"/>
            <w:szCs w:val="18"/>
          </w:rPr>
          <w:t>http://www.dgsi.pt/jstj.nsf/954f0ce6ad9dd8b980256b5f003fa814/944ef7a42a081506802586e1003e50da?OpenDocument</w:t>
        </w:r>
      </w:hyperlink>
    </w:p>
  </w:footnote>
  <w:footnote w:id="14">
    <w:p w14:paraId="64BB325E" w14:textId="77777777" w:rsidR="00C472BD" w:rsidRPr="00EC52BA" w:rsidRDefault="00C472BD">
      <w:pPr>
        <w:pStyle w:val="Textodenotaderodap"/>
        <w:rPr>
          <w:rFonts w:ascii="Book Antiqua" w:hAnsi="Book Antiqua"/>
          <w:sz w:val="18"/>
          <w:szCs w:val="18"/>
        </w:rPr>
      </w:pPr>
      <w:r w:rsidRPr="00EC52BA">
        <w:rPr>
          <w:rStyle w:val="Refdenotaderodap"/>
          <w:rFonts w:ascii="Book Antiqua" w:hAnsi="Book Antiqua"/>
          <w:sz w:val="18"/>
          <w:szCs w:val="18"/>
        </w:rPr>
        <w:footnoteRef/>
      </w:r>
      <w:r w:rsidRPr="00EC52BA">
        <w:rPr>
          <w:rFonts w:ascii="Book Antiqua" w:hAnsi="Book Antiqua"/>
          <w:sz w:val="18"/>
          <w:szCs w:val="18"/>
        </w:rPr>
        <w:t xml:space="preserve"> Proc. 626/16.0PIPRT-</w:t>
      </w:r>
      <w:proofErr w:type="gramStart"/>
      <w:r w:rsidRPr="00EC52BA">
        <w:rPr>
          <w:rFonts w:ascii="Book Antiqua" w:hAnsi="Book Antiqua"/>
          <w:sz w:val="18"/>
          <w:szCs w:val="18"/>
        </w:rPr>
        <w:t>C.S</w:t>
      </w:r>
      <w:proofErr w:type="gramEnd"/>
      <w:r w:rsidRPr="00EC52BA">
        <w:rPr>
          <w:rFonts w:ascii="Book Antiqua" w:hAnsi="Book Antiqua"/>
          <w:sz w:val="18"/>
          <w:szCs w:val="18"/>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8122" w14:textId="77777777" w:rsidR="00650C2C" w:rsidRDefault="00650C2C" w:rsidP="00650C2C">
    <w:pPr>
      <w:pStyle w:val="Cabealho"/>
      <w:jc w:val="center"/>
    </w:pPr>
    <w:r w:rsidRPr="00892D44">
      <w:rPr>
        <w:rFonts w:ascii="Helvetica-Light" w:hAnsi="Helvetica-Light"/>
        <w:noProof/>
      </w:rPr>
      <w:drawing>
        <wp:inline distT="0" distB="0" distL="0" distR="0" wp14:anchorId="5BB9CD2D" wp14:editId="02011948">
          <wp:extent cx="797560" cy="712470"/>
          <wp:effectExtent l="0" t="0" r="0" b="0"/>
          <wp:docPr id="10" name="Imagem 1" descr="Uma imagem com texto, artigos de cerâmica, porcel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Uma imagem com texto, artigos de cerâmica, porcelan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712470"/>
                  </a:xfrm>
                  <a:prstGeom prst="rect">
                    <a:avLst/>
                  </a:prstGeom>
                  <a:noFill/>
                  <a:ln>
                    <a:noFill/>
                  </a:ln>
                </pic:spPr>
              </pic:pic>
            </a:graphicData>
          </a:graphic>
        </wp:inline>
      </w:drawing>
    </w:r>
  </w:p>
  <w:p w14:paraId="66C6E9B7" w14:textId="77777777" w:rsidR="00650C2C" w:rsidRDefault="00650C2C" w:rsidP="00650C2C">
    <w:pPr>
      <w:pStyle w:val="Cabealho"/>
      <w:jc w:val="center"/>
    </w:pPr>
  </w:p>
  <w:p w14:paraId="7800EEB0" w14:textId="77777777" w:rsidR="00650C2C" w:rsidRPr="00A01F8A" w:rsidRDefault="00650C2C" w:rsidP="00650C2C">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sidRPr="00A01F8A">
      <w:rPr>
        <w:rFonts w:ascii="Times New Roman" w:hAnsi="Times New Roman" w:cs="Times New Roman"/>
        <w:b/>
        <w:bCs/>
      </w:rPr>
      <w:t>Supremo Tribunal de Justiça</w:t>
    </w:r>
  </w:p>
  <w:p w14:paraId="56D1D4A4" w14:textId="77777777" w:rsidR="00650C2C" w:rsidRPr="00F22803" w:rsidRDefault="00650C2C" w:rsidP="00650C2C">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Pr>
        <w:rFonts w:ascii="Times New Roman" w:hAnsi="Times New Roman" w:cs="Times New Roman"/>
        <w:b/>
        <w:bCs/>
      </w:rPr>
      <w:t>3</w:t>
    </w:r>
    <w:r w:rsidRPr="00A01F8A">
      <w:rPr>
        <w:rFonts w:ascii="Times New Roman" w:hAnsi="Times New Roman" w:cs="Times New Roman"/>
        <w:b/>
        <w:bCs/>
      </w:rPr>
      <w:t xml:space="preserve">.ª Secção </w:t>
    </w:r>
    <w:r>
      <w:rPr>
        <w:rFonts w:ascii="Times New Roman" w:hAnsi="Times New Roman" w:cs="Times New Roman"/>
        <w:b/>
        <w:bCs/>
      </w:rPr>
      <w:t>Criminal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2D9"/>
    <w:multiLevelType w:val="hybridMultilevel"/>
    <w:tmpl w:val="9D22CB5A"/>
    <w:lvl w:ilvl="0" w:tplc="FFFFFFFF">
      <w:start w:val="1"/>
      <w:numFmt w:val="lowerRoman"/>
      <w:lvlText w:val="%1."/>
      <w:lvlJc w:val="righ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23157"/>
    <w:multiLevelType w:val="hybridMultilevel"/>
    <w:tmpl w:val="BD448042"/>
    <w:lvl w:ilvl="0" w:tplc="D87E05CC">
      <w:start w:val="1"/>
      <w:numFmt w:val="lowerRoman"/>
      <w:lvlText w:val="%1."/>
      <w:lvlJc w:val="right"/>
      <w:pPr>
        <w:ind w:left="720" w:hanging="360"/>
      </w:pPr>
      <w:rPr>
        <w:i/>
        <w:i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D05313D"/>
    <w:multiLevelType w:val="hybridMultilevel"/>
    <w:tmpl w:val="0DCC952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A427CD"/>
    <w:multiLevelType w:val="hybridMultilevel"/>
    <w:tmpl w:val="C5A4AAE6"/>
    <w:lvl w:ilvl="0" w:tplc="79B0D36C">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49A144C"/>
    <w:multiLevelType w:val="hybridMultilevel"/>
    <w:tmpl w:val="BAC6D7C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FFC362D"/>
    <w:multiLevelType w:val="hybridMultilevel"/>
    <w:tmpl w:val="33C200EC"/>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E84383E"/>
    <w:multiLevelType w:val="hybridMultilevel"/>
    <w:tmpl w:val="69566018"/>
    <w:lvl w:ilvl="0" w:tplc="FFFFFFFF">
      <w:start w:val="1"/>
      <w:numFmt w:val="lowerRoman"/>
      <w:lvlText w:val="%1."/>
      <w:lvlJc w:val="righ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2"/>
    <w:rsid w:val="0000490A"/>
    <w:rsid w:val="0000536B"/>
    <w:rsid w:val="00006047"/>
    <w:rsid w:val="0000719A"/>
    <w:rsid w:val="0001236F"/>
    <w:rsid w:val="0001654E"/>
    <w:rsid w:val="0002045F"/>
    <w:rsid w:val="0002327E"/>
    <w:rsid w:val="00026855"/>
    <w:rsid w:val="00027D31"/>
    <w:rsid w:val="00031A3C"/>
    <w:rsid w:val="000347EB"/>
    <w:rsid w:val="000361AC"/>
    <w:rsid w:val="00040193"/>
    <w:rsid w:val="00044C46"/>
    <w:rsid w:val="000462AE"/>
    <w:rsid w:val="0005083B"/>
    <w:rsid w:val="00050980"/>
    <w:rsid w:val="00057BF3"/>
    <w:rsid w:val="00060421"/>
    <w:rsid w:val="000642B1"/>
    <w:rsid w:val="00070D74"/>
    <w:rsid w:val="00070FEE"/>
    <w:rsid w:val="00071F4A"/>
    <w:rsid w:val="0007241C"/>
    <w:rsid w:val="000769AD"/>
    <w:rsid w:val="00077C97"/>
    <w:rsid w:val="00082E23"/>
    <w:rsid w:val="000913E1"/>
    <w:rsid w:val="00091C78"/>
    <w:rsid w:val="00096170"/>
    <w:rsid w:val="000B20EA"/>
    <w:rsid w:val="000B3385"/>
    <w:rsid w:val="000B7DEE"/>
    <w:rsid w:val="000C01C3"/>
    <w:rsid w:val="000C41F6"/>
    <w:rsid w:val="000C4929"/>
    <w:rsid w:val="000C7176"/>
    <w:rsid w:val="000C7D06"/>
    <w:rsid w:val="000D0567"/>
    <w:rsid w:val="000D12F1"/>
    <w:rsid w:val="000D1C91"/>
    <w:rsid w:val="000D1F2B"/>
    <w:rsid w:val="000D27FE"/>
    <w:rsid w:val="000D3921"/>
    <w:rsid w:val="000D4128"/>
    <w:rsid w:val="000D5783"/>
    <w:rsid w:val="000E0E38"/>
    <w:rsid w:val="000E1710"/>
    <w:rsid w:val="00101663"/>
    <w:rsid w:val="001020EE"/>
    <w:rsid w:val="00105CA1"/>
    <w:rsid w:val="0011319F"/>
    <w:rsid w:val="00114D3D"/>
    <w:rsid w:val="001212C0"/>
    <w:rsid w:val="001231D3"/>
    <w:rsid w:val="001257A1"/>
    <w:rsid w:val="00125ED3"/>
    <w:rsid w:val="00134CE0"/>
    <w:rsid w:val="00135AB6"/>
    <w:rsid w:val="001416F2"/>
    <w:rsid w:val="00143B8C"/>
    <w:rsid w:val="001474AB"/>
    <w:rsid w:val="001504CF"/>
    <w:rsid w:val="001537E9"/>
    <w:rsid w:val="001538D3"/>
    <w:rsid w:val="001605B2"/>
    <w:rsid w:val="00162330"/>
    <w:rsid w:val="001625A8"/>
    <w:rsid w:val="00162715"/>
    <w:rsid w:val="001704A7"/>
    <w:rsid w:val="001810F4"/>
    <w:rsid w:val="00182B10"/>
    <w:rsid w:val="0018528E"/>
    <w:rsid w:val="001862FD"/>
    <w:rsid w:val="00193D0D"/>
    <w:rsid w:val="001A11A0"/>
    <w:rsid w:val="001B5FE5"/>
    <w:rsid w:val="001C02B8"/>
    <w:rsid w:val="001C27D8"/>
    <w:rsid w:val="001C2C75"/>
    <w:rsid w:val="001C64BE"/>
    <w:rsid w:val="001D15F8"/>
    <w:rsid w:val="001D2C33"/>
    <w:rsid w:val="001D4FD4"/>
    <w:rsid w:val="001D60DD"/>
    <w:rsid w:val="001E18AD"/>
    <w:rsid w:val="001E346B"/>
    <w:rsid w:val="001E39A6"/>
    <w:rsid w:val="001E4121"/>
    <w:rsid w:val="001E45ED"/>
    <w:rsid w:val="001F2597"/>
    <w:rsid w:val="001F479C"/>
    <w:rsid w:val="001F4C23"/>
    <w:rsid w:val="001F5242"/>
    <w:rsid w:val="001F628E"/>
    <w:rsid w:val="00201222"/>
    <w:rsid w:val="002043FC"/>
    <w:rsid w:val="00205043"/>
    <w:rsid w:val="00206170"/>
    <w:rsid w:val="0021107E"/>
    <w:rsid w:val="0021265A"/>
    <w:rsid w:val="00213506"/>
    <w:rsid w:val="00214A0B"/>
    <w:rsid w:val="00226B76"/>
    <w:rsid w:val="00226EA0"/>
    <w:rsid w:val="00230482"/>
    <w:rsid w:val="00232D98"/>
    <w:rsid w:val="00234411"/>
    <w:rsid w:val="002402C9"/>
    <w:rsid w:val="00243642"/>
    <w:rsid w:val="002519AB"/>
    <w:rsid w:val="00251F72"/>
    <w:rsid w:val="00256527"/>
    <w:rsid w:val="00262552"/>
    <w:rsid w:val="002733A5"/>
    <w:rsid w:val="00274E8E"/>
    <w:rsid w:val="00276A46"/>
    <w:rsid w:val="00276FD7"/>
    <w:rsid w:val="00282B75"/>
    <w:rsid w:val="00286063"/>
    <w:rsid w:val="00287BF1"/>
    <w:rsid w:val="0029155A"/>
    <w:rsid w:val="0029185D"/>
    <w:rsid w:val="00297EC4"/>
    <w:rsid w:val="002A0DDF"/>
    <w:rsid w:val="002A18B5"/>
    <w:rsid w:val="002A211C"/>
    <w:rsid w:val="002A2AC5"/>
    <w:rsid w:val="002C03D3"/>
    <w:rsid w:val="002C08D4"/>
    <w:rsid w:val="002C0A80"/>
    <w:rsid w:val="002C20D7"/>
    <w:rsid w:val="002C2204"/>
    <w:rsid w:val="002C3674"/>
    <w:rsid w:val="002C38E2"/>
    <w:rsid w:val="002C4406"/>
    <w:rsid w:val="002C48D8"/>
    <w:rsid w:val="002C5A62"/>
    <w:rsid w:val="002C6CDF"/>
    <w:rsid w:val="002D1214"/>
    <w:rsid w:val="002D1A56"/>
    <w:rsid w:val="002D457A"/>
    <w:rsid w:val="002E3A25"/>
    <w:rsid w:val="002E431E"/>
    <w:rsid w:val="002E5B65"/>
    <w:rsid w:val="002E6017"/>
    <w:rsid w:val="002F0BDC"/>
    <w:rsid w:val="002F654D"/>
    <w:rsid w:val="002F7B1D"/>
    <w:rsid w:val="00305480"/>
    <w:rsid w:val="00305E8E"/>
    <w:rsid w:val="00307147"/>
    <w:rsid w:val="00311057"/>
    <w:rsid w:val="00312D0D"/>
    <w:rsid w:val="00312E63"/>
    <w:rsid w:val="00313B9D"/>
    <w:rsid w:val="00317F98"/>
    <w:rsid w:val="00323559"/>
    <w:rsid w:val="00323E6C"/>
    <w:rsid w:val="00327156"/>
    <w:rsid w:val="00333BFE"/>
    <w:rsid w:val="00334769"/>
    <w:rsid w:val="003366F9"/>
    <w:rsid w:val="00341EBB"/>
    <w:rsid w:val="00343963"/>
    <w:rsid w:val="003439DE"/>
    <w:rsid w:val="003466EC"/>
    <w:rsid w:val="00350E0C"/>
    <w:rsid w:val="00351CE3"/>
    <w:rsid w:val="00352C31"/>
    <w:rsid w:val="003560F8"/>
    <w:rsid w:val="0036253A"/>
    <w:rsid w:val="003717F2"/>
    <w:rsid w:val="00374583"/>
    <w:rsid w:val="00375D87"/>
    <w:rsid w:val="0037671D"/>
    <w:rsid w:val="003842C5"/>
    <w:rsid w:val="003A1E2C"/>
    <w:rsid w:val="003A21E2"/>
    <w:rsid w:val="003A3A3F"/>
    <w:rsid w:val="003A5A54"/>
    <w:rsid w:val="003B4326"/>
    <w:rsid w:val="003B49B2"/>
    <w:rsid w:val="003B61EB"/>
    <w:rsid w:val="003C692F"/>
    <w:rsid w:val="003D1E0A"/>
    <w:rsid w:val="003D23D1"/>
    <w:rsid w:val="003D5240"/>
    <w:rsid w:val="003D53FE"/>
    <w:rsid w:val="003E02D3"/>
    <w:rsid w:val="003E3BD1"/>
    <w:rsid w:val="003E3CD3"/>
    <w:rsid w:val="003F3549"/>
    <w:rsid w:val="004007C6"/>
    <w:rsid w:val="00406B97"/>
    <w:rsid w:val="004202C4"/>
    <w:rsid w:val="00420EAB"/>
    <w:rsid w:val="004230DC"/>
    <w:rsid w:val="00423299"/>
    <w:rsid w:val="004232F7"/>
    <w:rsid w:val="00423A7F"/>
    <w:rsid w:val="00425E69"/>
    <w:rsid w:val="00426E62"/>
    <w:rsid w:val="004302A8"/>
    <w:rsid w:val="00436137"/>
    <w:rsid w:val="00444A80"/>
    <w:rsid w:val="00446DA2"/>
    <w:rsid w:val="004566F1"/>
    <w:rsid w:val="00462EB4"/>
    <w:rsid w:val="0046342C"/>
    <w:rsid w:val="00471A9A"/>
    <w:rsid w:val="00473AEA"/>
    <w:rsid w:val="0047693A"/>
    <w:rsid w:val="00481647"/>
    <w:rsid w:val="00482773"/>
    <w:rsid w:val="00484DD0"/>
    <w:rsid w:val="00486663"/>
    <w:rsid w:val="004878B3"/>
    <w:rsid w:val="00490FC1"/>
    <w:rsid w:val="004916F0"/>
    <w:rsid w:val="0049270E"/>
    <w:rsid w:val="004972FF"/>
    <w:rsid w:val="004A188E"/>
    <w:rsid w:val="004A46F6"/>
    <w:rsid w:val="004B6228"/>
    <w:rsid w:val="004C2C3A"/>
    <w:rsid w:val="004C4266"/>
    <w:rsid w:val="004C48C3"/>
    <w:rsid w:val="004C7140"/>
    <w:rsid w:val="004C7A5F"/>
    <w:rsid w:val="004D0CD2"/>
    <w:rsid w:val="004D22B6"/>
    <w:rsid w:val="004E3821"/>
    <w:rsid w:val="004F4031"/>
    <w:rsid w:val="004F4E9A"/>
    <w:rsid w:val="004F509F"/>
    <w:rsid w:val="004F73CC"/>
    <w:rsid w:val="0050052F"/>
    <w:rsid w:val="00505943"/>
    <w:rsid w:val="005074C8"/>
    <w:rsid w:val="00521D3A"/>
    <w:rsid w:val="00531920"/>
    <w:rsid w:val="005375C9"/>
    <w:rsid w:val="00543853"/>
    <w:rsid w:val="00546626"/>
    <w:rsid w:val="00547182"/>
    <w:rsid w:val="00557E0D"/>
    <w:rsid w:val="0056019C"/>
    <w:rsid w:val="00566B33"/>
    <w:rsid w:val="00571FB0"/>
    <w:rsid w:val="005770BE"/>
    <w:rsid w:val="0058091D"/>
    <w:rsid w:val="00580E23"/>
    <w:rsid w:val="00582A56"/>
    <w:rsid w:val="00594A6B"/>
    <w:rsid w:val="005A03E7"/>
    <w:rsid w:val="005B2064"/>
    <w:rsid w:val="005B2B87"/>
    <w:rsid w:val="005B5802"/>
    <w:rsid w:val="005B6A65"/>
    <w:rsid w:val="005B710A"/>
    <w:rsid w:val="005C1E5B"/>
    <w:rsid w:val="005C2A99"/>
    <w:rsid w:val="005C4A73"/>
    <w:rsid w:val="005C7855"/>
    <w:rsid w:val="005D0E23"/>
    <w:rsid w:val="005D4D86"/>
    <w:rsid w:val="005E04BE"/>
    <w:rsid w:val="005E49DA"/>
    <w:rsid w:val="005E69EE"/>
    <w:rsid w:val="005F30A1"/>
    <w:rsid w:val="005F6578"/>
    <w:rsid w:val="005F6BED"/>
    <w:rsid w:val="006011F9"/>
    <w:rsid w:val="0060368F"/>
    <w:rsid w:val="00611F9C"/>
    <w:rsid w:val="006203DC"/>
    <w:rsid w:val="00620C5D"/>
    <w:rsid w:val="00622783"/>
    <w:rsid w:val="006240EB"/>
    <w:rsid w:val="0063023E"/>
    <w:rsid w:val="00636D2A"/>
    <w:rsid w:val="00640B06"/>
    <w:rsid w:val="00640EEF"/>
    <w:rsid w:val="0064263E"/>
    <w:rsid w:val="00644988"/>
    <w:rsid w:val="00644CC7"/>
    <w:rsid w:val="00650C2C"/>
    <w:rsid w:val="006526E4"/>
    <w:rsid w:val="00654B77"/>
    <w:rsid w:val="00656173"/>
    <w:rsid w:val="00657243"/>
    <w:rsid w:val="00663C89"/>
    <w:rsid w:val="0067014A"/>
    <w:rsid w:val="00671F77"/>
    <w:rsid w:val="00680597"/>
    <w:rsid w:val="00681464"/>
    <w:rsid w:val="00690F0F"/>
    <w:rsid w:val="00695938"/>
    <w:rsid w:val="006A683E"/>
    <w:rsid w:val="006C6E26"/>
    <w:rsid w:val="006D09DF"/>
    <w:rsid w:val="006D6787"/>
    <w:rsid w:val="006D69FF"/>
    <w:rsid w:val="006E4414"/>
    <w:rsid w:val="00701C57"/>
    <w:rsid w:val="00704B89"/>
    <w:rsid w:val="007055D6"/>
    <w:rsid w:val="007071D8"/>
    <w:rsid w:val="00714D7D"/>
    <w:rsid w:val="00716EB5"/>
    <w:rsid w:val="00716EE7"/>
    <w:rsid w:val="00717B8D"/>
    <w:rsid w:val="007239D1"/>
    <w:rsid w:val="007259EF"/>
    <w:rsid w:val="00731AFC"/>
    <w:rsid w:val="00735448"/>
    <w:rsid w:val="0074087C"/>
    <w:rsid w:val="00741192"/>
    <w:rsid w:val="00746207"/>
    <w:rsid w:val="00765B5B"/>
    <w:rsid w:val="007671AB"/>
    <w:rsid w:val="00767463"/>
    <w:rsid w:val="0077057D"/>
    <w:rsid w:val="00772AC8"/>
    <w:rsid w:val="00780013"/>
    <w:rsid w:val="00783713"/>
    <w:rsid w:val="00786542"/>
    <w:rsid w:val="007918AC"/>
    <w:rsid w:val="00794505"/>
    <w:rsid w:val="007A0CC4"/>
    <w:rsid w:val="007B2947"/>
    <w:rsid w:val="007C21FF"/>
    <w:rsid w:val="007C3293"/>
    <w:rsid w:val="007C5952"/>
    <w:rsid w:val="007C7571"/>
    <w:rsid w:val="007D45F8"/>
    <w:rsid w:val="007E6160"/>
    <w:rsid w:val="007F0C3E"/>
    <w:rsid w:val="007F492B"/>
    <w:rsid w:val="007F78AB"/>
    <w:rsid w:val="00801BDB"/>
    <w:rsid w:val="00805E2E"/>
    <w:rsid w:val="00807848"/>
    <w:rsid w:val="00811D5B"/>
    <w:rsid w:val="008172C4"/>
    <w:rsid w:val="008209EB"/>
    <w:rsid w:val="008320A9"/>
    <w:rsid w:val="00837948"/>
    <w:rsid w:val="00843A09"/>
    <w:rsid w:val="0085197A"/>
    <w:rsid w:val="0085416A"/>
    <w:rsid w:val="0086063F"/>
    <w:rsid w:val="00862FE9"/>
    <w:rsid w:val="0086345C"/>
    <w:rsid w:val="008713F6"/>
    <w:rsid w:val="008736DE"/>
    <w:rsid w:val="008778C8"/>
    <w:rsid w:val="00883753"/>
    <w:rsid w:val="008863EB"/>
    <w:rsid w:val="00890BD8"/>
    <w:rsid w:val="00891FC5"/>
    <w:rsid w:val="008A1FB3"/>
    <w:rsid w:val="008A2263"/>
    <w:rsid w:val="008A4725"/>
    <w:rsid w:val="008B5BAB"/>
    <w:rsid w:val="008C1627"/>
    <w:rsid w:val="008C16A4"/>
    <w:rsid w:val="008C54D7"/>
    <w:rsid w:val="008C59CD"/>
    <w:rsid w:val="008D57E9"/>
    <w:rsid w:val="008E2C53"/>
    <w:rsid w:val="008E3557"/>
    <w:rsid w:val="008E72B7"/>
    <w:rsid w:val="008E74CD"/>
    <w:rsid w:val="008F1256"/>
    <w:rsid w:val="008F4D68"/>
    <w:rsid w:val="008F7715"/>
    <w:rsid w:val="00902050"/>
    <w:rsid w:val="009044F9"/>
    <w:rsid w:val="00912AF3"/>
    <w:rsid w:val="0091778C"/>
    <w:rsid w:val="009246C2"/>
    <w:rsid w:val="009260F0"/>
    <w:rsid w:val="0093048F"/>
    <w:rsid w:val="0093131D"/>
    <w:rsid w:val="009333A7"/>
    <w:rsid w:val="00934FF6"/>
    <w:rsid w:val="00936C7C"/>
    <w:rsid w:val="00942CC3"/>
    <w:rsid w:val="009448C5"/>
    <w:rsid w:val="00950384"/>
    <w:rsid w:val="00951C5F"/>
    <w:rsid w:val="00961225"/>
    <w:rsid w:val="00961C2B"/>
    <w:rsid w:val="00961F9F"/>
    <w:rsid w:val="00963AB3"/>
    <w:rsid w:val="00964304"/>
    <w:rsid w:val="00972EB6"/>
    <w:rsid w:val="009744E7"/>
    <w:rsid w:val="0097508C"/>
    <w:rsid w:val="009834FE"/>
    <w:rsid w:val="00983FD8"/>
    <w:rsid w:val="0098767F"/>
    <w:rsid w:val="009913EC"/>
    <w:rsid w:val="009A7734"/>
    <w:rsid w:val="009B3342"/>
    <w:rsid w:val="009B6721"/>
    <w:rsid w:val="009B7F0E"/>
    <w:rsid w:val="009C0FA6"/>
    <w:rsid w:val="009D1742"/>
    <w:rsid w:val="009D1A43"/>
    <w:rsid w:val="009D1B73"/>
    <w:rsid w:val="009E209D"/>
    <w:rsid w:val="009F0A22"/>
    <w:rsid w:val="009F6ACA"/>
    <w:rsid w:val="009F77E9"/>
    <w:rsid w:val="00A00A5F"/>
    <w:rsid w:val="00A05389"/>
    <w:rsid w:val="00A201BB"/>
    <w:rsid w:val="00A22C83"/>
    <w:rsid w:val="00A24924"/>
    <w:rsid w:val="00A26E47"/>
    <w:rsid w:val="00A33AB8"/>
    <w:rsid w:val="00A403B9"/>
    <w:rsid w:val="00A41DA3"/>
    <w:rsid w:val="00A527C9"/>
    <w:rsid w:val="00A5359B"/>
    <w:rsid w:val="00A568DC"/>
    <w:rsid w:val="00A56C9E"/>
    <w:rsid w:val="00A60036"/>
    <w:rsid w:val="00A601A6"/>
    <w:rsid w:val="00A641D5"/>
    <w:rsid w:val="00A674E9"/>
    <w:rsid w:val="00A67A54"/>
    <w:rsid w:val="00A70158"/>
    <w:rsid w:val="00A701E3"/>
    <w:rsid w:val="00A7433B"/>
    <w:rsid w:val="00A7454A"/>
    <w:rsid w:val="00A74716"/>
    <w:rsid w:val="00A82DEA"/>
    <w:rsid w:val="00A904E5"/>
    <w:rsid w:val="00A91D5C"/>
    <w:rsid w:val="00A92C6B"/>
    <w:rsid w:val="00A936B4"/>
    <w:rsid w:val="00A974D5"/>
    <w:rsid w:val="00AA01D8"/>
    <w:rsid w:val="00AA4C3D"/>
    <w:rsid w:val="00AB1101"/>
    <w:rsid w:val="00AB1167"/>
    <w:rsid w:val="00AC0CDE"/>
    <w:rsid w:val="00AC575F"/>
    <w:rsid w:val="00AC6FBB"/>
    <w:rsid w:val="00AD1175"/>
    <w:rsid w:val="00AD133C"/>
    <w:rsid w:val="00AD14EA"/>
    <w:rsid w:val="00AD2C9F"/>
    <w:rsid w:val="00AD51C8"/>
    <w:rsid w:val="00AE1CA9"/>
    <w:rsid w:val="00AE4F7F"/>
    <w:rsid w:val="00AE696A"/>
    <w:rsid w:val="00AE7678"/>
    <w:rsid w:val="00AE7C11"/>
    <w:rsid w:val="00AE7D7E"/>
    <w:rsid w:val="00AF2B45"/>
    <w:rsid w:val="00AF59FC"/>
    <w:rsid w:val="00B020E7"/>
    <w:rsid w:val="00B0231D"/>
    <w:rsid w:val="00B03EAE"/>
    <w:rsid w:val="00B03FF9"/>
    <w:rsid w:val="00B05045"/>
    <w:rsid w:val="00B1064C"/>
    <w:rsid w:val="00B219E7"/>
    <w:rsid w:val="00B22788"/>
    <w:rsid w:val="00B23BE9"/>
    <w:rsid w:val="00B26D0B"/>
    <w:rsid w:val="00B340C3"/>
    <w:rsid w:val="00B36D3D"/>
    <w:rsid w:val="00B44785"/>
    <w:rsid w:val="00B45B4B"/>
    <w:rsid w:val="00B47C34"/>
    <w:rsid w:val="00B5003F"/>
    <w:rsid w:val="00B5028D"/>
    <w:rsid w:val="00B5122B"/>
    <w:rsid w:val="00B55694"/>
    <w:rsid w:val="00B614D2"/>
    <w:rsid w:val="00B702EF"/>
    <w:rsid w:val="00B725F0"/>
    <w:rsid w:val="00B72E4C"/>
    <w:rsid w:val="00B7549F"/>
    <w:rsid w:val="00B800D7"/>
    <w:rsid w:val="00B83A3A"/>
    <w:rsid w:val="00B851D6"/>
    <w:rsid w:val="00B85536"/>
    <w:rsid w:val="00B870F5"/>
    <w:rsid w:val="00B87642"/>
    <w:rsid w:val="00B87E6A"/>
    <w:rsid w:val="00B90CD3"/>
    <w:rsid w:val="00B90DEC"/>
    <w:rsid w:val="00B91826"/>
    <w:rsid w:val="00B927EA"/>
    <w:rsid w:val="00B96310"/>
    <w:rsid w:val="00B97635"/>
    <w:rsid w:val="00BA063E"/>
    <w:rsid w:val="00BA42EE"/>
    <w:rsid w:val="00BA4E99"/>
    <w:rsid w:val="00BA57D4"/>
    <w:rsid w:val="00BC096A"/>
    <w:rsid w:val="00BC2427"/>
    <w:rsid w:val="00BD08C1"/>
    <w:rsid w:val="00BD433C"/>
    <w:rsid w:val="00BD547B"/>
    <w:rsid w:val="00BE5CC1"/>
    <w:rsid w:val="00BE7FE9"/>
    <w:rsid w:val="00BF2096"/>
    <w:rsid w:val="00BF50A5"/>
    <w:rsid w:val="00BF75C8"/>
    <w:rsid w:val="00C00A10"/>
    <w:rsid w:val="00C0576C"/>
    <w:rsid w:val="00C138ED"/>
    <w:rsid w:val="00C1725F"/>
    <w:rsid w:val="00C26BAD"/>
    <w:rsid w:val="00C27243"/>
    <w:rsid w:val="00C37DF2"/>
    <w:rsid w:val="00C42185"/>
    <w:rsid w:val="00C42B5C"/>
    <w:rsid w:val="00C472BD"/>
    <w:rsid w:val="00C503C4"/>
    <w:rsid w:val="00C70E3F"/>
    <w:rsid w:val="00C76F12"/>
    <w:rsid w:val="00C77B43"/>
    <w:rsid w:val="00C80A77"/>
    <w:rsid w:val="00C84A46"/>
    <w:rsid w:val="00C85339"/>
    <w:rsid w:val="00C87880"/>
    <w:rsid w:val="00C940C3"/>
    <w:rsid w:val="00C9429C"/>
    <w:rsid w:val="00CA2890"/>
    <w:rsid w:val="00CA3251"/>
    <w:rsid w:val="00CA4A84"/>
    <w:rsid w:val="00CA6A47"/>
    <w:rsid w:val="00CA6FA5"/>
    <w:rsid w:val="00CB25BF"/>
    <w:rsid w:val="00CB43BB"/>
    <w:rsid w:val="00CC10CE"/>
    <w:rsid w:val="00CC314A"/>
    <w:rsid w:val="00CC7FD6"/>
    <w:rsid w:val="00CD11EA"/>
    <w:rsid w:val="00CD7189"/>
    <w:rsid w:val="00CE7227"/>
    <w:rsid w:val="00CF0EF4"/>
    <w:rsid w:val="00CF4C1F"/>
    <w:rsid w:val="00D01C16"/>
    <w:rsid w:val="00D0236C"/>
    <w:rsid w:val="00D031D8"/>
    <w:rsid w:val="00D03533"/>
    <w:rsid w:val="00D128BA"/>
    <w:rsid w:val="00D149F6"/>
    <w:rsid w:val="00D17884"/>
    <w:rsid w:val="00D218F2"/>
    <w:rsid w:val="00D246D0"/>
    <w:rsid w:val="00D257FA"/>
    <w:rsid w:val="00D27490"/>
    <w:rsid w:val="00D31294"/>
    <w:rsid w:val="00D3384A"/>
    <w:rsid w:val="00D34C59"/>
    <w:rsid w:val="00D402F7"/>
    <w:rsid w:val="00D4437B"/>
    <w:rsid w:val="00D4662F"/>
    <w:rsid w:val="00D51D2D"/>
    <w:rsid w:val="00D52A99"/>
    <w:rsid w:val="00D56A3F"/>
    <w:rsid w:val="00D57D46"/>
    <w:rsid w:val="00D666D4"/>
    <w:rsid w:val="00D70EA8"/>
    <w:rsid w:val="00D77949"/>
    <w:rsid w:val="00D85AFF"/>
    <w:rsid w:val="00D9081C"/>
    <w:rsid w:val="00D90BFC"/>
    <w:rsid w:val="00D9614B"/>
    <w:rsid w:val="00D96F53"/>
    <w:rsid w:val="00DA6E73"/>
    <w:rsid w:val="00DA7D2E"/>
    <w:rsid w:val="00DB0249"/>
    <w:rsid w:val="00DB2C0E"/>
    <w:rsid w:val="00DC04DD"/>
    <w:rsid w:val="00DC402E"/>
    <w:rsid w:val="00DC6476"/>
    <w:rsid w:val="00DD15E5"/>
    <w:rsid w:val="00DD2E25"/>
    <w:rsid w:val="00DD3530"/>
    <w:rsid w:val="00DD35F7"/>
    <w:rsid w:val="00DD39FA"/>
    <w:rsid w:val="00DE7EB5"/>
    <w:rsid w:val="00DF0D46"/>
    <w:rsid w:val="00DF27E6"/>
    <w:rsid w:val="00DF5D93"/>
    <w:rsid w:val="00E00F98"/>
    <w:rsid w:val="00E020A2"/>
    <w:rsid w:val="00E02376"/>
    <w:rsid w:val="00E02BB8"/>
    <w:rsid w:val="00E10EFA"/>
    <w:rsid w:val="00E122C7"/>
    <w:rsid w:val="00E24DF3"/>
    <w:rsid w:val="00E25FE1"/>
    <w:rsid w:val="00E2612A"/>
    <w:rsid w:val="00E30074"/>
    <w:rsid w:val="00E3015B"/>
    <w:rsid w:val="00E32B56"/>
    <w:rsid w:val="00E32E08"/>
    <w:rsid w:val="00E35735"/>
    <w:rsid w:val="00E42452"/>
    <w:rsid w:val="00E4331E"/>
    <w:rsid w:val="00E433ED"/>
    <w:rsid w:val="00E451EF"/>
    <w:rsid w:val="00E50815"/>
    <w:rsid w:val="00E50FC3"/>
    <w:rsid w:val="00E5142A"/>
    <w:rsid w:val="00E54C11"/>
    <w:rsid w:val="00E54DD6"/>
    <w:rsid w:val="00E60C59"/>
    <w:rsid w:val="00E61DEF"/>
    <w:rsid w:val="00E65573"/>
    <w:rsid w:val="00E658BD"/>
    <w:rsid w:val="00E73BEF"/>
    <w:rsid w:val="00E74A43"/>
    <w:rsid w:val="00E7636A"/>
    <w:rsid w:val="00E80AC6"/>
    <w:rsid w:val="00E8505F"/>
    <w:rsid w:val="00E950C0"/>
    <w:rsid w:val="00E95982"/>
    <w:rsid w:val="00E97876"/>
    <w:rsid w:val="00EA3101"/>
    <w:rsid w:val="00EA4596"/>
    <w:rsid w:val="00EB242E"/>
    <w:rsid w:val="00EB392E"/>
    <w:rsid w:val="00EB4171"/>
    <w:rsid w:val="00EB5BB3"/>
    <w:rsid w:val="00EB77FE"/>
    <w:rsid w:val="00EC4AC0"/>
    <w:rsid w:val="00EC5150"/>
    <w:rsid w:val="00EC52BA"/>
    <w:rsid w:val="00EC537A"/>
    <w:rsid w:val="00ED1B9B"/>
    <w:rsid w:val="00EE03F4"/>
    <w:rsid w:val="00EE2FC8"/>
    <w:rsid w:val="00EE4F17"/>
    <w:rsid w:val="00EF3A8E"/>
    <w:rsid w:val="00F06AF0"/>
    <w:rsid w:val="00F070F5"/>
    <w:rsid w:val="00F1068B"/>
    <w:rsid w:val="00F10E62"/>
    <w:rsid w:val="00F20195"/>
    <w:rsid w:val="00F22C1F"/>
    <w:rsid w:val="00F26302"/>
    <w:rsid w:val="00F277DA"/>
    <w:rsid w:val="00F302E7"/>
    <w:rsid w:val="00F32AF5"/>
    <w:rsid w:val="00F36DA1"/>
    <w:rsid w:val="00F41168"/>
    <w:rsid w:val="00F420BF"/>
    <w:rsid w:val="00F425A6"/>
    <w:rsid w:val="00F440E4"/>
    <w:rsid w:val="00F46F24"/>
    <w:rsid w:val="00F47352"/>
    <w:rsid w:val="00F5437B"/>
    <w:rsid w:val="00F568FF"/>
    <w:rsid w:val="00F64926"/>
    <w:rsid w:val="00F67717"/>
    <w:rsid w:val="00F7334F"/>
    <w:rsid w:val="00F7368A"/>
    <w:rsid w:val="00F744C8"/>
    <w:rsid w:val="00F84D32"/>
    <w:rsid w:val="00F84E93"/>
    <w:rsid w:val="00F9259B"/>
    <w:rsid w:val="00F94671"/>
    <w:rsid w:val="00F97088"/>
    <w:rsid w:val="00FA2022"/>
    <w:rsid w:val="00FC1465"/>
    <w:rsid w:val="00FC2F8A"/>
    <w:rsid w:val="00FC3E35"/>
    <w:rsid w:val="00FC59CC"/>
    <w:rsid w:val="00FC676E"/>
    <w:rsid w:val="00FD3B41"/>
    <w:rsid w:val="00FD40AD"/>
    <w:rsid w:val="00FD6B5E"/>
    <w:rsid w:val="00FD7A48"/>
    <w:rsid w:val="00FF0C94"/>
    <w:rsid w:val="00FF6D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4E698"/>
  <w15:docId w15:val="{F9F0106C-835B-44B4-A7E0-13F24E72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E2"/>
    <w:pPr>
      <w:spacing w:after="0" w:line="240" w:lineRule="auto"/>
    </w:pPr>
    <w:rPr>
      <w:rFonts w:ascii="Times New Roman" w:eastAsia="Times New Roman" w:hAnsi="Times New Roman" w:cs="Times New Roman"/>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A21E2"/>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arter">
    <w:name w:val="Cabeçalho Caráter"/>
    <w:basedOn w:val="Tipodeletrapredefinidodopargrafo"/>
    <w:link w:val="Cabealho"/>
    <w:uiPriority w:val="99"/>
    <w:rsid w:val="003A21E2"/>
  </w:style>
  <w:style w:type="paragraph" w:styleId="Rodap">
    <w:name w:val="footer"/>
    <w:basedOn w:val="Normal"/>
    <w:link w:val="RodapCarter"/>
    <w:uiPriority w:val="99"/>
    <w:unhideWhenUsed/>
    <w:rsid w:val="003A21E2"/>
    <w:pPr>
      <w:tabs>
        <w:tab w:val="center" w:pos="4252"/>
        <w:tab w:val="right" w:pos="8504"/>
      </w:tabs>
    </w:pPr>
    <w:rPr>
      <w:rFonts w:asciiTheme="minorHAnsi" w:eastAsiaTheme="minorHAnsi" w:hAnsiTheme="minorHAnsi" w:cstheme="minorBidi"/>
      <w:sz w:val="22"/>
      <w:szCs w:val="22"/>
      <w:lang w:eastAsia="en-US"/>
    </w:rPr>
  </w:style>
  <w:style w:type="character" w:customStyle="1" w:styleId="RodapCarter">
    <w:name w:val="Rodapé Caráter"/>
    <w:basedOn w:val="Tipodeletrapredefinidodopargrafo"/>
    <w:link w:val="Rodap"/>
    <w:uiPriority w:val="99"/>
    <w:rsid w:val="003A21E2"/>
  </w:style>
  <w:style w:type="paragraph" w:styleId="Textodenotaderodap">
    <w:name w:val="footnote text"/>
    <w:aliases w:val="Carácter,Texto de nota de rodapé Carácter Carácter"/>
    <w:basedOn w:val="Normal"/>
    <w:link w:val="TextodenotaderodapCarter"/>
    <w:uiPriority w:val="99"/>
    <w:unhideWhenUsed/>
    <w:rsid w:val="003A21E2"/>
    <w:rPr>
      <w:sz w:val="20"/>
      <w:szCs w:val="20"/>
    </w:rPr>
  </w:style>
  <w:style w:type="character" w:customStyle="1" w:styleId="TextodenotaderodapCarter">
    <w:name w:val="Texto de nota de rodapé Caráter"/>
    <w:aliases w:val="Carácter Caráter,Texto de nota de rodapé Carácter Carácter Caráter"/>
    <w:basedOn w:val="Tipodeletrapredefinidodopargrafo"/>
    <w:link w:val="Textodenotaderodap"/>
    <w:uiPriority w:val="99"/>
    <w:rsid w:val="003A21E2"/>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semiHidden/>
    <w:unhideWhenUsed/>
    <w:rsid w:val="003A21E2"/>
    <w:rPr>
      <w:vertAlign w:val="superscript"/>
    </w:rPr>
  </w:style>
  <w:style w:type="paragraph" w:styleId="NormalWeb">
    <w:name w:val="Normal (Web)"/>
    <w:basedOn w:val="Normal"/>
    <w:uiPriority w:val="99"/>
    <w:unhideWhenUsed/>
    <w:rsid w:val="003A21E2"/>
    <w:pPr>
      <w:spacing w:before="100" w:beforeAutospacing="1" w:after="100" w:afterAutospacing="1"/>
    </w:pPr>
  </w:style>
  <w:style w:type="paragraph" w:styleId="Corpodetexto">
    <w:name w:val="Body Text"/>
    <w:basedOn w:val="Normal"/>
    <w:link w:val="CorpodetextoCarter"/>
    <w:semiHidden/>
    <w:rsid w:val="003A21E2"/>
    <w:pPr>
      <w:autoSpaceDE w:val="0"/>
      <w:autoSpaceDN w:val="0"/>
      <w:adjustRightInd w:val="0"/>
      <w:spacing w:line="360" w:lineRule="auto"/>
      <w:jc w:val="both"/>
    </w:pPr>
    <w:rPr>
      <w:rFonts w:ascii="Arial" w:hAnsi="Arial" w:cs="Arial"/>
      <w:szCs w:val="21"/>
    </w:rPr>
  </w:style>
  <w:style w:type="character" w:customStyle="1" w:styleId="CorpodetextoCarter">
    <w:name w:val="Corpo de texto Caráter"/>
    <w:basedOn w:val="Tipodeletrapredefinidodopargrafo"/>
    <w:link w:val="Corpodetexto"/>
    <w:semiHidden/>
    <w:rsid w:val="003A21E2"/>
    <w:rPr>
      <w:rFonts w:ascii="Arial" w:eastAsia="Times New Roman" w:hAnsi="Arial" w:cs="Arial"/>
      <w:sz w:val="24"/>
      <w:szCs w:val="21"/>
      <w:lang w:eastAsia="pt-PT"/>
    </w:rPr>
  </w:style>
  <w:style w:type="paragraph" w:customStyle="1" w:styleId="Corpo">
    <w:name w:val="Corpo"/>
    <w:rsid w:val="003A21E2"/>
    <w:pPr>
      <w:pBdr>
        <w:top w:val="nil"/>
        <w:left w:val="nil"/>
        <w:bottom w:val="nil"/>
        <w:right w:val="nil"/>
        <w:between w:val="nil"/>
        <w:bar w:val="nil"/>
      </w:pBdr>
    </w:pPr>
    <w:rPr>
      <w:rFonts w:ascii="Calibri" w:eastAsia="Calibri" w:hAnsi="Calibri" w:cs="Calibri"/>
      <w:color w:val="000000"/>
      <w:u w:color="000000"/>
      <w:bdr w:val="nil"/>
      <w:lang w:val="en-US"/>
    </w:rPr>
  </w:style>
  <w:style w:type="character" w:styleId="Hiperligao">
    <w:name w:val="Hyperlink"/>
    <w:basedOn w:val="Tipodeletrapredefinidodopargrafo"/>
    <w:unhideWhenUsed/>
    <w:rsid w:val="003A21E2"/>
    <w:rPr>
      <w:color w:val="0000FF"/>
      <w:u w:val="single"/>
    </w:rPr>
  </w:style>
  <w:style w:type="paragraph" w:customStyle="1" w:styleId="Normal0">
    <w:name w:val="[Normal]"/>
    <w:rsid w:val="003A21E2"/>
    <w:pPr>
      <w:spacing w:after="0" w:line="240" w:lineRule="auto"/>
    </w:pPr>
    <w:rPr>
      <w:rFonts w:ascii="Arial" w:eastAsia="Arial" w:hAnsi="Arial" w:cs="Arial"/>
      <w:sz w:val="24"/>
      <w:szCs w:val="20"/>
      <w:lang w:eastAsia="pt-PT"/>
    </w:rPr>
  </w:style>
  <w:style w:type="paragraph" w:styleId="PargrafodaLista">
    <w:name w:val="List Paragraph"/>
    <w:basedOn w:val="Normal"/>
    <w:uiPriority w:val="34"/>
    <w:qFormat/>
    <w:rsid w:val="00E61DEF"/>
    <w:pPr>
      <w:ind w:left="720"/>
      <w:contextualSpacing/>
    </w:pPr>
  </w:style>
  <w:style w:type="character" w:customStyle="1" w:styleId="TextodenotaderodapCarcter">
    <w:name w:val="Texto de nota de rodapé Carácter"/>
    <w:aliases w:val="Carácter Carácter,Texto de nota de rodapé Carácter Carácter Carácter"/>
    <w:uiPriority w:val="99"/>
    <w:locked/>
    <w:rsid w:val="00640EEF"/>
    <w:rPr>
      <w:rFonts w:ascii="Times New Roman" w:eastAsia="Times New Roman" w:hAnsi="Times New Roman" w:cs="Times New Roman"/>
    </w:rPr>
  </w:style>
  <w:style w:type="character" w:styleId="MenoNoResolvida">
    <w:name w:val="Unresolved Mention"/>
    <w:basedOn w:val="Tipodeletrapredefinidodopargrafo"/>
    <w:uiPriority w:val="99"/>
    <w:semiHidden/>
    <w:unhideWhenUsed/>
    <w:rsid w:val="001E45ED"/>
    <w:rPr>
      <w:color w:val="605E5C"/>
      <w:shd w:val="clear" w:color="auto" w:fill="E1DFDD"/>
    </w:rPr>
  </w:style>
  <w:style w:type="paragraph" w:customStyle="1" w:styleId="Default">
    <w:name w:val="Default"/>
    <w:rsid w:val="008F771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3386">
      <w:bodyDiv w:val="1"/>
      <w:marLeft w:val="0"/>
      <w:marRight w:val="0"/>
      <w:marTop w:val="0"/>
      <w:marBottom w:val="0"/>
      <w:divBdr>
        <w:top w:val="none" w:sz="0" w:space="0" w:color="auto"/>
        <w:left w:val="none" w:sz="0" w:space="0" w:color="auto"/>
        <w:bottom w:val="none" w:sz="0" w:space="0" w:color="auto"/>
        <w:right w:val="none" w:sz="0" w:space="0" w:color="auto"/>
      </w:divBdr>
    </w:div>
    <w:div w:id="410156529">
      <w:bodyDiv w:val="1"/>
      <w:marLeft w:val="0"/>
      <w:marRight w:val="0"/>
      <w:marTop w:val="0"/>
      <w:marBottom w:val="0"/>
      <w:divBdr>
        <w:top w:val="none" w:sz="0" w:space="0" w:color="auto"/>
        <w:left w:val="none" w:sz="0" w:space="0" w:color="auto"/>
        <w:bottom w:val="none" w:sz="0" w:space="0" w:color="auto"/>
        <w:right w:val="none" w:sz="0" w:space="0" w:color="auto"/>
      </w:divBdr>
    </w:div>
    <w:div w:id="1301423980">
      <w:bodyDiv w:val="1"/>
      <w:marLeft w:val="0"/>
      <w:marRight w:val="0"/>
      <w:marTop w:val="0"/>
      <w:marBottom w:val="0"/>
      <w:divBdr>
        <w:top w:val="none" w:sz="0" w:space="0" w:color="auto"/>
        <w:left w:val="none" w:sz="0" w:space="0" w:color="auto"/>
        <w:bottom w:val="none" w:sz="0" w:space="0" w:color="auto"/>
        <w:right w:val="none" w:sz="0" w:space="0" w:color="auto"/>
      </w:divBdr>
    </w:div>
    <w:div w:id="1436562328">
      <w:bodyDiv w:val="1"/>
      <w:marLeft w:val="0"/>
      <w:marRight w:val="0"/>
      <w:marTop w:val="0"/>
      <w:marBottom w:val="0"/>
      <w:divBdr>
        <w:top w:val="none" w:sz="0" w:space="0" w:color="auto"/>
        <w:left w:val="none" w:sz="0" w:space="0" w:color="auto"/>
        <w:bottom w:val="none" w:sz="0" w:space="0" w:color="auto"/>
        <w:right w:val="none" w:sz="0" w:space="0" w:color="auto"/>
      </w:divBdr>
    </w:div>
    <w:div w:id="17450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www.dgsi.pt/jstj.nsf/954f0ce6ad9dd8b980256b5f003fa814/944ef7a42a081506802586e1003e50da?Open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1BA580A0-D57B-4DE5-BDAC-4456A78731EF}">
  <ds:schemaRefs>
    <ds:schemaRef ds:uri="http://schemas.openxmlformats.org/officeDocument/2006/bibliography"/>
  </ds:schemaRefs>
</ds:datastoreItem>
</file>

<file path=customXml/itemProps2.xml><?xml version="1.0" encoding="utf-8"?>
<ds:datastoreItem xmlns:ds="http://schemas.openxmlformats.org/officeDocument/2006/customXml" ds:itemID="{15EAF985-86DE-42BE-946E-A90D99D228EB}"/>
</file>

<file path=customXml/itemProps3.xml><?xml version="1.0" encoding="utf-8"?>
<ds:datastoreItem xmlns:ds="http://schemas.openxmlformats.org/officeDocument/2006/customXml" ds:itemID="{62A46287-A177-49E2-8DAB-D7A0CC3AF0D2}"/>
</file>

<file path=customXml/itemProps4.xml><?xml version="1.0" encoding="utf-8"?>
<ds:datastoreItem xmlns:ds="http://schemas.openxmlformats.org/officeDocument/2006/customXml" ds:itemID="{F71D1CCC-9487-47BC-B933-A03B030DE552}"/>
</file>

<file path=docProps/app.xml><?xml version="1.0" encoding="utf-8"?>
<Properties xmlns="http://schemas.openxmlformats.org/officeDocument/2006/extended-properties" xmlns:vt="http://schemas.openxmlformats.org/officeDocument/2006/docPropsVTypes">
  <Template>Normal</Template>
  <TotalTime>1</TotalTime>
  <Pages>14</Pages>
  <Words>3094</Words>
  <Characters>16711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Conceição Gomes</dc:creator>
  <cp:lastModifiedBy>Maria Helena Fazenda</cp:lastModifiedBy>
  <cp:revision>2</cp:revision>
  <cp:lastPrinted>2022-02-02T12:23:00Z</cp:lastPrinted>
  <dcterms:created xsi:type="dcterms:W3CDTF">2022-02-02T12:20:00Z</dcterms:created>
  <dcterms:modified xsi:type="dcterms:W3CDTF">2022-02-02T12:23:00Z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