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81" w:rsidRPr="00F50409" w:rsidRDefault="00F11981" w:rsidP="00D873A4">
      <w:pPr>
        <w:kinsoku w:val="0"/>
        <w:overflowPunct w:val="0"/>
        <w:spacing w:line="360" w:lineRule="auto"/>
        <w:ind w:right="108"/>
        <w:jc w:val="both"/>
        <w:textAlignment w:val="baseline"/>
        <w:rPr>
          <w:lang w:val="pt-PT"/>
        </w:rPr>
      </w:pPr>
    </w:p>
    <w:p w:rsidR="00D873A4" w:rsidRPr="00D873A4" w:rsidRDefault="00D873A4" w:rsidP="00D873A4">
      <w:pPr>
        <w:spacing w:line="360" w:lineRule="auto"/>
        <w:ind w:firstLine="567"/>
        <w:rPr>
          <w:i w:val="0"/>
          <w:lang w:val="pt-PT"/>
        </w:rPr>
      </w:pPr>
      <w:r w:rsidRPr="00D873A4">
        <w:rPr>
          <w:lang w:val="pt-PT"/>
        </w:rPr>
        <w:t>Proc. nº 4099/15.7TDLSB-C.L1.</w:t>
      </w:r>
      <w:r>
        <w:rPr>
          <w:lang w:val="pt-PT"/>
        </w:rPr>
        <w:t>S1</w:t>
      </w:r>
    </w:p>
    <w:p w:rsidR="00BC251D" w:rsidRPr="00D873A4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</w:p>
    <w:p w:rsidR="00020B95" w:rsidRPr="00D873A4" w:rsidRDefault="00020B95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</w:p>
    <w:p w:rsidR="00BC251D" w:rsidRPr="00F50409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 xml:space="preserve">Acordam em </w:t>
      </w:r>
      <w:r w:rsidR="00503165" w:rsidRPr="00F50409">
        <w:rPr>
          <w:iCs/>
          <w:lang w:val="pt-PT"/>
        </w:rPr>
        <w:t>Confer</w:t>
      </w:r>
      <w:r w:rsidRPr="00F50409">
        <w:rPr>
          <w:iCs/>
          <w:lang w:val="pt-PT"/>
        </w:rPr>
        <w:t xml:space="preserve">ência </w:t>
      </w:r>
    </w:p>
    <w:p w:rsidR="00BC251D" w:rsidRPr="00F50409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>na 3ª Secção do Supremo Tribunal de Justiça,</w:t>
      </w:r>
    </w:p>
    <w:p w:rsidR="00BC251D" w:rsidRPr="00F50409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</w:p>
    <w:p w:rsidR="00BC251D" w:rsidRDefault="00BC251D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>I</w:t>
      </w:r>
    </w:p>
    <w:p w:rsidR="00D873A4" w:rsidRDefault="007D3D33" w:rsidP="00D873A4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t xml:space="preserve">Por </w:t>
      </w:r>
      <w:r w:rsidR="00D873A4">
        <w:rPr>
          <w:iCs/>
          <w:lang w:val="pt-PT"/>
        </w:rPr>
        <w:t>Despacho proferido</w:t>
      </w:r>
      <w:r w:rsidRPr="00F50409">
        <w:rPr>
          <w:iCs/>
          <w:lang w:val="pt-PT"/>
        </w:rPr>
        <w:t xml:space="preserve"> </w:t>
      </w:r>
      <w:r w:rsidR="00D873A4">
        <w:rPr>
          <w:iCs/>
          <w:lang w:val="pt-PT"/>
        </w:rPr>
        <w:t xml:space="preserve">nos presentes Autos </w:t>
      </w:r>
      <w:r w:rsidR="00AA4F2A">
        <w:rPr>
          <w:iCs/>
          <w:lang w:val="pt-PT"/>
        </w:rPr>
        <w:t xml:space="preserve">pelo </w:t>
      </w:r>
      <w:r w:rsidR="00D873A4" w:rsidRPr="00D873A4">
        <w:rPr>
          <w:lang w:val="pt-PT"/>
        </w:rPr>
        <w:t>Juízo Central Criminal de Lisboa</w:t>
      </w:r>
      <w:r w:rsidR="00D873A4">
        <w:rPr>
          <w:lang w:val="pt-PT"/>
        </w:rPr>
        <w:t xml:space="preserve"> </w:t>
      </w:r>
      <w:r w:rsidR="00D873A4" w:rsidRPr="00D873A4">
        <w:rPr>
          <w:lang w:val="pt-PT"/>
        </w:rPr>
        <w:t>- Juiz 18</w:t>
      </w:r>
      <w:r w:rsidR="00D873A4">
        <w:rPr>
          <w:lang w:val="pt-PT"/>
        </w:rPr>
        <w:t xml:space="preserve"> - </w:t>
      </w:r>
      <w:r w:rsidRPr="00F50409">
        <w:rPr>
          <w:iCs/>
          <w:lang w:val="pt-PT"/>
        </w:rPr>
        <w:t xml:space="preserve">foi </w:t>
      </w:r>
      <w:r w:rsidR="003636B1" w:rsidRPr="00F50409">
        <w:rPr>
          <w:iCs/>
          <w:lang w:val="pt-PT"/>
        </w:rPr>
        <w:t xml:space="preserve">decidido </w:t>
      </w:r>
      <w:r w:rsidR="00D873A4">
        <w:rPr>
          <w:iCs/>
          <w:lang w:val="pt-PT"/>
        </w:rPr>
        <w:t xml:space="preserve">indeferir o pedido apresentado pelo Arguido </w:t>
      </w:r>
      <w:r w:rsidR="00D873A4" w:rsidRPr="00D873A4">
        <w:rPr>
          <w:b/>
          <w:lang w:val="pt-PT"/>
        </w:rPr>
        <w:t>José Correia Pereira</w:t>
      </w:r>
      <w:r w:rsidR="00D873A4" w:rsidRPr="00D873A4">
        <w:rPr>
          <w:lang w:val="pt-PT"/>
        </w:rPr>
        <w:t xml:space="preserve"> </w:t>
      </w:r>
      <w:r w:rsidR="00D873A4">
        <w:rPr>
          <w:iCs/>
          <w:lang w:val="pt-PT"/>
        </w:rPr>
        <w:t xml:space="preserve">e pela Arguida </w:t>
      </w:r>
      <w:r w:rsidR="00D873A4" w:rsidRPr="00D873A4">
        <w:rPr>
          <w:b/>
          <w:lang w:val="pt-PT"/>
        </w:rPr>
        <w:t>Teresa Correia Pereira</w:t>
      </w:r>
      <w:r w:rsidR="00D873A4">
        <w:rPr>
          <w:lang w:val="pt-PT"/>
        </w:rPr>
        <w:t xml:space="preserve"> para </w:t>
      </w:r>
      <w:r w:rsidR="00D873A4" w:rsidRPr="00D873A4">
        <w:rPr>
          <w:lang w:val="pt-PT"/>
        </w:rPr>
        <w:t>que as custas do processo fossem suportadas pela mas</w:t>
      </w:r>
      <w:r w:rsidR="00D873A4">
        <w:rPr>
          <w:lang w:val="pt-PT"/>
        </w:rPr>
        <w:t>sa insolvente nos termos do artigo.</w:t>
      </w:r>
      <w:r w:rsidR="00D873A4" w:rsidRPr="00D873A4">
        <w:rPr>
          <w:lang w:val="pt-PT"/>
        </w:rPr>
        <w:t xml:space="preserve"> 303º do CIRE</w:t>
      </w:r>
      <w:r w:rsidR="00D873A4">
        <w:rPr>
          <w:lang w:val="pt-PT"/>
        </w:rPr>
        <w:t>.</w:t>
      </w:r>
    </w:p>
    <w:p w:rsidR="00B05892" w:rsidRPr="00B05892" w:rsidRDefault="00AA4F2A" w:rsidP="00B05892">
      <w:pPr>
        <w:widowControl w:val="0"/>
        <w:spacing w:line="358" w:lineRule="auto"/>
        <w:ind w:left="1" w:right="231" w:firstLine="707"/>
        <w:jc w:val="both"/>
        <w:rPr>
          <w:rFonts w:eastAsia="Arial" w:cs="Arial"/>
          <w:i w:val="0"/>
          <w:color w:val="000000"/>
          <w:lang w:val="pt-PT"/>
        </w:rPr>
      </w:pPr>
      <w:r>
        <w:rPr>
          <w:iCs/>
          <w:lang w:val="pt-PT"/>
        </w:rPr>
        <w:t xml:space="preserve">Interposto recurso </w:t>
      </w:r>
      <w:r w:rsidR="00D873A4">
        <w:rPr>
          <w:iCs/>
          <w:lang w:val="pt-PT"/>
        </w:rPr>
        <w:t>desse</w:t>
      </w:r>
      <w:r w:rsidR="004E1DC4">
        <w:rPr>
          <w:iCs/>
          <w:lang w:val="pt-PT"/>
        </w:rPr>
        <w:t xml:space="preserve"> </w:t>
      </w:r>
      <w:r w:rsidR="00D873A4">
        <w:rPr>
          <w:iCs/>
          <w:lang w:val="pt-PT"/>
        </w:rPr>
        <w:t>Despacho</w:t>
      </w:r>
      <w:r w:rsidR="004E1DC4">
        <w:rPr>
          <w:iCs/>
          <w:lang w:val="pt-PT"/>
        </w:rPr>
        <w:t xml:space="preserve"> </w:t>
      </w:r>
      <w:r>
        <w:rPr>
          <w:iCs/>
          <w:lang w:val="pt-PT"/>
        </w:rPr>
        <w:t xml:space="preserve">para o Tribunal da Relação de </w:t>
      </w:r>
      <w:r w:rsidR="00D873A4">
        <w:rPr>
          <w:iCs/>
          <w:lang w:val="pt-PT"/>
        </w:rPr>
        <w:t>Lisboa</w:t>
      </w:r>
      <w:r>
        <w:rPr>
          <w:iCs/>
          <w:lang w:val="pt-PT"/>
        </w:rPr>
        <w:t xml:space="preserve">, </w:t>
      </w:r>
      <w:r w:rsidR="00B05892">
        <w:rPr>
          <w:iCs/>
          <w:lang w:val="pt-PT"/>
        </w:rPr>
        <w:t xml:space="preserve">foi </w:t>
      </w:r>
      <w:r w:rsidR="00D873A4">
        <w:rPr>
          <w:iCs/>
          <w:lang w:val="pt-PT"/>
        </w:rPr>
        <w:t>decidido manter a decisão recorrida.</w:t>
      </w:r>
    </w:p>
    <w:p w:rsidR="005C1073" w:rsidRPr="00B05892" w:rsidRDefault="00D11E5A" w:rsidP="00B05892">
      <w:pPr>
        <w:widowControl w:val="0"/>
        <w:spacing w:line="359" w:lineRule="auto"/>
        <w:ind w:left="1" w:right="255" w:firstLine="707"/>
        <w:jc w:val="both"/>
        <w:rPr>
          <w:rFonts w:eastAsia="Arial" w:cs="Arial"/>
          <w:i w:val="0"/>
          <w:color w:val="000000"/>
          <w:w w:val="101"/>
          <w:lang w:val="pt-PT"/>
        </w:rPr>
      </w:pPr>
      <w:r>
        <w:rPr>
          <w:iCs/>
          <w:lang w:val="pt-PT"/>
        </w:rPr>
        <w:t xml:space="preserve"> </w:t>
      </w:r>
    </w:p>
    <w:p w:rsidR="005C1073" w:rsidRPr="00F50409" w:rsidRDefault="005C1073" w:rsidP="00A87B48">
      <w:pPr>
        <w:pStyle w:val="Corpodetexto"/>
        <w:spacing w:line="360" w:lineRule="auto"/>
        <w:ind w:firstLine="561"/>
        <w:jc w:val="both"/>
        <w:rPr>
          <w:sz w:val="22"/>
          <w:szCs w:val="22"/>
          <w:lang w:val="pt-PT"/>
        </w:rPr>
      </w:pPr>
    </w:p>
    <w:p w:rsidR="007D3D33" w:rsidRPr="00F50409" w:rsidRDefault="007D3D33" w:rsidP="00A87B48">
      <w:pPr>
        <w:pStyle w:val="Corpodetexto"/>
        <w:spacing w:line="360" w:lineRule="auto"/>
        <w:ind w:firstLine="561"/>
        <w:jc w:val="both"/>
        <w:rPr>
          <w:lang w:val="pt-PT"/>
        </w:rPr>
      </w:pPr>
      <w:r w:rsidRPr="00F50409">
        <w:rPr>
          <w:lang w:val="pt-PT"/>
        </w:rPr>
        <w:t>II</w:t>
      </w:r>
    </w:p>
    <w:p w:rsidR="007D3D33" w:rsidRDefault="007D3D33" w:rsidP="00A87B48">
      <w:pPr>
        <w:pStyle w:val="Corpodetexto"/>
        <w:spacing w:line="360" w:lineRule="auto"/>
        <w:ind w:firstLine="561"/>
        <w:jc w:val="both"/>
        <w:rPr>
          <w:lang w:val="pt-PT"/>
        </w:rPr>
      </w:pPr>
      <w:r w:rsidRPr="00F50409">
        <w:rPr>
          <w:lang w:val="pt-PT"/>
        </w:rPr>
        <w:t>Inconformado</w:t>
      </w:r>
      <w:r w:rsidR="00D873A4">
        <w:rPr>
          <w:lang w:val="pt-PT"/>
        </w:rPr>
        <w:t>s</w:t>
      </w:r>
      <w:r w:rsidRPr="00F50409">
        <w:rPr>
          <w:lang w:val="pt-PT"/>
        </w:rPr>
        <w:t xml:space="preserve"> com esta decisão, o Arguido</w:t>
      </w:r>
      <w:r w:rsidR="00D873A4">
        <w:rPr>
          <w:lang w:val="pt-PT"/>
        </w:rPr>
        <w:t xml:space="preserve"> e a Arguida vieram</w:t>
      </w:r>
      <w:r w:rsidRPr="00F50409">
        <w:rPr>
          <w:lang w:val="pt-PT"/>
        </w:rPr>
        <w:t xml:space="preserve"> interpor recurso</w:t>
      </w:r>
      <w:r w:rsidR="00D873A4">
        <w:rPr>
          <w:lang w:val="pt-PT"/>
        </w:rPr>
        <w:t>. Da respetiva Motivação retiraram</w:t>
      </w:r>
      <w:r w:rsidRPr="00F50409">
        <w:rPr>
          <w:lang w:val="pt-PT"/>
        </w:rPr>
        <w:t xml:space="preserve"> as seguintes Conclusões:</w:t>
      </w:r>
    </w:p>
    <w:p w:rsidR="00D873A4" w:rsidRPr="00A7156D" w:rsidRDefault="00D873A4" w:rsidP="00D873A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D873A4">
        <w:rPr>
          <w:rFonts w:ascii="Century Schoolbook" w:hAnsi="Century Schoolbook"/>
          <w:i w:val="0"/>
          <w:sz w:val="22"/>
          <w:szCs w:val="22"/>
          <w:lang w:val="pt-PT"/>
        </w:rPr>
        <w:t xml:space="preserve">A) Perante a lei resulta que os arguidos, uma vez insolventes, por lei não podem suportar quaisquer encargos. </w:t>
      </w:r>
      <w:r w:rsidRPr="00A7156D">
        <w:rPr>
          <w:rFonts w:ascii="Century Schoolbook" w:hAnsi="Century Schoolbook"/>
          <w:i w:val="0"/>
          <w:sz w:val="22"/>
          <w:szCs w:val="22"/>
          <w:lang w:val="pt-PT"/>
        </w:rPr>
        <w:t>Por outro lado;</w:t>
      </w:r>
    </w:p>
    <w:p w:rsidR="00D873A4" w:rsidRPr="00D873A4" w:rsidRDefault="00D873A4" w:rsidP="00D873A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D873A4">
        <w:rPr>
          <w:rFonts w:ascii="Century Schoolbook" w:hAnsi="Century Schoolbook"/>
          <w:i w:val="0"/>
          <w:sz w:val="22"/>
          <w:szCs w:val="22"/>
          <w:lang w:val="pt-PT"/>
        </w:rPr>
        <w:t>B) O processo de insolvência abrange o pagamento aos credores (V.g. art. 303º do CIRE). Que neste caso é o Estado.</w:t>
      </w:r>
    </w:p>
    <w:p w:rsidR="00D873A4" w:rsidRPr="00D873A4" w:rsidRDefault="00D873A4" w:rsidP="00D873A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D873A4">
        <w:rPr>
          <w:rFonts w:ascii="Century Schoolbook" w:hAnsi="Century Schoolbook"/>
          <w:i w:val="0"/>
          <w:sz w:val="22"/>
          <w:szCs w:val="22"/>
          <w:lang w:val="pt-PT"/>
        </w:rPr>
        <w:t>C) O Acórdão ora em crise padece das inconstitucionalidades e ilegalidades que acabam de ser elencadas.</w:t>
      </w:r>
    </w:p>
    <w:p w:rsidR="00D873A4" w:rsidRPr="00D873A4" w:rsidRDefault="00D873A4" w:rsidP="00D873A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D873A4">
        <w:rPr>
          <w:rFonts w:ascii="Century Schoolbook" w:hAnsi="Century Schoolbook"/>
          <w:i w:val="0"/>
          <w:sz w:val="22"/>
          <w:szCs w:val="22"/>
          <w:lang w:val="pt-PT"/>
        </w:rPr>
        <w:lastRenderedPageBreak/>
        <w:t xml:space="preserve">Nestes termos, e nos melhores de Direito, devem V. Exas. dar provimento ao presente recurso e, em consequência, revogar o Acórdão em crise, e proferir decisão que possibilite que o pagamento das importâncias devidas a título de custas seja suportado pela massa insolvente nos termos do art. 303º do CIRE - como sempre se tem feito até aqui -. </w:t>
      </w:r>
    </w:p>
    <w:p w:rsidR="00D873A4" w:rsidRPr="00D873A4" w:rsidRDefault="00D873A4" w:rsidP="00D873A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D873A4">
        <w:rPr>
          <w:rFonts w:ascii="Century Schoolbook" w:hAnsi="Century Schoolbook"/>
          <w:i w:val="0"/>
          <w:sz w:val="22"/>
          <w:szCs w:val="22"/>
          <w:lang w:val="pt-PT"/>
        </w:rPr>
        <w:t>Fazendo-se assim a habitual e necessária Justiça!</w:t>
      </w:r>
    </w:p>
    <w:p w:rsidR="00D873A4" w:rsidRDefault="00D873A4" w:rsidP="00A87B48">
      <w:pPr>
        <w:pStyle w:val="Corpodetexto"/>
        <w:spacing w:line="360" w:lineRule="auto"/>
        <w:ind w:firstLine="561"/>
        <w:jc w:val="both"/>
        <w:rPr>
          <w:lang w:val="pt-PT"/>
        </w:rPr>
      </w:pPr>
    </w:p>
    <w:p w:rsidR="00D873A4" w:rsidRDefault="00D873A4" w:rsidP="00A87B48">
      <w:pPr>
        <w:pStyle w:val="Corpodetexto"/>
        <w:spacing w:line="360" w:lineRule="auto"/>
        <w:ind w:firstLine="561"/>
        <w:jc w:val="both"/>
        <w:rPr>
          <w:lang w:val="pt-PT"/>
        </w:rPr>
      </w:pPr>
    </w:p>
    <w:p w:rsidR="00020B95" w:rsidRPr="00F50409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>III</w:t>
      </w:r>
    </w:p>
    <w:p w:rsidR="00B05892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 xml:space="preserve">Na sua resposta, </w:t>
      </w:r>
      <w:r w:rsidR="00D873A4">
        <w:rPr>
          <w:lang w:val="pt-PT"/>
        </w:rPr>
        <w:t>a</w:t>
      </w:r>
      <w:r w:rsidRPr="00F50409">
        <w:rPr>
          <w:lang w:val="pt-PT"/>
        </w:rPr>
        <w:t xml:space="preserve"> </w:t>
      </w:r>
      <w:r w:rsidR="00B05892">
        <w:rPr>
          <w:lang w:val="pt-PT"/>
        </w:rPr>
        <w:t>Ex.m</w:t>
      </w:r>
      <w:r w:rsidR="00D873A4">
        <w:rPr>
          <w:lang w:val="pt-PT"/>
        </w:rPr>
        <w:t>a</w:t>
      </w:r>
      <w:r w:rsidR="00B05892">
        <w:rPr>
          <w:lang w:val="pt-PT"/>
        </w:rPr>
        <w:t xml:space="preserve"> Procurador</w:t>
      </w:r>
      <w:r w:rsidR="00D873A4">
        <w:rPr>
          <w:lang w:val="pt-PT"/>
        </w:rPr>
        <w:t>a</w:t>
      </w:r>
      <w:r w:rsidR="00B05892">
        <w:rPr>
          <w:lang w:val="pt-PT"/>
        </w:rPr>
        <w:t xml:space="preserve"> Geral Adjunt</w:t>
      </w:r>
      <w:r w:rsidR="00D873A4">
        <w:rPr>
          <w:lang w:val="pt-PT"/>
        </w:rPr>
        <w:t>a</w:t>
      </w:r>
      <w:r w:rsidR="00B05892">
        <w:rPr>
          <w:lang w:val="pt-PT"/>
        </w:rPr>
        <w:t xml:space="preserve"> no Tribunal “a quo” </w:t>
      </w:r>
      <w:r w:rsidR="00D873A4">
        <w:rPr>
          <w:lang w:val="pt-PT"/>
        </w:rPr>
        <w:t>apresentou as seguintes Conclusões: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1. No recurso tão só está em causa definir quem paga as custas dos autos: os recorrentes ou a massa insolvente do processo de insolvência em que os mesmos foram declarados insolventes, de acordo com o art. 303.º, do CIRE.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 xml:space="preserve">2. Não está em causa a condenação em custas propriamente dita, situação em que seria admissível o recurso de revista para o STJ, nos termos do art. 671.º, n.º 1, do CPC, aplicável ex vi do art. 4.º, do CPP, por esta fazer parte integrante da decisão que recaiu sobre o mérito [veja-se Ac. do STJ proferido no P. 17908/16.4T8LSB.L1-A.S1, de 26/01/2021, em </w:t>
      </w:r>
      <w:hyperlink r:id="rId8" w:history="1">
        <w:r w:rsidRPr="00854144">
          <w:rPr>
            <w:rStyle w:val="Hiperligao"/>
            <w:rFonts w:ascii="Century Schoolbook" w:hAnsi="Century Schoolbook"/>
            <w:i w:val="0"/>
            <w:color w:val="auto"/>
            <w:sz w:val="22"/>
            <w:szCs w:val="22"/>
            <w:lang w:val="pt-PT"/>
          </w:rPr>
          <w:t>www.dgsi.pt</w:t>
        </w:r>
      </w:hyperlink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].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 xml:space="preserve">3. A decisão da qual os recorrentes recorreram para o TRL não foi a decisão final na qual foram condenados em custas e sim uma decisão que teve lugar após aquela, quando os ora recorrentes pediram o seu pagamento pela massa insolvente, pelo que o recurso de revista para o STJ não é admissível. 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4. O art. 303.º do CIRE não abrange na base de tributação do processo de insolvência os créditos que decorram de outros processos que não os elencados neste dispositivo.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lastRenderedPageBreak/>
        <w:t>5. Os presentes autos não configuram um incidente do processo de insolvência, pelo que as respetivas custas têm autonomia relativamente ao processo de insolvência.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6. O pagamento a credores, a que se reporta o art. 303.º, do CIRE, refere-se aos credores e respetivos créditos reconhecidos e verificados no processo de insolvência, o que não é o caso das custas em causa nos presentes autos.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7. O limite temporal para a junção de documentos [por iniciativa própria de quem os apresenta; ou na sequência de requerimento para que o tribunal diligencie pela sua junção; ou por iniciativa oficiosa do tribunal – art. 340.º do CPP], é o do encerramento da audiência [termos conjugados dos arts. 165.º e 340.º, ambos do CPP].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8. Não obstante, o TRL, no acórdão em crise, pronunciou-se sobre a junção dos documentos, considerando a sua irrelevância para a decisão [com ou sem esses documentos a decisão seria a mesma], pelo que não se verifica omissão de pronúncia e consequente nulidade.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9. Quanto à violação de princípios constitucionais no acórdão em crise e interpretação inconstitucional do art. 303.º do CIRE, percebe-se que os recorrentes pretendem fazer valer a interpretação do art. 303.º do CIRE no sentido de abranger o pagamento das custas destes autos, com o argumento de que o STJ e o Tribunal Constitucional têm vindo a reclamar o pagamento de custas no processo de insolvência 2657/15.91BLSB da Comarca de Lisboa - Juízo de Comércio - Juiz 3.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10. No entanto, não se percebe, na Motivação nem nas Conclusões, a razão de ser da interpretação que os recorrentes fazem do art. 303.º, do CIRE, de forma a abranger o pagamento das custas nestes autos, nem – sobretudo - por que razão a interpretação perfilhada pelo TRL viola os princípios constitucionais que os recorrentes invocam, não bastando o argumento acima referido.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lastRenderedPageBreak/>
        <w:t>11. As Conclusões não obedecem, nesta parte, ao disposto no art. 412.º, n.º 1 e n.º 2, al. b), do CPP, devendo ser dado cumprimento ao disposto no art. 417.º, n.º 3, 1.ª parte, do CPP, para que tenha lugar um condigno contraditório.</w:t>
      </w:r>
    </w:p>
    <w:p w:rsidR="00854144" w:rsidRPr="00854144" w:rsidRDefault="00854144" w:rsidP="00854144">
      <w:pPr>
        <w:spacing w:line="360" w:lineRule="auto"/>
        <w:ind w:left="567" w:right="848" w:firstLine="284"/>
        <w:jc w:val="both"/>
        <w:rPr>
          <w:rFonts w:ascii="Century Schoolbook" w:hAnsi="Century Schoolbook"/>
          <w:i w:val="0"/>
          <w:sz w:val="22"/>
          <w:szCs w:val="22"/>
          <w:lang w:val="pt-PT"/>
        </w:rPr>
      </w:pPr>
      <w:r w:rsidRPr="00854144">
        <w:rPr>
          <w:rFonts w:ascii="Century Schoolbook" w:hAnsi="Century Schoolbook"/>
          <w:i w:val="0"/>
          <w:sz w:val="22"/>
          <w:szCs w:val="22"/>
          <w:lang w:val="pt-PT"/>
        </w:rPr>
        <w:t>Vossas Exas. melhor entenderão e decidirão!</w:t>
      </w:r>
    </w:p>
    <w:p w:rsidR="00D873A4" w:rsidRDefault="00D873A4" w:rsidP="00A87B48">
      <w:pPr>
        <w:pStyle w:val="Corpodetexto"/>
        <w:spacing w:line="360" w:lineRule="auto"/>
        <w:ind w:firstLine="567"/>
        <w:jc w:val="both"/>
        <w:rPr>
          <w:lang w:val="pt-PT"/>
        </w:rPr>
      </w:pPr>
    </w:p>
    <w:p w:rsidR="00854144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 xml:space="preserve"> </w:t>
      </w:r>
    </w:p>
    <w:p w:rsidR="00020B95" w:rsidRPr="00F50409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>IV</w:t>
      </w:r>
    </w:p>
    <w:p w:rsidR="00020B95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 xml:space="preserve">Neste Tribunal, </w:t>
      </w:r>
      <w:r w:rsidR="00854144">
        <w:rPr>
          <w:lang w:val="pt-PT"/>
        </w:rPr>
        <w:t>o</w:t>
      </w:r>
      <w:r w:rsidR="00DF42E7">
        <w:rPr>
          <w:lang w:val="pt-PT"/>
        </w:rPr>
        <w:t xml:space="preserve"> </w:t>
      </w:r>
      <w:r w:rsidR="00332943">
        <w:rPr>
          <w:lang w:val="pt-PT"/>
        </w:rPr>
        <w:t>Ex.m</w:t>
      </w:r>
      <w:r w:rsidR="00854144">
        <w:rPr>
          <w:lang w:val="pt-PT"/>
        </w:rPr>
        <w:t>o</w:t>
      </w:r>
      <w:r w:rsidR="00332943">
        <w:rPr>
          <w:lang w:val="pt-PT"/>
        </w:rPr>
        <w:t xml:space="preserve"> Procurador-Geral Adjunt</w:t>
      </w:r>
      <w:r w:rsidR="00854144">
        <w:rPr>
          <w:lang w:val="pt-PT"/>
        </w:rPr>
        <w:t>o</w:t>
      </w:r>
      <w:r w:rsidRPr="00F50409">
        <w:rPr>
          <w:lang w:val="pt-PT"/>
        </w:rPr>
        <w:t xml:space="preserve"> </w:t>
      </w:r>
      <w:r w:rsidR="00854144">
        <w:rPr>
          <w:lang w:val="pt-PT"/>
        </w:rPr>
        <w:t>pronunciou-se pela naõ admissibilidade do recurso.</w:t>
      </w:r>
    </w:p>
    <w:p w:rsidR="00854144" w:rsidRDefault="00854144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>
        <w:rPr>
          <w:lang w:val="pt-PT"/>
        </w:rPr>
        <w:t>Foi cumprido o disposto no artigo 417º nº2 do CPP.</w:t>
      </w:r>
    </w:p>
    <w:p w:rsidR="00854144" w:rsidRDefault="00854144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>
        <w:rPr>
          <w:lang w:val="pt-PT"/>
        </w:rPr>
        <w:t>O recorrente e a recorrente vieram aos Autos reiterar o anteriormente expendido.</w:t>
      </w:r>
    </w:p>
    <w:p w:rsidR="005C1073" w:rsidRPr="00A87B48" w:rsidRDefault="005C1073" w:rsidP="00A87B48">
      <w:pPr>
        <w:pStyle w:val="Corpodetexto"/>
        <w:spacing w:line="360" w:lineRule="auto"/>
        <w:jc w:val="both"/>
        <w:rPr>
          <w:rFonts w:ascii="Times New Roman" w:hAnsi="Times New Roman"/>
          <w:i w:val="0"/>
          <w:lang w:val="pt-PT"/>
        </w:rPr>
      </w:pPr>
    </w:p>
    <w:p w:rsidR="00020B95" w:rsidRPr="00F50409" w:rsidRDefault="00020B95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 w:rsidRPr="00F50409">
        <w:rPr>
          <w:lang w:val="pt-PT"/>
        </w:rPr>
        <w:t>V</w:t>
      </w:r>
    </w:p>
    <w:p w:rsidR="00020B95" w:rsidRPr="00F50409" w:rsidRDefault="00DF42E7" w:rsidP="00A87B48">
      <w:pPr>
        <w:pStyle w:val="Corpodetexto"/>
        <w:spacing w:line="360" w:lineRule="auto"/>
        <w:ind w:firstLine="567"/>
        <w:jc w:val="both"/>
        <w:rPr>
          <w:lang w:val="pt-PT"/>
        </w:rPr>
      </w:pPr>
      <w:r>
        <w:rPr>
          <w:lang w:val="pt-PT"/>
        </w:rPr>
        <w:t>R</w:t>
      </w:r>
      <w:r w:rsidR="00020B95" w:rsidRPr="00F50409">
        <w:rPr>
          <w:lang w:val="pt-PT"/>
        </w:rPr>
        <w:t>ealizada a Conferência, cumpre apreciar e decidir:</w:t>
      </w:r>
    </w:p>
    <w:p w:rsidR="009E3E6F" w:rsidRDefault="00B05892" w:rsidP="00B05892">
      <w:pPr>
        <w:pStyle w:val="Corpodetexto"/>
        <w:spacing w:line="360" w:lineRule="auto"/>
        <w:ind w:firstLine="540"/>
        <w:jc w:val="both"/>
        <w:rPr>
          <w:rFonts w:eastAsia="Calibri"/>
          <w:lang w:val="pt-PT"/>
        </w:rPr>
      </w:pPr>
      <w:r>
        <w:rPr>
          <w:rFonts w:eastAsia="Calibri"/>
          <w:lang w:val="pt-PT"/>
        </w:rPr>
        <w:t>Como é sabido, o</w:t>
      </w:r>
      <w:r w:rsidR="009E3E6F">
        <w:rPr>
          <w:rFonts w:eastAsia="Calibri"/>
          <w:lang w:val="pt-PT"/>
        </w:rPr>
        <w:t xml:space="preserve">s recursos ordinários perante o Supremo Tribunal de Justiça visam exclusivamente o reexame da matéria de Direito, </w:t>
      </w:r>
      <w:r>
        <w:rPr>
          <w:rFonts w:eastAsia="Calibri"/>
          <w:lang w:val="pt-PT"/>
        </w:rPr>
        <w:t>nos termos conjugados do disposto nos artigos 432º e 400º do CPP.</w:t>
      </w:r>
    </w:p>
    <w:p w:rsidR="00854144" w:rsidRDefault="00854144" w:rsidP="00B05892">
      <w:pPr>
        <w:pStyle w:val="Corpodetexto"/>
        <w:spacing w:line="360" w:lineRule="auto"/>
        <w:ind w:firstLine="540"/>
        <w:jc w:val="both"/>
        <w:rPr>
          <w:rFonts w:eastAsia="Calibri"/>
          <w:lang w:val="pt-PT"/>
        </w:rPr>
      </w:pPr>
      <w:r>
        <w:rPr>
          <w:rFonts w:eastAsia="Calibri"/>
          <w:lang w:val="pt-PT"/>
        </w:rPr>
        <w:t>A decisão recorrida nos presentes Autos é a proferida pelo Acórdão do Tribunal da Relação de Lisboa que, mantendo um Despacho proferido em 1ª instância, não concede provimento à pretensão dos ora recorrentes no sentido de as custas processuais em que foram condenadas poderem ser pagas pela nassa insolvente e não por si próprios.</w:t>
      </w:r>
    </w:p>
    <w:p w:rsidR="00854144" w:rsidRDefault="00854144" w:rsidP="00B05892">
      <w:pPr>
        <w:pStyle w:val="Corpodetexto"/>
        <w:spacing w:line="360" w:lineRule="auto"/>
        <w:ind w:firstLine="540"/>
        <w:jc w:val="both"/>
        <w:rPr>
          <w:i w:val="0"/>
          <w:lang w:val="pt-PT"/>
        </w:rPr>
      </w:pPr>
      <w:r>
        <w:rPr>
          <w:rFonts w:eastAsia="Calibri"/>
          <w:lang w:val="pt-PT"/>
        </w:rPr>
        <w:t>Tal decisão do T.R.L.</w:t>
      </w:r>
      <w:r w:rsidR="00C30D6F">
        <w:rPr>
          <w:rFonts w:eastAsia="Calibri"/>
          <w:lang w:val="pt-PT"/>
        </w:rPr>
        <w:t xml:space="preserve">, como alega a Ex.ma PGA junto daquele Tribunal, não é “(…) </w:t>
      </w:r>
      <w:r w:rsidR="00C30D6F" w:rsidRPr="00C30D6F">
        <w:rPr>
          <w:i w:val="0"/>
          <w:sz w:val="22"/>
          <w:szCs w:val="22"/>
          <w:lang w:val="pt-PT"/>
        </w:rPr>
        <w:t xml:space="preserve"> </w:t>
      </w:r>
      <w:r w:rsidR="00C30D6F" w:rsidRPr="00C30D6F">
        <w:rPr>
          <w:i w:val="0"/>
          <w:lang w:val="pt-PT"/>
        </w:rPr>
        <w:t xml:space="preserve">a decisão final na qual foram condenados em custas e sim uma </w:t>
      </w:r>
      <w:r w:rsidR="00C30D6F" w:rsidRPr="00C30D6F">
        <w:rPr>
          <w:i w:val="0"/>
          <w:lang w:val="pt-PT"/>
        </w:rPr>
        <w:lastRenderedPageBreak/>
        <w:t xml:space="preserve">decisão que teve lugar após aquela, quando os ora recorrentes pediram o seu </w:t>
      </w:r>
      <w:r w:rsidR="00C30D6F">
        <w:rPr>
          <w:i w:val="0"/>
          <w:lang w:val="pt-PT"/>
        </w:rPr>
        <w:t>pagamento pela massa insolvente”.</w:t>
      </w:r>
    </w:p>
    <w:p w:rsidR="00C30D6F" w:rsidRDefault="00C30D6F" w:rsidP="00B05892">
      <w:pPr>
        <w:pStyle w:val="Corpodetexto"/>
        <w:spacing w:line="360" w:lineRule="auto"/>
        <w:ind w:firstLine="540"/>
        <w:jc w:val="both"/>
        <w:rPr>
          <w:lang w:val="pt-PT"/>
        </w:rPr>
      </w:pPr>
      <w:r>
        <w:rPr>
          <w:lang w:val="pt-PT"/>
        </w:rPr>
        <w:t xml:space="preserve">Ora, não sendo tal decisão uma decisão final, que conheça do mérito da causa, uma vez que, repete-se o que se pretende dirimir, não é a condenação em custas, em si mesma considerada, mas apenas e tão só a questão de saber quem deverá pagar tais custas, os recorrentes ou a massa insolvente do </w:t>
      </w:r>
      <w:r w:rsidRPr="00C30D6F">
        <w:rPr>
          <w:lang w:val="pt-PT"/>
        </w:rPr>
        <w:t>processo de insolvência em que foram declarad</w:t>
      </w:r>
      <w:r>
        <w:rPr>
          <w:lang w:val="pt-PT"/>
        </w:rPr>
        <w:t>o</w:t>
      </w:r>
      <w:r w:rsidRPr="00C30D6F">
        <w:rPr>
          <w:lang w:val="pt-PT"/>
        </w:rPr>
        <w:t>s insolv</w:t>
      </w:r>
      <w:r>
        <w:rPr>
          <w:lang w:val="pt-PT"/>
        </w:rPr>
        <w:t xml:space="preserve">entes, entende-se que tal decisão se afigura como irrecorrível, nos termos do disposto nos artigos 400º nº1 al. c) e 432ª nº1 al. b) do CPP. </w:t>
      </w:r>
    </w:p>
    <w:p w:rsidR="00FA6863" w:rsidRDefault="00FA6863" w:rsidP="00B05892">
      <w:pPr>
        <w:pStyle w:val="Corpodetexto"/>
        <w:spacing w:line="360" w:lineRule="auto"/>
        <w:ind w:firstLine="540"/>
        <w:jc w:val="both"/>
        <w:rPr>
          <w:lang w:val="pt-PT"/>
        </w:rPr>
      </w:pPr>
      <w:r>
        <w:rPr>
          <w:lang w:val="pt-PT"/>
        </w:rPr>
        <w:t>Sem prejuízo, cabe referir que não basta a mera invocação da violação de um comando constitucional para impor a recorribilidade de uma decisão. Tal afere-se e determina-se em função do supra exposto quanto à competência material deste Alto Tribunal.</w:t>
      </w:r>
    </w:p>
    <w:p w:rsidR="00F529F0" w:rsidRDefault="00F529F0" w:rsidP="00B05892">
      <w:pPr>
        <w:pStyle w:val="Corpodetexto"/>
        <w:spacing w:line="360" w:lineRule="auto"/>
        <w:ind w:firstLine="540"/>
        <w:jc w:val="both"/>
        <w:rPr>
          <w:iCs/>
          <w:lang w:val="pt-PT"/>
        </w:rPr>
      </w:pPr>
      <w:r>
        <w:rPr>
          <w:rFonts w:eastAsia="Arial" w:cs="Arial"/>
          <w:color w:val="000000"/>
          <w:lang w:val="pt-PT"/>
        </w:rPr>
        <w:t>Nesta conformidade, outra conclusão não é possível retirar que não seja a da rejeição do presente recurso por inadmissibilidade legal, em obediência ao</w:t>
      </w:r>
      <w:r w:rsidR="00FA6863">
        <w:rPr>
          <w:rFonts w:eastAsia="Arial" w:cs="Arial"/>
          <w:color w:val="000000"/>
          <w:lang w:val="pt-PT"/>
        </w:rPr>
        <w:t>s</w:t>
      </w:r>
      <w:r>
        <w:rPr>
          <w:rFonts w:eastAsia="Arial" w:cs="Arial"/>
          <w:color w:val="000000"/>
          <w:lang w:val="pt-PT"/>
        </w:rPr>
        <w:t xml:space="preserve"> </w:t>
      </w:r>
      <w:r w:rsidR="00FA6863">
        <w:rPr>
          <w:rFonts w:eastAsia="Arial" w:cs="Arial"/>
          <w:color w:val="000000"/>
          <w:lang w:val="pt-PT"/>
        </w:rPr>
        <w:t>normativos do CPP acima citados.</w:t>
      </w:r>
    </w:p>
    <w:p w:rsidR="00630353" w:rsidRDefault="00630353" w:rsidP="00630353">
      <w:pPr>
        <w:rPr>
          <w:rFonts w:eastAsia="Lucida Sans Unicode" w:cs="Lucida Sans Unicode"/>
          <w:color w:val="000000"/>
          <w:spacing w:val="-1"/>
          <w:lang w:val="pt-PT"/>
        </w:rPr>
      </w:pPr>
    </w:p>
    <w:p w:rsidR="00A202B0" w:rsidRDefault="00A202B0" w:rsidP="00630353">
      <w:pPr>
        <w:rPr>
          <w:rFonts w:eastAsia="Lucida Sans Unicode" w:cs="Lucida Sans Unicode"/>
          <w:color w:val="000000"/>
          <w:spacing w:val="-1"/>
          <w:lang w:val="pt-PT"/>
        </w:rPr>
      </w:pPr>
    </w:p>
    <w:p w:rsidR="00A202B0" w:rsidRPr="00D518CE" w:rsidRDefault="00A202B0" w:rsidP="00630353">
      <w:pPr>
        <w:rPr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ind w:firstLine="513"/>
        <w:jc w:val="both"/>
        <w:rPr>
          <w:lang w:val="pt-PT"/>
        </w:rPr>
      </w:pPr>
      <w:r w:rsidRPr="00F50409">
        <w:rPr>
          <w:lang w:val="pt-PT"/>
        </w:rPr>
        <w:t>VI</w:t>
      </w:r>
    </w:p>
    <w:p w:rsidR="00A202B0" w:rsidRPr="00A202B0" w:rsidRDefault="00A87B48" w:rsidP="00A202B0">
      <w:pPr>
        <w:spacing w:line="360" w:lineRule="auto"/>
        <w:ind w:firstLine="567"/>
        <w:jc w:val="both"/>
        <w:rPr>
          <w:rFonts w:eastAsia="Lucida Sans Unicode" w:cs="Lucida Sans Unicode"/>
          <w:color w:val="000000"/>
          <w:lang w:val="pt-PT"/>
        </w:rPr>
      </w:pPr>
      <w:r w:rsidRPr="00F50409">
        <w:rPr>
          <w:lang w:val="pt-PT"/>
        </w:rPr>
        <w:t>Termos em que se acorda em</w:t>
      </w:r>
      <w:r w:rsidR="00E71FE6">
        <w:rPr>
          <w:lang w:val="pt-PT"/>
        </w:rPr>
        <w:t xml:space="preserve"> rejeitar o recurso </w:t>
      </w:r>
      <w:r w:rsidR="00E71FE6">
        <w:rPr>
          <w:rFonts w:eastAsia="Arial" w:cs="Arial"/>
          <w:color w:val="000000"/>
          <w:lang w:val="pt-PT"/>
        </w:rPr>
        <w:t>por inadmissibilidade legal, em obediência ao disposto nos artigos</w:t>
      </w:r>
      <w:r w:rsidR="00E71FE6" w:rsidRPr="00F529F0">
        <w:rPr>
          <w:rFonts w:eastAsia="Arial" w:cs="Arial"/>
          <w:color w:val="000000"/>
          <w:lang w:val="pt-PT"/>
        </w:rPr>
        <w:t xml:space="preserve"> </w:t>
      </w:r>
      <w:r w:rsidR="00E71FE6">
        <w:rPr>
          <w:rFonts w:eastAsia="Arial" w:cs="Arial"/>
          <w:color w:val="000000"/>
          <w:lang w:val="pt-PT"/>
        </w:rPr>
        <w:t xml:space="preserve">432º nº1 al. b) e 400º nº1 al. </w:t>
      </w:r>
      <w:r w:rsidR="00FA6863">
        <w:rPr>
          <w:rFonts w:eastAsia="Arial" w:cs="Arial"/>
          <w:color w:val="000000"/>
          <w:lang w:val="pt-PT"/>
        </w:rPr>
        <w:t>c</w:t>
      </w:r>
      <w:r w:rsidR="00E71FE6">
        <w:rPr>
          <w:rFonts w:eastAsia="Arial" w:cs="Arial"/>
          <w:color w:val="000000"/>
          <w:lang w:val="pt-PT"/>
        </w:rPr>
        <w:t>) do CPP</w:t>
      </w:r>
      <w:r w:rsidR="001164A5">
        <w:rPr>
          <w:rFonts w:eastAsia="Arial" w:cs="Arial"/>
          <w:color w:val="000000"/>
          <w:lang w:val="pt-PT"/>
        </w:rPr>
        <w:t>.</w:t>
      </w:r>
    </w:p>
    <w:p w:rsidR="00A87B48" w:rsidRPr="00A202B0" w:rsidRDefault="00A87B48" w:rsidP="00A202B0">
      <w:pPr>
        <w:pStyle w:val="Corpodetexto"/>
        <w:spacing w:line="360" w:lineRule="auto"/>
        <w:ind w:firstLine="540"/>
        <w:jc w:val="both"/>
        <w:rPr>
          <w:iCs/>
          <w:lang w:val="pt-PT"/>
        </w:rPr>
      </w:pPr>
      <w:r w:rsidRPr="00F50409">
        <w:rPr>
          <w:lang w:val="pt-PT"/>
        </w:rPr>
        <w:t xml:space="preserve">    </w:t>
      </w:r>
    </w:p>
    <w:p w:rsidR="00A87B48" w:rsidRDefault="00A87B48" w:rsidP="00A87B48">
      <w:pPr>
        <w:pStyle w:val="Corpodetexto"/>
        <w:spacing w:line="360" w:lineRule="auto"/>
        <w:ind w:firstLine="561"/>
        <w:jc w:val="both"/>
        <w:rPr>
          <w:rFonts w:eastAsia="MS Mincho"/>
          <w:lang w:val="pt-PT"/>
        </w:rPr>
      </w:pPr>
      <w:r w:rsidRPr="00F50409">
        <w:rPr>
          <w:rFonts w:eastAsia="MS Mincho"/>
          <w:lang w:val="pt-PT"/>
        </w:rPr>
        <w:t xml:space="preserve">Custas pelo recorrente, fixando-se </w:t>
      </w:r>
      <w:r w:rsidR="00A202B0">
        <w:rPr>
          <w:rFonts w:eastAsia="MS Mincho"/>
          <w:lang w:val="pt-PT"/>
        </w:rPr>
        <w:t>nos mínimos legais</w:t>
      </w:r>
      <w:r w:rsidRPr="00F50409">
        <w:rPr>
          <w:rFonts w:eastAsia="MS Mincho"/>
          <w:lang w:val="pt-PT"/>
        </w:rPr>
        <w:t xml:space="preserve"> a taxa de justiça.</w:t>
      </w:r>
      <w:r w:rsidR="001164A5">
        <w:rPr>
          <w:rFonts w:eastAsia="MS Mincho"/>
          <w:lang w:val="pt-PT"/>
        </w:rPr>
        <w:t xml:space="preserve"> </w:t>
      </w:r>
    </w:p>
    <w:p w:rsidR="001164A5" w:rsidRPr="00F50409" w:rsidRDefault="001164A5" w:rsidP="00A87B48">
      <w:pPr>
        <w:pStyle w:val="Corpodetexto"/>
        <w:spacing w:line="360" w:lineRule="auto"/>
        <w:ind w:firstLine="561"/>
        <w:jc w:val="both"/>
        <w:rPr>
          <w:lang w:val="pt-PT"/>
        </w:rPr>
      </w:pPr>
      <w:r>
        <w:rPr>
          <w:rFonts w:eastAsia="MS Mincho"/>
          <w:lang w:val="pt-PT"/>
        </w:rPr>
        <w:t>Fixa-se em 5 UCs a importância a que e reporta o artigo 420º nº3 do CPP.</w:t>
      </w:r>
    </w:p>
    <w:p w:rsidR="00A87B48" w:rsidRPr="00F50409" w:rsidRDefault="00A87B48" w:rsidP="00A87B48">
      <w:pPr>
        <w:pStyle w:val="Corpodetexto"/>
        <w:spacing w:line="360" w:lineRule="auto"/>
        <w:ind w:firstLine="540"/>
        <w:jc w:val="both"/>
        <w:rPr>
          <w:iCs/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ind w:firstLine="567"/>
        <w:jc w:val="both"/>
        <w:rPr>
          <w:iCs/>
          <w:lang w:val="pt-PT"/>
        </w:rPr>
      </w:pPr>
      <w:r w:rsidRPr="00F50409">
        <w:rPr>
          <w:iCs/>
          <w:lang w:val="pt-PT"/>
        </w:rPr>
        <w:lastRenderedPageBreak/>
        <w:t xml:space="preserve">Feito em Lisboa, aos </w:t>
      </w:r>
      <w:r w:rsidR="00E71FE6">
        <w:rPr>
          <w:iCs/>
          <w:lang w:val="pt-PT"/>
        </w:rPr>
        <w:t>2</w:t>
      </w:r>
      <w:r w:rsidR="00FA6863">
        <w:rPr>
          <w:iCs/>
          <w:lang w:val="pt-PT"/>
        </w:rPr>
        <w:t xml:space="preserve"> de fever</w:t>
      </w:r>
      <w:r w:rsidR="006F6486">
        <w:rPr>
          <w:iCs/>
          <w:lang w:val="pt-PT"/>
        </w:rPr>
        <w:t>eiro de 202</w:t>
      </w:r>
      <w:r w:rsidR="00E71FE6">
        <w:rPr>
          <w:iCs/>
          <w:lang w:val="pt-PT"/>
        </w:rPr>
        <w:t>2</w:t>
      </w:r>
    </w:p>
    <w:p w:rsidR="00E928BE" w:rsidRDefault="00E928BE" w:rsidP="00A87B48">
      <w:pPr>
        <w:pStyle w:val="Corpodetexto"/>
        <w:spacing w:line="360" w:lineRule="auto"/>
        <w:jc w:val="center"/>
        <w:rPr>
          <w:iCs/>
          <w:lang w:val="pt-PT"/>
        </w:rPr>
      </w:pPr>
      <w:bookmarkStart w:id="0" w:name="_GoBack"/>
      <w:bookmarkEnd w:id="0"/>
    </w:p>
    <w:p w:rsidR="00E928BE" w:rsidRDefault="00E928BE" w:rsidP="00E71FE6">
      <w:pPr>
        <w:pStyle w:val="Corpodetexto"/>
        <w:spacing w:line="360" w:lineRule="auto"/>
        <w:rPr>
          <w:iCs/>
          <w:lang w:val="pt-PT"/>
        </w:rPr>
      </w:pPr>
    </w:p>
    <w:p w:rsidR="00E928BE" w:rsidRDefault="00E928BE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  <w:r w:rsidRPr="00F50409">
        <w:rPr>
          <w:iCs/>
          <w:lang w:val="pt-PT"/>
        </w:rPr>
        <w:t>(Maria Teresa Féria de Almeida)</w:t>
      </w:r>
    </w:p>
    <w:p w:rsidR="00A87B48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  <w:r w:rsidRPr="00F50409">
        <w:rPr>
          <w:iCs/>
          <w:lang w:val="pt-PT"/>
        </w:rPr>
        <w:t>Relatora</w:t>
      </w: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E71FE6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  <w:r>
        <w:rPr>
          <w:iCs/>
          <w:lang w:val="pt-PT"/>
        </w:rPr>
        <w:t>(Sénio dos Reis Alves)</w:t>
      </w:r>
    </w:p>
    <w:p w:rsidR="00E71FE6" w:rsidRPr="00F50409" w:rsidRDefault="00E71FE6" w:rsidP="00A87B48">
      <w:pPr>
        <w:pStyle w:val="Corpodetexto"/>
        <w:spacing w:line="360" w:lineRule="auto"/>
        <w:jc w:val="center"/>
        <w:rPr>
          <w:iCs/>
          <w:lang w:val="pt-PT"/>
        </w:rPr>
      </w:pPr>
      <w:r>
        <w:rPr>
          <w:iCs/>
          <w:lang w:val="pt-PT"/>
        </w:rPr>
        <w:t>Adjunto</w:t>
      </w:r>
    </w:p>
    <w:p w:rsidR="00A87B48" w:rsidRPr="00F50409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A87B48" w:rsidRPr="00F50409" w:rsidRDefault="00A87B48" w:rsidP="00A87B48">
      <w:pPr>
        <w:pStyle w:val="Corpodetexto"/>
        <w:spacing w:line="360" w:lineRule="auto"/>
        <w:jc w:val="center"/>
        <w:rPr>
          <w:iCs/>
          <w:lang w:val="pt-PT"/>
        </w:rPr>
      </w:pPr>
    </w:p>
    <w:p w:rsidR="00A87B48" w:rsidRDefault="00A87B48" w:rsidP="00A87B48">
      <w:pPr>
        <w:pStyle w:val="Corpodetexto"/>
        <w:spacing w:line="360" w:lineRule="auto"/>
        <w:jc w:val="both"/>
        <w:rPr>
          <w:iCs/>
          <w:lang w:val="pt-PT"/>
        </w:rPr>
      </w:pPr>
    </w:p>
    <w:p w:rsidR="00E928BE" w:rsidRPr="00171EC2" w:rsidRDefault="00E928BE" w:rsidP="00A87B48">
      <w:pPr>
        <w:pStyle w:val="Corpodetexto"/>
        <w:spacing w:line="360" w:lineRule="auto"/>
        <w:jc w:val="both"/>
        <w:rPr>
          <w:rFonts w:ascii="Times New Roman" w:hAnsi="Times New Roman"/>
          <w:i w:val="0"/>
          <w:iCs/>
          <w:lang w:val="pt-PT"/>
        </w:rPr>
      </w:pPr>
    </w:p>
    <w:p w:rsidR="00A87B48" w:rsidRPr="00A87B48" w:rsidRDefault="00A87B48" w:rsidP="00A87B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i w:val="0"/>
          <w:lang w:val="pt-PT"/>
        </w:rPr>
      </w:pPr>
    </w:p>
    <w:p w:rsidR="00A87B48" w:rsidRPr="00A87B48" w:rsidRDefault="00A87B48" w:rsidP="00A87B48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Times New Roman" w:hAnsi="Times New Roman"/>
          <w:i w:val="0"/>
          <w:lang w:val="pt-PT"/>
        </w:rPr>
      </w:pPr>
    </w:p>
    <w:p w:rsidR="00A87B48" w:rsidRPr="00A87B48" w:rsidRDefault="00A87B48" w:rsidP="00A87B48">
      <w:pPr>
        <w:spacing w:line="360" w:lineRule="auto"/>
        <w:ind w:firstLine="567"/>
        <w:jc w:val="both"/>
        <w:rPr>
          <w:rFonts w:ascii="Times New Roman" w:hAnsi="Times New Roman"/>
          <w:i w:val="0"/>
          <w:lang w:val="pt-PT"/>
        </w:rPr>
      </w:pPr>
    </w:p>
    <w:sectPr w:rsidR="00A87B48" w:rsidRPr="00A87B48" w:rsidSect="0033294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1E" w:rsidRDefault="00541C1E" w:rsidP="00C633E4">
      <w:r>
        <w:separator/>
      </w:r>
    </w:p>
  </w:endnote>
  <w:endnote w:type="continuationSeparator" w:id="0">
    <w:p w:rsidR="00541C1E" w:rsidRDefault="00541C1E" w:rsidP="00C6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55800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37F7D" w:rsidRPr="00332943" w:rsidRDefault="00D37F7D">
        <w:pPr>
          <w:pStyle w:val="Rodap"/>
          <w:rPr>
            <w:sz w:val="20"/>
            <w:szCs w:val="20"/>
          </w:rPr>
        </w:pPr>
        <w:r w:rsidRPr="00332943">
          <w:rPr>
            <w:sz w:val="20"/>
            <w:szCs w:val="20"/>
          </w:rPr>
          <w:fldChar w:fldCharType="begin"/>
        </w:r>
        <w:r w:rsidRPr="00332943">
          <w:rPr>
            <w:sz w:val="20"/>
            <w:szCs w:val="20"/>
          </w:rPr>
          <w:instrText>PAGE   \* MERGEFORMAT</w:instrText>
        </w:r>
        <w:r w:rsidRPr="00332943">
          <w:rPr>
            <w:sz w:val="20"/>
            <w:szCs w:val="20"/>
          </w:rPr>
          <w:fldChar w:fldCharType="separate"/>
        </w:r>
        <w:r w:rsidRPr="00332943">
          <w:rPr>
            <w:noProof/>
            <w:sz w:val="20"/>
            <w:szCs w:val="20"/>
            <w:lang w:val="pt-PT"/>
          </w:rPr>
          <w:t>18</w:t>
        </w:r>
        <w:r w:rsidRPr="00332943">
          <w:rPr>
            <w:sz w:val="20"/>
            <w:szCs w:val="20"/>
          </w:rPr>
          <w:fldChar w:fldCharType="end"/>
        </w:r>
      </w:p>
    </w:sdtContent>
  </w:sdt>
  <w:p w:rsidR="00D37F7D" w:rsidRDefault="00D37F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15798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37F7D" w:rsidRPr="00F7197D" w:rsidRDefault="00D37F7D">
        <w:pPr>
          <w:pStyle w:val="Rodap"/>
          <w:rPr>
            <w:sz w:val="20"/>
            <w:szCs w:val="20"/>
          </w:rPr>
        </w:pPr>
        <w:r w:rsidRPr="00F7197D">
          <w:rPr>
            <w:sz w:val="20"/>
            <w:szCs w:val="20"/>
          </w:rPr>
          <w:fldChar w:fldCharType="begin"/>
        </w:r>
        <w:r w:rsidRPr="00F7197D">
          <w:rPr>
            <w:sz w:val="20"/>
            <w:szCs w:val="20"/>
          </w:rPr>
          <w:instrText>PAGE   \* MERGEFORMAT</w:instrText>
        </w:r>
        <w:r w:rsidRPr="00F7197D">
          <w:rPr>
            <w:sz w:val="20"/>
            <w:szCs w:val="20"/>
          </w:rPr>
          <w:fldChar w:fldCharType="separate"/>
        </w:r>
        <w:r w:rsidR="00A7156D" w:rsidRPr="00A7156D">
          <w:rPr>
            <w:noProof/>
            <w:sz w:val="20"/>
            <w:szCs w:val="20"/>
            <w:lang w:val="pt-PT"/>
          </w:rPr>
          <w:t>6</w:t>
        </w:r>
        <w:r w:rsidRPr="00F7197D">
          <w:rPr>
            <w:sz w:val="20"/>
            <w:szCs w:val="20"/>
          </w:rPr>
          <w:fldChar w:fldCharType="end"/>
        </w:r>
      </w:p>
    </w:sdtContent>
  </w:sdt>
  <w:p w:rsidR="00D37F7D" w:rsidRDefault="00D37F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1E" w:rsidRDefault="00541C1E" w:rsidP="00C633E4">
      <w:r>
        <w:separator/>
      </w:r>
    </w:p>
  </w:footnote>
  <w:footnote w:type="continuationSeparator" w:id="0">
    <w:p w:rsidR="00541C1E" w:rsidRDefault="00541C1E" w:rsidP="00C63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2B3B4BCE5BDB4AF0B8AC07C79ED62728"/>
      </w:placeholder>
      <w:temporary/>
      <w:showingPlcHdr/>
      <w15:appearance w15:val="hidden"/>
    </w:sdtPr>
    <w:sdtEndPr/>
    <w:sdtContent>
      <w:p w:rsidR="00D37F7D" w:rsidRDefault="00D37F7D">
        <w:pPr>
          <w:pStyle w:val="Cabealho"/>
        </w:pPr>
        <w:r>
          <w:rPr>
            <w:lang w:val="pt-PT"/>
          </w:rPr>
          <w:t>[Escreva aqui]</w:t>
        </w:r>
      </w:p>
    </w:sdtContent>
  </w:sdt>
  <w:p w:rsidR="00D37F7D" w:rsidRPr="00A87B48" w:rsidRDefault="00D37F7D" w:rsidP="00A87B48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D" w:rsidRPr="00544712" w:rsidRDefault="00D37F7D" w:rsidP="00A87B48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Helvetica-Light" w:hAnsi="Helvetica-Light" w:cs="Times New Roman"/>
      </w:rPr>
    </w:pPr>
    <w:r>
      <w:rPr>
        <w:rFonts w:ascii="Helvetica-Light" w:hAnsi="Helvetica-Light"/>
        <w:noProof/>
      </w:rPr>
      <w:drawing>
        <wp:inline distT="0" distB="0" distL="0" distR="0">
          <wp:extent cx="982814" cy="863742"/>
          <wp:effectExtent l="19050" t="0" r="7786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919" cy="86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37F7D" w:rsidRPr="00E34966" w:rsidRDefault="00D37F7D" w:rsidP="00A87B48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34966">
      <w:rPr>
        <w:rFonts w:ascii="Times New Roman" w:hAnsi="Times New Roman" w:cs="Times New Roman"/>
        <w:b/>
        <w:bCs/>
        <w:sz w:val="32"/>
        <w:szCs w:val="32"/>
      </w:rPr>
      <w:t>Supremo Tribunal de Justiça</w:t>
    </w:r>
  </w:p>
  <w:p w:rsidR="00D37F7D" w:rsidRPr="00E34966" w:rsidRDefault="00D37F7D" w:rsidP="00A87B48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34966">
      <w:rPr>
        <w:rFonts w:ascii="Times New Roman" w:hAnsi="Times New Roman" w:cs="Times New Roman"/>
        <w:b/>
        <w:bCs/>
        <w:sz w:val="28"/>
        <w:szCs w:val="28"/>
      </w:rPr>
      <w:t>3.ª Secção Criminal</w:t>
    </w:r>
  </w:p>
  <w:p w:rsidR="00D37F7D" w:rsidRPr="00A87B48" w:rsidRDefault="00D37F7D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520_"/>
      </v:shape>
    </w:pict>
  </w:numPicBullet>
  <w:abstractNum w:abstractNumId="0" w15:restartNumberingAfterBreak="0">
    <w:nsid w:val="00E20DCC"/>
    <w:multiLevelType w:val="hybridMultilevel"/>
    <w:tmpl w:val="2248A3CE"/>
    <w:lvl w:ilvl="0" w:tplc="08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" w15:restartNumberingAfterBreak="0">
    <w:nsid w:val="05B7752E"/>
    <w:multiLevelType w:val="hybridMultilevel"/>
    <w:tmpl w:val="82D6EBA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0F53"/>
    <w:multiLevelType w:val="hybridMultilevel"/>
    <w:tmpl w:val="ACC462C0"/>
    <w:lvl w:ilvl="0" w:tplc="C16E429E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D77903"/>
    <w:multiLevelType w:val="hybridMultilevel"/>
    <w:tmpl w:val="8244ED04"/>
    <w:lvl w:ilvl="0" w:tplc="90849FCC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AE2704"/>
    <w:multiLevelType w:val="hybridMultilevel"/>
    <w:tmpl w:val="00DE7C82"/>
    <w:lvl w:ilvl="0" w:tplc="90849FCC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32250C1"/>
    <w:multiLevelType w:val="hybridMultilevel"/>
    <w:tmpl w:val="60283406"/>
    <w:lvl w:ilvl="0" w:tplc="0816000F">
      <w:start w:val="1"/>
      <w:numFmt w:val="decimal"/>
      <w:lvlText w:val="%1."/>
      <w:lvlJc w:val="left"/>
      <w:pPr>
        <w:ind w:left="1713" w:hanging="360"/>
      </w:pPr>
    </w:lvl>
    <w:lvl w:ilvl="1" w:tplc="08160019" w:tentative="1">
      <w:start w:val="1"/>
      <w:numFmt w:val="lowerLetter"/>
      <w:lvlText w:val="%2."/>
      <w:lvlJc w:val="left"/>
      <w:pPr>
        <w:ind w:left="2433" w:hanging="360"/>
      </w:pPr>
    </w:lvl>
    <w:lvl w:ilvl="2" w:tplc="0816001B" w:tentative="1">
      <w:start w:val="1"/>
      <w:numFmt w:val="lowerRoman"/>
      <w:lvlText w:val="%3."/>
      <w:lvlJc w:val="right"/>
      <w:pPr>
        <w:ind w:left="3153" w:hanging="180"/>
      </w:pPr>
    </w:lvl>
    <w:lvl w:ilvl="3" w:tplc="0816000F" w:tentative="1">
      <w:start w:val="1"/>
      <w:numFmt w:val="decimal"/>
      <w:lvlText w:val="%4."/>
      <w:lvlJc w:val="left"/>
      <w:pPr>
        <w:ind w:left="3873" w:hanging="360"/>
      </w:pPr>
    </w:lvl>
    <w:lvl w:ilvl="4" w:tplc="08160019" w:tentative="1">
      <w:start w:val="1"/>
      <w:numFmt w:val="lowerLetter"/>
      <w:lvlText w:val="%5."/>
      <w:lvlJc w:val="left"/>
      <w:pPr>
        <w:ind w:left="4593" w:hanging="360"/>
      </w:pPr>
    </w:lvl>
    <w:lvl w:ilvl="5" w:tplc="0816001B" w:tentative="1">
      <w:start w:val="1"/>
      <w:numFmt w:val="lowerRoman"/>
      <w:lvlText w:val="%6."/>
      <w:lvlJc w:val="right"/>
      <w:pPr>
        <w:ind w:left="5313" w:hanging="180"/>
      </w:pPr>
    </w:lvl>
    <w:lvl w:ilvl="6" w:tplc="0816000F" w:tentative="1">
      <w:start w:val="1"/>
      <w:numFmt w:val="decimal"/>
      <w:lvlText w:val="%7."/>
      <w:lvlJc w:val="left"/>
      <w:pPr>
        <w:ind w:left="6033" w:hanging="360"/>
      </w:pPr>
    </w:lvl>
    <w:lvl w:ilvl="7" w:tplc="08160019" w:tentative="1">
      <w:start w:val="1"/>
      <w:numFmt w:val="lowerLetter"/>
      <w:lvlText w:val="%8."/>
      <w:lvlJc w:val="left"/>
      <w:pPr>
        <w:ind w:left="6753" w:hanging="360"/>
      </w:pPr>
    </w:lvl>
    <w:lvl w:ilvl="8" w:tplc="08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36755D32"/>
    <w:multiLevelType w:val="hybridMultilevel"/>
    <w:tmpl w:val="1C6CDD5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874C8"/>
    <w:multiLevelType w:val="hybridMultilevel"/>
    <w:tmpl w:val="FBDE2A9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C235ABA"/>
    <w:multiLevelType w:val="hybridMultilevel"/>
    <w:tmpl w:val="C52CB4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A06A1"/>
    <w:multiLevelType w:val="hybridMultilevel"/>
    <w:tmpl w:val="D53A9FBC"/>
    <w:lvl w:ilvl="0" w:tplc="9F82E086">
      <w:start w:val="1"/>
      <w:numFmt w:val="decimal"/>
      <w:lvlText w:val="%1-"/>
      <w:lvlJc w:val="left"/>
      <w:pPr>
        <w:ind w:left="720" w:hanging="360"/>
      </w:pPr>
      <w:rPr>
        <w:rFonts w:ascii="Bookman Old Style" w:eastAsiaTheme="minorHAnsi" w:hAnsi="Bookman Old Style" w:cs="Book Antiqu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03F59"/>
    <w:multiLevelType w:val="hybridMultilevel"/>
    <w:tmpl w:val="B9C68DEE"/>
    <w:lvl w:ilvl="0" w:tplc="52AC1EB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783"/>
    <w:multiLevelType w:val="hybridMultilevel"/>
    <w:tmpl w:val="EAE4C654"/>
    <w:lvl w:ilvl="0" w:tplc="0816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53971C57"/>
    <w:multiLevelType w:val="hybridMultilevel"/>
    <w:tmpl w:val="1B0857EE"/>
    <w:lvl w:ilvl="0" w:tplc="17EC262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8E603C"/>
    <w:multiLevelType w:val="hybridMultilevel"/>
    <w:tmpl w:val="00283FAC"/>
    <w:lvl w:ilvl="0" w:tplc="95A2014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05" w:hanging="360"/>
      </w:pPr>
    </w:lvl>
    <w:lvl w:ilvl="2" w:tplc="0816001B" w:tentative="1">
      <w:start w:val="1"/>
      <w:numFmt w:val="lowerRoman"/>
      <w:lvlText w:val="%3."/>
      <w:lvlJc w:val="right"/>
      <w:pPr>
        <w:ind w:left="2325" w:hanging="180"/>
      </w:pPr>
    </w:lvl>
    <w:lvl w:ilvl="3" w:tplc="0816000F" w:tentative="1">
      <w:start w:val="1"/>
      <w:numFmt w:val="decimal"/>
      <w:lvlText w:val="%4."/>
      <w:lvlJc w:val="left"/>
      <w:pPr>
        <w:ind w:left="3045" w:hanging="360"/>
      </w:pPr>
    </w:lvl>
    <w:lvl w:ilvl="4" w:tplc="08160019" w:tentative="1">
      <w:start w:val="1"/>
      <w:numFmt w:val="lowerLetter"/>
      <w:lvlText w:val="%5."/>
      <w:lvlJc w:val="left"/>
      <w:pPr>
        <w:ind w:left="3765" w:hanging="360"/>
      </w:pPr>
    </w:lvl>
    <w:lvl w:ilvl="5" w:tplc="0816001B" w:tentative="1">
      <w:start w:val="1"/>
      <w:numFmt w:val="lowerRoman"/>
      <w:lvlText w:val="%6."/>
      <w:lvlJc w:val="right"/>
      <w:pPr>
        <w:ind w:left="4485" w:hanging="180"/>
      </w:pPr>
    </w:lvl>
    <w:lvl w:ilvl="6" w:tplc="0816000F" w:tentative="1">
      <w:start w:val="1"/>
      <w:numFmt w:val="decimal"/>
      <w:lvlText w:val="%7."/>
      <w:lvlJc w:val="left"/>
      <w:pPr>
        <w:ind w:left="5205" w:hanging="360"/>
      </w:pPr>
    </w:lvl>
    <w:lvl w:ilvl="7" w:tplc="08160019" w:tentative="1">
      <w:start w:val="1"/>
      <w:numFmt w:val="lowerLetter"/>
      <w:lvlText w:val="%8."/>
      <w:lvlJc w:val="left"/>
      <w:pPr>
        <w:ind w:left="5925" w:hanging="360"/>
      </w:pPr>
    </w:lvl>
    <w:lvl w:ilvl="8" w:tplc="08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5E355984"/>
    <w:multiLevelType w:val="hybridMultilevel"/>
    <w:tmpl w:val="4C7CB268"/>
    <w:lvl w:ilvl="0" w:tplc="D1F645CA">
      <w:start w:val="1"/>
      <w:numFmt w:val="lowerLetter"/>
      <w:lvlText w:val="%1)"/>
      <w:lvlJc w:val="left"/>
      <w:pPr>
        <w:ind w:left="1353" w:hanging="360"/>
      </w:pPr>
      <w:rPr>
        <w:rFonts w:ascii="Bookman Old Style" w:eastAsia="Times New Roman" w:hAnsi="Bookman Old Style" w:cs="Times New Roman"/>
      </w:rPr>
    </w:lvl>
    <w:lvl w:ilvl="1" w:tplc="08160019" w:tentative="1">
      <w:start w:val="1"/>
      <w:numFmt w:val="lowerLetter"/>
      <w:lvlText w:val="%2."/>
      <w:lvlJc w:val="left"/>
      <w:pPr>
        <w:ind w:left="2073" w:hanging="360"/>
      </w:pPr>
    </w:lvl>
    <w:lvl w:ilvl="2" w:tplc="0816001B" w:tentative="1">
      <w:start w:val="1"/>
      <w:numFmt w:val="lowerRoman"/>
      <w:lvlText w:val="%3."/>
      <w:lvlJc w:val="right"/>
      <w:pPr>
        <w:ind w:left="2793" w:hanging="180"/>
      </w:pPr>
    </w:lvl>
    <w:lvl w:ilvl="3" w:tplc="0816000F" w:tentative="1">
      <w:start w:val="1"/>
      <w:numFmt w:val="decimal"/>
      <w:lvlText w:val="%4."/>
      <w:lvlJc w:val="left"/>
      <w:pPr>
        <w:ind w:left="3513" w:hanging="360"/>
      </w:pPr>
    </w:lvl>
    <w:lvl w:ilvl="4" w:tplc="08160019" w:tentative="1">
      <w:start w:val="1"/>
      <w:numFmt w:val="lowerLetter"/>
      <w:lvlText w:val="%5."/>
      <w:lvlJc w:val="left"/>
      <w:pPr>
        <w:ind w:left="4233" w:hanging="360"/>
      </w:pPr>
    </w:lvl>
    <w:lvl w:ilvl="5" w:tplc="0816001B" w:tentative="1">
      <w:start w:val="1"/>
      <w:numFmt w:val="lowerRoman"/>
      <w:lvlText w:val="%6."/>
      <w:lvlJc w:val="right"/>
      <w:pPr>
        <w:ind w:left="4953" w:hanging="180"/>
      </w:pPr>
    </w:lvl>
    <w:lvl w:ilvl="6" w:tplc="0816000F" w:tentative="1">
      <w:start w:val="1"/>
      <w:numFmt w:val="decimal"/>
      <w:lvlText w:val="%7."/>
      <w:lvlJc w:val="left"/>
      <w:pPr>
        <w:ind w:left="5673" w:hanging="360"/>
      </w:pPr>
    </w:lvl>
    <w:lvl w:ilvl="7" w:tplc="08160019" w:tentative="1">
      <w:start w:val="1"/>
      <w:numFmt w:val="lowerLetter"/>
      <w:lvlText w:val="%8."/>
      <w:lvlJc w:val="left"/>
      <w:pPr>
        <w:ind w:left="6393" w:hanging="360"/>
      </w:pPr>
    </w:lvl>
    <w:lvl w:ilvl="8" w:tplc="08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F7E1DF6"/>
    <w:multiLevelType w:val="hybridMultilevel"/>
    <w:tmpl w:val="6FFA5DA0"/>
    <w:lvl w:ilvl="0" w:tplc="A554FAA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853573A"/>
    <w:multiLevelType w:val="hybridMultilevel"/>
    <w:tmpl w:val="4A46BD38"/>
    <w:lvl w:ilvl="0" w:tplc="90849FCC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A25737"/>
    <w:multiLevelType w:val="hybridMultilevel"/>
    <w:tmpl w:val="27C287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5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6"/>
  </w:num>
  <w:num w:numId="10">
    <w:abstractNumId w:val="2"/>
  </w:num>
  <w:num w:numId="11">
    <w:abstractNumId w:val="13"/>
  </w:num>
  <w:num w:numId="12">
    <w:abstractNumId w:val="9"/>
  </w:num>
  <w:num w:numId="13">
    <w:abstractNumId w:val="17"/>
  </w:num>
  <w:num w:numId="14">
    <w:abstractNumId w:val="0"/>
  </w:num>
  <w:num w:numId="15">
    <w:abstractNumId w:val="6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51D"/>
    <w:rsid w:val="00014B00"/>
    <w:rsid w:val="00020B95"/>
    <w:rsid w:val="00025F71"/>
    <w:rsid w:val="000732B5"/>
    <w:rsid w:val="00080F9B"/>
    <w:rsid w:val="000A1DF4"/>
    <w:rsid w:val="000B012F"/>
    <w:rsid w:val="000B18DF"/>
    <w:rsid w:val="000B530D"/>
    <w:rsid w:val="000C1BCD"/>
    <w:rsid w:val="000C1FDB"/>
    <w:rsid w:val="000E3DB6"/>
    <w:rsid w:val="000E7B93"/>
    <w:rsid w:val="000F5651"/>
    <w:rsid w:val="00111E4E"/>
    <w:rsid w:val="00113F30"/>
    <w:rsid w:val="001147EC"/>
    <w:rsid w:val="001164A5"/>
    <w:rsid w:val="00122B84"/>
    <w:rsid w:val="001860AA"/>
    <w:rsid w:val="001C04EC"/>
    <w:rsid w:val="001E2C7D"/>
    <w:rsid w:val="001F365E"/>
    <w:rsid w:val="00212FA9"/>
    <w:rsid w:val="002336CB"/>
    <w:rsid w:val="00274791"/>
    <w:rsid w:val="002904D7"/>
    <w:rsid w:val="00291E85"/>
    <w:rsid w:val="002928F9"/>
    <w:rsid w:val="00295D88"/>
    <w:rsid w:val="002C2636"/>
    <w:rsid w:val="002D32E2"/>
    <w:rsid w:val="002D6A65"/>
    <w:rsid w:val="002E5A2F"/>
    <w:rsid w:val="00302D20"/>
    <w:rsid w:val="00302E12"/>
    <w:rsid w:val="003055BA"/>
    <w:rsid w:val="003060C0"/>
    <w:rsid w:val="00323876"/>
    <w:rsid w:val="0033184B"/>
    <w:rsid w:val="00332943"/>
    <w:rsid w:val="003379B9"/>
    <w:rsid w:val="00344932"/>
    <w:rsid w:val="003519AD"/>
    <w:rsid w:val="00353A7E"/>
    <w:rsid w:val="003636B1"/>
    <w:rsid w:val="00371E7D"/>
    <w:rsid w:val="003761A2"/>
    <w:rsid w:val="003961BC"/>
    <w:rsid w:val="003B2F8C"/>
    <w:rsid w:val="003D4345"/>
    <w:rsid w:val="003D779E"/>
    <w:rsid w:val="003F15C1"/>
    <w:rsid w:val="00401D99"/>
    <w:rsid w:val="00416C54"/>
    <w:rsid w:val="00417499"/>
    <w:rsid w:val="00421A80"/>
    <w:rsid w:val="004300B2"/>
    <w:rsid w:val="00482177"/>
    <w:rsid w:val="00491806"/>
    <w:rsid w:val="00494704"/>
    <w:rsid w:val="004A5B56"/>
    <w:rsid w:val="004C60B8"/>
    <w:rsid w:val="004E1DC4"/>
    <w:rsid w:val="004F091C"/>
    <w:rsid w:val="004F6EDC"/>
    <w:rsid w:val="00503165"/>
    <w:rsid w:val="00527FCB"/>
    <w:rsid w:val="00541C1E"/>
    <w:rsid w:val="0054278F"/>
    <w:rsid w:val="005528EE"/>
    <w:rsid w:val="00564EED"/>
    <w:rsid w:val="00570861"/>
    <w:rsid w:val="0058461F"/>
    <w:rsid w:val="005A0C73"/>
    <w:rsid w:val="005B4287"/>
    <w:rsid w:val="005C1073"/>
    <w:rsid w:val="005E63BE"/>
    <w:rsid w:val="005E6919"/>
    <w:rsid w:val="0060054F"/>
    <w:rsid w:val="006058A4"/>
    <w:rsid w:val="00614109"/>
    <w:rsid w:val="00630353"/>
    <w:rsid w:val="00635FE6"/>
    <w:rsid w:val="00640B61"/>
    <w:rsid w:val="00653C2A"/>
    <w:rsid w:val="00674E53"/>
    <w:rsid w:val="00676F6E"/>
    <w:rsid w:val="0068225A"/>
    <w:rsid w:val="006A0C80"/>
    <w:rsid w:val="006A30E4"/>
    <w:rsid w:val="006D2089"/>
    <w:rsid w:val="006F0336"/>
    <w:rsid w:val="006F6486"/>
    <w:rsid w:val="007021AE"/>
    <w:rsid w:val="00707644"/>
    <w:rsid w:val="00714A83"/>
    <w:rsid w:val="00727CAF"/>
    <w:rsid w:val="00754C39"/>
    <w:rsid w:val="00767DFE"/>
    <w:rsid w:val="00770FBD"/>
    <w:rsid w:val="007832DD"/>
    <w:rsid w:val="0079017A"/>
    <w:rsid w:val="00790EAD"/>
    <w:rsid w:val="007A5B49"/>
    <w:rsid w:val="007A74D4"/>
    <w:rsid w:val="007B45BB"/>
    <w:rsid w:val="007C209F"/>
    <w:rsid w:val="007D2098"/>
    <w:rsid w:val="007D3D33"/>
    <w:rsid w:val="007E4CF6"/>
    <w:rsid w:val="00800C02"/>
    <w:rsid w:val="008117EB"/>
    <w:rsid w:val="00837D7C"/>
    <w:rsid w:val="008526A7"/>
    <w:rsid w:val="00854144"/>
    <w:rsid w:val="008759DD"/>
    <w:rsid w:val="00877323"/>
    <w:rsid w:val="00887F40"/>
    <w:rsid w:val="00887F64"/>
    <w:rsid w:val="008D04C4"/>
    <w:rsid w:val="008D6E11"/>
    <w:rsid w:val="008E3D97"/>
    <w:rsid w:val="008F6A7E"/>
    <w:rsid w:val="00905E82"/>
    <w:rsid w:val="00911315"/>
    <w:rsid w:val="00935389"/>
    <w:rsid w:val="009457E6"/>
    <w:rsid w:val="00970C59"/>
    <w:rsid w:val="009716EE"/>
    <w:rsid w:val="00980AC5"/>
    <w:rsid w:val="009856B0"/>
    <w:rsid w:val="0099048E"/>
    <w:rsid w:val="009A11ED"/>
    <w:rsid w:val="009B3B2B"/>
    <w:rsid w:val="009E1CF1"/>
    <w:rsid w:val="009E3E6F"/>
    <w:rsid w:val="009E65AF"/>
    <w:rsid w:val="009F2AEA"/>
    <w:rsid w:val="009F7BB0"/>
    <w:rsid w:val="00A12EF2"/>
    <w:rsid w:val="00A202B0"/>
    <w:rsid w:val="00A31F34"/>
    <w:rsid w:val="00A37CE6"/>
    <w:rsid w:val="00A51626"/>
    <w:rsid w:val="00A7156D"/>
    <w:rsid w:val="00A738BD"/>
    <w:rsid w:val="00A87B48"/>
    <w:rsid w:val="00A962F9"/>
    <w:rsid w:val="00A9714B"/>
    <w:rsid w:val="00AA4F2A"/>
    <w:rsid w:val="00AB7DE6"/>
    <w:rsid w:val="00AC0567"/>
    <w:rsid w:val="00AC6433"/>
    <w:rsid w:val="00AE484C"/>
    <w:rsid w:val="00AF229B"/>
    <w:rsid w:val="00B04368"/>
    <w:rsid w:val="00B05892"/>
    <w:rsid w:val="00B24A6E"/>
    <w:rsid w:val="00B725F1"/>
    <w:rsid w:val="00B77B84"/>
    <w:rsid w:val="00B81221"/>
    <w:rsid w:val="00B91526"/>
    <w:rsid w:val="00B967EC"/>
    <w:rsid w:val="00BA7F50"/>
    <w:rsid w:val="00BB08F5"/>
    <w:rsid w:val="00BC251D"/>
    <w:rsid w:val="00BC2DEF"/>
    <w:rsid w:val="00BD221D"/>
    <w:rsid w:val="00BE3D86"/>
    <w:rsid w:val="00BE56CC"/>
    <w:rsid w:val="00C27D7B"/>
    <w:rsid w:val="00C30D6F"/>
    <w:rsid w:val="00C401C2"/>
    <w:rsid w:val="00C4369B"/>
    <w:rsid w:val="00C52292"/>
    <w:rsid w:val="00C5472D"/>
    <w:rsid w:val="00C633E4"/>
    <w:rsid w:val="00C8044B"/>
    <w:rsid w:val="00C90CA1"/>
    <w:rsid w:val="00CA6A99"/>
    <w:rsid w:val="00CC32FF"/>
    <w:rsid w:val="00CD6904"/>
    <w:rsid w:val="00D11E5A"/>
    <w:rsid w:val="00D14ED3"/>
    <w:rsid w:val="00D37F7D"/>
    <w:rsid w:val="00D42102"/>
    <w:rsid w:val="00D663F1"/>
    <w:rsid w:val="00D66A1B"/>
    <w:rsid w:val="00D70395"/>
    <w:rsid w:val="00D873A4"/>
    <w:rsid w:val="00DB4B38"/>
    <w:rsid w:val="00DB77E3"/>
    <w:rsid w:val="00DE54AC"/>
    <w:rsid w:val="00DE5946"/>
    <w:rsid w:val="00DE7E16"/>
    <w:rsid w:val="00DF42E7"/>
    <w:rsid w:val="00DF6B95"/>
    <w:rsid w:val="00E15595"/>
    <w:rsid w:val="00E34966"/>
    <w:rsid w:val="00E47789"/>
    <w:rsid w:val="00E6395B"/>
    <w:rsid w:val="00E71FE6"/>
    <w:rsid w:val="00E731A5"/>
    <w:rsid w:val="00E74E4D"/>
    <w:rsid w:val="00E80794"/>
    <w:rsid w:val="00E9213C"/>
    <w:rsid w:val="00E928BE"/>
    <w:rsid w:val="00EF2B45"/>
    <w:rsid w:val="00F11981"/>
    <w:rsid w:val="00F50409"/>
    <w:rsid w:val="00F529F0"/>
    <w:rsid w:val="00F57AF5"/>
    <w:rsid w:val="00F66420"/>
    <w:rsid w:val="00F7197D"/>
    <w:rsid w:val="00F73C98"/>
    <w:rsid w:val="00FA6863"/>
    <w:rsid w:val="00FC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D7C1"/>
  <w15:docId w15:val="{53701A96-114A-455B-B45E-A94335E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iandra GD" w:eastAsiaTheme="minorHAnsi" w:hAnsi="Maiandra GD" w:cstheme="minorBidi"/>
        <w:sz w:val="24"/>
        <w:szCs w:val="24"/>
        <w:lang w:val="pt-PT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51D"/>
    <w:pPr>
      <w:spacing w:after="0" w:line="240" w:lineRule="auto"/>
      <w:jc w:val="left"/>
    </w:pPr>
    <w:rPr>
      <w:rFonts w:ascii="Bookman Old Style" w:eastAsia="Times New Roman" w:hAnsi="Bookman Old Style" w:cs="Times New Roman"/>
      <w:i/>
      <w:lang w:val="fr-FR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BC251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rsid w:val="00BC251D"/>
    <w:rPr>
      <w:rFonts w:ascii="Bookman Old Style" w:eastAsia="Times New Roman" w:hAnsi="Bookman Old Style" w:cs="Times New Roman"/>
      <w:i/>
      <w:lang w:val="fr-FR" w:eastAsia="pt-PT"/>
    </w:rPr>
  </w:style>
  <w:style w:type="paragraph" w:styleId="SemEspaamento">
    <w:name w:val="No Spacing"/>
    <w:uiPriority w:val="1"/>
    <w:qFormat/>
    <w:rsid w:val="00BC25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C251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C251D"/>
    <w:rPr>
      <w:rFonts w:ascii="Tahoma" w:eastAsia="Times New Roman" w:hAnsi="Tahoma" w:cs="Tahoma"/>
      <w:i/>
      <w:sz w:val="16"/>
      <w:szCs w:val="16"/>
      <w:lang w:val="fr-FR" w:eastAsia="pt-PT"/>
    </w:rPr>
  </w:style>
  <w:style w:type="paragraph" w:styleId="Cabealho">
    <w:name w:val="header"/>
    <w:basedOn w:val="Normal"/>
    <w:link w:val="CabealhoCarter"/>
    <w:uiPriority w:val="99"/>
    <w:unhideWhenUsed/>
    <w:rsid w:val="00C633E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33E4"/>
    <w:rPr>
      <w:rFonts w:ascii="Bookman Old Style" w:eastAsia="Times New Roman" w:hAnsi="Bookman Old Style" w:cs="Times New Roman"/>
      <w:i/>
      <w:lang w:val="fr-FR" w:eastAsia="pt-PT"/>
    </w:rPr>
  </w:style>
  <w:style w:type="paragraph" w:styleId="Rodap">
    <w:name w:val="footer"/>
    <w:basedOn w:val="Normal"/>
    <w:link w:val="RodapCarter"/>
    <w:uiPriority w:val="99"/>
    <w:unhideWhenUsed/>
    <w:rsid w:val="00C633E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33E4"/>
    <w:rPr>
      <w:rFonts w:ascii="Bookman Old Style" w:eastAsia="Times New Roman" w:hAnsi="Bookman Old Style" w:cs="Times New Roman"/>
      <w:i/>
      <w:lang w:val="fr-FR" w:eastAsia="pt-PT"/>
    </w:rPr>
  </w:style>
  <w:style w:type="paragraph" w:customStyle="1" w:styleId="Cabealho1">
    <w:name w:val="Cabeçalho1"/>
    <w:rsid w:val="00C633E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252"/>
        <w:tab w:val="right" w:pos="8504"/>
      </w:tabs>
      <w:spacing w:line="276" w:lineRule="auto"/>
      <w:jc w:val="left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Corpo">
    <w:name w:val="Corpo"/>
    <w:rsid w:val="00970C59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left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PargrafodaLista">
    <w:name w:val="List Paragraph"/>
    <w:basedOn w:val="Normal"/>
    <w:uiPriority w:val="34"/>
    <w:qFormat/>
    <w:rsid w:val="007D2098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91526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91526"/>
    <w:rPr>
      <w:rFonts w:ascii="Bookman Old Style" w:eastAsia="Times New Roman" w:hAnsi="Bookman Old Style" w:cs="Times New Roman"/>
      <w:i/>
      <w:sz w:val="20"/>
      <w:szCs w:val="20"/>
      <w:lang w:val="fr-FR" w:eastAsia="pt-PT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91526"/>
    <w:rPr>
      <w:vertAlign w:val="superscript"/>
    </w:rPr>
  </w:style>
  <w:style w:type="character" w:styleId="Hiperligao">
    <w:name w:val="Hyperlink"/>
    <w:basedOn w:val="Tipodeletrapredefinidodopargrafo"/>
    <w:unhideWhenUsed/>
    <w:rsid w:val="00B91526"/>
    <w:rPr>
      <w:color w:val="0000F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21A80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21A80"/>
    <w:rPr>
      <w:rFonts w:ascii="Bookman Old Style" w:eastAsia="Times New Roman" w:hAnsi="Bookman Old Style" w:cs="Times New Roman"/>
      <w:i/>
      <w:sz w:val="20"/>
      <w:szCs w:val="20"/>
      <w:lang w:val="fr-FR" w:eastAsia="pt-PT"/>
    </w:rPr>
  </w:style>
  <w:style w:type="character" w:styleId="Refdenotaderodap">
    <w:name w:val="footnote reference"/>
    <w:basedOn w:val="Tipodeletrapredefinidodopargrafo"/>
    <w:uiPriority w:val="99"/>
    <w:unhideWhenUsed/>
    <w:rsid w:val="00421A8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E4CF6"/>
    <w:pPr>
      <w:spacing w:before="100" w:beforeAutospacing="1" w:after="100" w:afterAutospacing="1"/>
    </w:pPr>
    <w:rPr>
      <w:rFonts w:ascii="Times New Roman" w:hAnsi="Times New Roman"/>
      <w:i w:val="0"/>
      <w:lang w:val="pt-PT"/>
    </w:rPr>
  </w:style>
  <w:style w:type="paragraph" w:styleId="Textosimples">
    <w:name w:val="Plain Text"/>
    <w:basedOn w:val="Normal"/>
    <w:link w:val="TextosimplesCarter"/>
    <w:rsid w:val="00020B95"/>
    <w:rPr>
      <w:rFonts w:ascii="Courier New" w:hAnsi="Courier New" w:cs="Courier New"/>
      <w:i w:val="0"/>
      <w:sz w:val="20"/>
      <w:szCs w:val="20"/>
      <w:lang w:val="pt-PT"/>
    </w:rPr>
  </w:style>
  <w:style w:type="character" w:customStyle="1" w:styleId="TextosimplesCarter">
    <w:name w:val="Texto simples Caráter"/>
    <w:basedOn w:val="Tipodeletrapredefinidodopargrafo"/>
    <w:link w:val="Textosimples"/>
    <w:rsid w:val="00020B95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Default">
    <w:name w:val="Default"/>
    <w:rsid w:val="005C1073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</w:rPr>
  </w:style>
  <w:style w:type="paragraph" w:customStyle="1" w:styleId="Normal0">
    <w:name w:val="[Normal]"/>
    <w:rsid w:val="00E34966"/>
    <w:pPr>
      <w:spacing w:after="0" w:line="240" w:lineRule="auto"/>
      <w:jc w:val="left"/>
    </w:pPr>
    <w:rPr>
      <w:rFonts w:ascii="Arial" w:eastAsia="Arial" w:hAnsi="Arial" w:cs="Arial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si.pt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3B4BCE5BDB4AF0B8AC07C79ED627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05479E-6F7A-4753-B8D3-261B2EA1F832}"/>
      </w:docPartPr>
      <w:docPartBody>
        <w:p w:rsidR="00C82AFC" w:rsidRDefault="00634ADB" w:rsidP="00634ADB">
          <w:pPr>
            <w:pStyle w:val="2B3B4BCE5BDB4AF0B8AC07C79ED62728"/>
          </w:pPr>
          <w:r>
            <w:t>[Escreva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DB"/>
    <w:rsid w:val="00213AF9"/>
    <w:rsid w:val="002824A6"/>
    <w:rsid w:val="004A583B"/>
    <w:rsid w:val="00634ADB"/>
    <w:rsid w:val="006B5FC0"/>
    <w:rsid w:val="008E37F6"/>
    <w:rsid w:val="00924E76"/>
    <w:rsid w:val="00A279F0"/>
    <w:rsid w:val="00A52326"/>
    <w:rsid w:val="00AB4A57"/>
    <w:rsid w:val="00C12010"/>
    <w:rsid w:val="00C72931"/>
    <w:rsid w:val="00C82AFC"/>
    <w:rsid w:val="00D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3B4BCE5BDB4AF0B8AC07C79ED62728">
    <w:name w:val="2B3B4BCE5BDB4AF0B8AC07C79ED62728"/>
    <w:rsid w:val="00634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F280DD08-7461-44C2-9017-0A4C93E2E9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025C33-FCDD-4DB0-8620-6A26444A8F8C}"/>
</file>

<file path=customXml/itemProps3.xml><?xml version="1.0" encoding="utf-8"?>
<ds:datastoreItem xmlns:ds="http://schemas.openxmlformats.org/officeDocument/2006/customXml" ds:itemID="{5948D5FA-57BF-4029-B16B-355044AD52E9}"/>
</file>

<file path=customXml/itemProps4.xml><?xml version="1.0" encoding="utf-8"?>
<ds:datastoreItem xmlns:ds="http://schemas.openxmlformats.org/officeDocument/2006/customXml" ds:itemID="{6D8C2F73-550F-497A-BD04-DE7C8E7EE2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6</Pages>
  <Words>1120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user</cp:lastModifiedBy>
  <cp:revision>47</cp:revision>
  <cp:lastPrinted>2019-11-19T23:43:00Z</cp:lastPrinted>
  <dcterms:created xsi:type="dcterms:W3CDTF">2019-11-18T19:13:00Z</dcterms:created>
  <dcterms:modified xsi:type="dcterms:W3CDTF">2022-01-30T21:28:00Z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0x0101003D3390C52E3EFB4B933E45A7A2906327</vt:lpwstr>
  </property>
</Properties>
</file>