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9CBFF" w14:textId="1066F869" w:rsidR="000E578D" w:rsidRPr="000E578D" w:rsidRDefault="000E578D" w:rsidP="000E578D">
      <w:pPr>
        <w:spacing w:line="360" w:lineRule="auto"/>
        <w:rPr>
          <w:rFonts w:ascii="Times New Roman" w:hAnsi="Times New Roman" w:cs="Times New Roman"/>
          <w:b/>
          <w:bCs/>
          <w:sz w:val="24"/>
          <w:szCs w:val="24"/>
        </w:rPr>
      </w:pPr>
      <w:r w:rsidRPr="000E578D">
        <w:rPr>
          <w:rFonts w:ascii="Times New Roman" w:hAnsi="Times New Roman" w:cs="Times New Roman"/>
          <w:b/>
          <w:bCs/>
          <w:sz w:val="24"/>
          <w:szCs w:val="24"/>
        </w:rPr>
        <w:t xml:space="preserve">Processo n-º </w:t>
      </w:r>
      <w:bookmarkStart w:id="0" w:name="OLE_LINK1"/>
      <w:r w:rsidRPr="000E578D">
        <w:rPr>
          <w:rFonts w:ascii="Times New Roman" w:hAnsi="Times New Roman" w:cs="Times New Roman"/>
          <w:b/>
          <w:bCs/>
          <w:sz w:val="24"/>
          <w:szCs w:val="24"/>
        </w:rPr>
        <w:t>19/20.5YLPRT.L1.S1</w:t>
      </w:r>
    </w:p>
    <w:bookmarkEnd w:id="0"/>
    <w:p w14:paraId="36011F18" w14:textId="77777777" w:rsidR="00FC13DA" w:rsidRDefault="00FC13DA" w:rsidP="000E578D">
      <w:pPr>
        <w:spacing w:line="360" w:lineRule="auto"/>
        <w:jc w:val="center"/>
        <w:rPr>
          <w:rFonts w:ascii="Times New Roman" w:hAnsi="Times New Roman" w:cs="Times New Roman"/>
          <w:b/>
          <w:bCs/>
          <w:sz w:val="24"/>
          <w:szCs w:val="24"/>
        </w:rPr>
      </w:pPr>
    </w:p>
    <w:p w14:paraId="59548539" w14:textId="150D3042" w:rsidR="000E578D" w:rsidRPr="000E578D" w:rsidRDefault="000E578D" w:rsidP="000E578D">
      <w:pPr>
        <w:spacing w:line="360" w:lineRule="auto"/>
        <w:jc w:val="center"/>
        <w:rPr>
          <w:rFonts w:ascii="Times New Roman" w:hAnsi="Times New Roman" w:cs="Times New Roman"/>
          <w:b/>
          <w:bCs/>
          <w:sz w:val="24"/>
          <w:szCs w:val="24"/>
        </w:rPr>
      </w:pPr>
      <w:r w:rsidRPr="000E578D">
        <w:rPr>
          <w:rFonts w:ascii="Times New Roman" w:hAnsi="Times New Roman" w:cs="Times New Roman"/>
          <w:b/>
          <w:bCs/>
          <w:sz w:val="24"/>
          <w:szCs w:val="24"/>
        </w:rPr>
        <w:t>Acordam</w:t>
      </w:r>
      <w:r w:rsidR="00F80AEA">
        <w:rPr>
          <w:rFonts w:ascii="Times New Roman" w:hAnsi="Times New Roman" w:cs="Times New Roman"/>
          <w:b/>
          <w:bCs/>
          <w:sz w:val="24"/>
          <w:szCs w:val="24"/>
        </w:rPr>
        <w:t>, em conferência,</w:t>
      </w:r>
      <w:r w:rsidRPr="000E578D">
        <w:rPr>
          <w:rFonts w:ascii="Times New Roman" w:hAnsi="Times New Roman" w:cs="Times New Roman"/>
          <w:b/>
          <w:bCs/>
          <w:sz w:val="24"/>
          <w:szCs w:val="24"/>
        </w:rPr>
        <w:t xml:space="preserve"> no Supremo Tribunal de Justiça,</w:t>
      </w:r>
    </w:p>
    <w:p w14:paraId="3A778B6B" w14:textId="77777777" w:rsidR="00FC13DA" w:rsidRDefault="00FC13DA" w:rsidP="000E578D">
      <w:pPr>
        <w:spacing w:line="360" w:lineRule="auto"/>
        <w:rPr>
          <w:rFonts w:ascii="Times New Roman" w:hAnsi="Times New Roman" w:cs="Times New Roman"/>
          <w:b/>
          <w:bCs/>
          <w:sz w:val="24"/>
          <w:szCs w:val="24"/>
        </w:rPr>
      </w:pPr>
    </w:p>
    <w:p w14:paraId="3041A905" w14:textId="6412A602" w:rsidR="000E578D" w:rsidRPr="000E578D" w:rsidRDefault="000E578D" w:rsidP="000E578D">
      <w:pPr>
        <w:spacing w:line="360" w:lineRule="auto"/>
        <w:rPr>
          <w:rFonts w:ascii="Times New Roman" w:hAnsi="Times New Roman" w:cs="Times New Roman"/>
          <w:b/>
          <w:bCs/>
          <w:sz w:val="24"/>
          <w:szCs w:val="24"/>
        </w:rPr>
      </w:pPr>
      <w:r w:rsidRPr="000E578D">
        <w:rPr>
          <w:rFonts w:ascii="Times New Roman" w:hAnsi="Times New Roman" w:cs="Times New Roman"/>
          <w:b/>
          <w:bCs/>
          <w:sz w:val="24"/>
          <w:szCs w:val="24"/>
        </w:rPr>
        <w:t>I - Relatório</w:t>
      </w:r>
    </w:p>
    <w:p w14:paraId="1C5BC502" w14:textId="0184A831" w:rsidR="000E578D" w:rsidRDefault="000E578D" w:rsidP="000E578D">
      <w:pPr>
        <w:pStyle w:val="PargrafodaLista"/>
        <w:numPr>
          <w:ilvl w:val="0"/>
          <w:numId w:val="1"/>
        </w:numPr>
        <w:spacing w:after="0" w:line="360" w:lineRule="auto"/>
        <w:ind w:left="357" w:firstLine="357"/>
        <w:jc w:val="both"/>
        <w:rPr>
          <w:rFonts w:ascii="Times New Roman" w:hAnsi="Times New Roman" w:cs="Times New Roman"/>
          <w:sz w:val="24"/>
          <w:szCs w:val="24"/>
        </w:rPr>
      </w:pPr>
      <w:proofErr w:type="spellStart"/>
      <w:r w:rsidRPr="000E578D">
        <w:rPr>
          <w:rFonts w:ascii="Times New Roman" w:hAnsi="Times New Roman" w:cs="Times New Roman"/>
          <w:b/>
          <w:smallCaps/>
          <w:sz w:val="24"/>
          <w:szCs w:val="24"/>
        </w:rPr>
        <w:t>Gerex</w:t>
      </w:r>
      <w:proofErr w:type="spellEnd"/>
      <w:r w:rsidRPr="000E578D">
        <w:rPr>
          <w:rFonts w:ascii="Times New Roman" w:hAnsi="Times New Roman" w:cs="Times New Roman"/>
          <w:b/>
          <w:smallCaps/>
          <w:sz w:val="24"/>
          <w:szCs w:val="24"/>
        </w:rPr>
        <w:t xml:space="preserve"> - Gabinete de Gestão Industrial e Comercial, Lda</w:t>
      </w:r>
      <w:r>
        <w:rPr>
          <w:rFonts w:ascii="Times New Roman" w:hAnsi="Times New Roman" w:cs="Times New Roman"/>
          <w:b/>
          <w:smallCaps/>
          <w:sz w:val="24"/>
          <w:szCs w:val="24"/>
        </w:rPr>
        <w:t>.</w:t>
      </w:r>
      <w:r w:rsidRPr="000E578D">
        <w:rPr>
          <w:rFonts w:ascii="Times New Roman" w:hAnsi="Times New Roman" w:cs="Times New Roman"/>
          <w:sz w:val="24"/>
          <w:szCs w:val="24"/>
        </w:rPr>
        <w:t xml:space="preserve">, Requerida no procedimento especial de despejo intentado por </w:t>
      </w:r>
      <w:r w:rsidR="00BA6C98" w:rsidRPr="000E578D">
        <w:rPr>
          <w:rFonts w:ascii="Times New Roman" w:hAnsi="Times New Roman" w:cs="Times New Roman"/>
          <w:b/>
          <w:smallCaps/>
          <w:sz w:val="24"/>
          <w:szCs w:val="24"/>
        </w:rPr>
        <w:t xml:space="preserve">Paradise </w:t>
      </w:r>
      <w:proofErr w:type="spellStart"/>
      <w:r w:rsidR="00BA6C98" w:rsidRPr="000E578D">
        <w:rPr>
          <w:rFonts w:ascii="Times New Roman" w:hAnsi="Times New Roman" w:cs="Times New Roman"/>
          <w:b/>
          <w:smallCaps/>
          <w:sz w:val="24"/>
          <w:szCs w:val="24"/>
        </w:rPr>
        <w:t>Pyramid</w:t>
      </w:r>
      <w:proofErr w:type="spellEnd"/>
      <w:r w:rsidR="00BA6C98" w:rsidRPr="000E578D">
        <w:rPr>
          <w:rFonts w:ascii="Times New Roman" w:hAnsi="Times New Roman" w:cs="Times New Roman"/>
          <w:b/>
          <w:smallCaps/>
          <w:sz w:val="24"/>
          <w:szCs w:val="24"/>
        </w:rPr>
        <w:t>, Lda</w:t>
      </w:r>
      <w:r w:rsidR="00BA6C98">
        <w:rPr>
          <w:rFonts w:ascii="Times New Roman" w:hAnsi="Times New Roman" w:cs="Times New Roman"/>
          <w:sz w:val="24"/>
          <w:szCs w:val="24"/>
        </w:rPr>
        <w:t>.</w:t>
      </w:r>
      <w:r w:rsidRPr="000E578D">
        <w:rPr>
          <w:rFonts w:ascii="Times New Roman" w:hAnsi="Times New Roman" w:cs="Times New Roman"/>
          <w:sz w:val="24"/>
          <w:szCs w:val="24"/>
        </w:rPr>
        <w:t>, com fundamento na oposição à renovação do contrato de arrendamento,</w:t>
      </w:r>
      <w:r>
        <w:rPr>
          <w:rFonts w:ascii="Times New Roman" w:hAnsi="Times New Roman" w:cs="Times New Roman"/>
          <w:sz w:val="24"/>
          <w:szCs w:val="24"/>
        </w:rPr>
        <w:t xml:space="preserve"> deduziu</w:t>
      </w:r>
      <w:r w:rsidRPr="000E578D">
        <w:rPr>
          <w:rFonts w:ascii="Times New Roman" w:hAnsi="Times New Roman" w:cs="Times New Roman"/>
          <w:sz w:val="24"/>
          <w:szCs w:val="24"/>
        </w:rPr>
        <w:t xml:space="preserve">, ao abrigo do </w:t>
      </w:r>
      <w:proofErr w:type="spellStart"/>
      <w:r w:rsidRPr="000E578D">
        <w:rPr>
          <w:rFonts w:ascii="Times New Roman" w:hAnsi="Times New Roman" w:cs="Times New Roman"/>
          <w:sz w:val="24"/>
          <w:szCs w:val="24"/>
        </w:rPr>
        <w:t>art</w:t>
      </w:r>
      <w:proofErr w:type="spellEnd"/>
      <w:r>
        <w:rPr>
          <w:rFonts w:ascii="Times New Roman" w:hAnsi="Times New Roman" w:cs="Times New Roman"/>
          <w:sz w:val="24"/>
          <w:szCs w:val="24"/>
        </w:rPr>
        <w:t>.</w:t>
      </w:r>
      <w:r w:rsidRPr="000E578D">
        <w:rPr>
          <w:rFonts w:ascii="Times New Roman" w:hAnsi="Times New Roman" w:cs="Times New Roman"/>
          <w:sz w:val="24"/>
          <w:szCs w:val="24"/>
        </w:rPr>
        <w:t xml:space="preserve"> 15.º-F da Lei n.º</w:t>
      </w:r>
      <w:r>
        <w:rPr>
          <w:rFonts w:ascii="Times New Roman" w:hAnsi="Times New Roman" w:cs="Times New Roman"/>
          <w:sz w:val="24"/>
          <w:szCs w:val="24"/>
        </w:rPr>
        <w:t xml:space="preserve"> </w:t>
      </w:r>
      <w:r w:rsidRPr="000E578D">
        <w:rPr>
          <w:rFonts w:ascii="Times New Roman" w:hAnsi="Times New Roman" w:cs="Times New Roman"/>
          <w:sz w:val="24"/>
          <w:szCs w:val="24"/>
        </w:rPr>
        <w:t>6/2006, de 27 de Fevereiro, oposição com pedido reconvencional</w:t>
      </w:r>
      <w:r>
        <w:rPr>
          <w:rFonts w:ascii="Times New Roman" w:hAnsi="Times New Roman" w:cs="Times New Roman"/>
          <w:sz w:val="24"/>
          <w:szCs w:val="24"/>
        </w:rPr>
        <w:t>.</w:t>
      </w:r>
    </w:p>
    <w:p w14:paraId="14D6AF8C" w14:textId="3897AF0C" w:rsidR="000E578D" w:rsidRPr="000E578D" w:rsidRDefault="000E578D" w:rsidP="000E578D">
      <w:pPr>
        <w:pStyle w:val="PargrafodaLista"/>
        <w:numPr>
          <w:ilvl w:val="0"/>
          <w:numId w:val="1"/>
        </w:numPr>
        <w:spacing w:after="0" w:line="360" w:lineRule="auto"/>
        <w:ind w:left="357" w:firstLine="357"/>
        <w:jc w:val="both"/>
        <w:rPr>
          <w:rFonts w:ascii="Times New Roman" w:hAnsi="Times New Roman" w:cs="Times New Roman"/>
          <w:sz w:val="24"/>
          <w:szCs w:val="24"/>
        </w:rPr>
      </w:pPr>
      <w:r w:rsidRPr="000E578D">
        <w:rPr>
          <w:rFonts w:ascii="Times New Roman" w:hAnsi="Times New Roman" w:cs="Times New Roman"/>
          <w:sz w:val="24"/>
          <w:szCs w:val="24"/>
        </w:rPr>
        <w:t>Alegou, em síntese, que:</w:t>
      </w:r>
    </w:p>
    <w:p w14:paraId="0B193B45" w14:textId="767AC442" w:rsidR="000E578D" w:rsidRPr="000E578D" w:rsidRDefault="000E578D" w:rsidP="000E578D">
      <w:pPr>
        <w:spacing w:line="360" w:lineRule="auto"/>
        <w:ind w:left="357"/>
        <w:jc w:val="both"/>
        <w:rPr>
          <w:rFonts w:ascii="Times New Roman" w:hAnsi="Times New Roman" w:cs="Times New Roman"/>
          <w:sz w:val="24"/>
          <w:szCs w:val="24"/>
        </w:rPr>
      </w:pPr>
      <w:r w:rsidRPr="000E578D">
        <w:rPr>
          <w:rFonts w:ascii="Times New Roman" w:hAnsi="Times New Roman" w:cs="Times New Roman"/>
          <w:sz w:val="24"/>
          <w:szCs w:val="24"/>
        </w:rPr>
        <w:t xml:space="preserve">- </w:t>
      </w:r>
      <w:r>
        <w:rPr>
          <w:rFonts w:ascii="Times New Roman" w:hAnsi="Times New Roman" w:cs="Times New Roman"/>
          <w:sz w:val="24"/>
          <w:szCs w:val="24"/>
        </w:rPr>
        <w:t>a</w:t>
      </w:r>
      <w:r w:rsidRPr="000E578D">
        <w:rPr>
          <w:rFonts w:ascii="Times New Roman" w:hAnsi="Times New Roman" w:cs="Times New Roman"/>
          <w:sz w:val="24"/>
          <w:szCs w:val="24"/>
        </w:rPr>
        <w:t xml:space="preserve"> </w:t>
      </w:r>
      <w:r>
        <w:rPr>
          <w:rFonts w:ascii="Times New Roman" w:hAnsi="Times New Roman" w:cs="Times New Roman"/>
          <w:sz w:val="24"/>
          <w:szCs w:val="24"/>
        </w:rPr>
        <w:t>R</w:t>
      </w:r>
      <w:r w:rsidRPr="000E578D">
        <w:rPr>
          <w:rFonts w:ascii="Times New Roman" w:hAnsi="Times New Roman" w:cs="Times New Roman"/>
          <w:sz w:val="24"/>
          <w:szCs w:val="24"/>
        </w:rPr>
        <w:t>equerente apresentou no presente procedimento especial de despejo um</w:t>
      </w:r>
      <w:r>
        <w:rPr>
          <w:rFonts w:ascii="Times New Roman" w:hAnsi="Times New Roman" w:cs="Times New Roman"/>
          <w:sz w:val="24"/>
          <w:szCs w:val="24"/>
        </w:rPr>
        <w:t xml:space="preserve"> </w:t>
      </w:r>
      <w:r w:rsidRPr="000E578D">
        <w:rPr>
          <w:rFonts w:ascii="Times New Roman" w:hAnsi="Times New Roman" w:cs="Times New Roman"/>
          <w:sz w:val="24"/>
          <w:szCs w:val="24"/>
        </w:rPr>
        <w:t xml:space="preserve">contrato de arrendamento celebrado, por escritura pública, </w:t>
      </w:r>
      <w:r>
        <w:rPr>
          <w:rFonts w:ascii="Times New Roman" w:hAnsi="Times New Roman" w:cs="Times New Roman"/>
          <w:sz w:val="24"/>
          <w:szCs w:val="24"/>
        </w:rPr>
        <w:t>a</w:t>
      </w:r>
      <w:r w:rsidRPr="000E578D">
        <w:rPr>
          <w:rFonts w:ascii="Times New Roman" w:hAnsi="Times New Roman" w:cs="Times New Roman"/>
          <w:sz w:val="24"/>
          <w:szCs w:val="24"/>
        </w:rPr>
        <w:t xml:space="preserve"> 19 de </w:t>
      </w:r>
      <w:r>
        <w:rPr>
          <w:rFonts w:ascii="Times New Roman" w:hAnsi="Times New Roman" w:cs="Times New Roman"/>
          <w:sz w:val="24"/>
          <w:szCs w:val="24"/>
        </w:rPr>
        <w:t>d</w:t>
      </w:r>
      <w:r w:rsidRPr="000E578D">
        <w:rPr>
          <w:rFonts w:ascii="Times New Roman" w:hAnsi="Times New Roman" w:cs="Times New Roman"/>
          <w:sz w:val="24"/>
          <w:szCs w:val="24"/>
        </w:rPr>
        <w:t>ezembro de 1997,</w:t>
      </w:r>
      <w:r>
        <w:rPr>
          <w:rFonts w:ascii="Times New Roman" w:hAnsi="Times New Roman" w:cs="Times New Roman"/>
          <w:sz w:val="24"/>
          <w:szCs w:val="24"/>
        </w:rPr>
        <w:t xml:space="preserve"> </w:t>
      </w:r>
      <w:r w:rsidRPr="000E578D">
        <w:rPr>
          <w:rFonts w:ascii="Times New Roman" w:hAnsi="Times New Roman" w:cs="Times New Roman"/>
          <w:sz w:val="24"/>
          <w:szCs w:val="24"/>
        </w:rPr>
        <w:t xml:space="preserve">juntando o comprovativo da comunicação prevista no </w:t>
      </w:r>
      <w:proofErr w:type="spellStart"/>
      <w:r>
        <w:rPr>
          <w:rFonts w:ascii="Times New Roman" w:hAnsi="Times New Roman" w:cs="Times New Roman"/>
          <w:sz w:val="24"/>
          <w:szCs w:val="24"/>
        </w:rPr>
        <w:t>art</w:t>
      </w:r>
      <w:proofErr w:type="spellEnd"/>
      <w:r>
        <w:rPr>
          <w:rFonts w:ascii="Times New Roman" w:hAnsi="Times New Roman" w:cs="Times New Roman"/>
          <w:sz w:val="24"/>
          <w:szCs w:val="24"/>
        </w:rPr>
        <w:t xml:space="preserve">. 1097.º, </w:t>
      </w:r>
      <w:r w:rsidRPr="000E578D">
        <w:rPr>
          <w:rFonts w:ascii="Times New Roman" w:hAnsi="Times New Roman" w:cs="Times New Roman"/>
          <w:sz w:val="24"/>
          <w:szCs w:val="24"/>
        </w:rPr>
        <w:t>n.º 1</w:t>
      </w:r>
      <w:r>
        <w:rPr>
          <w:rFonts w:ascii="Times New Roman" w:hAnsi="Times New Roman" w:cs="Times New Roman"/>
          <w:sz w:val="24"/>
          <w:szCs w:val="24"/>
        </w:rPr>
        <w:t xml:space="preserve">, do CC; omitiu, todavia, </w:t>
      </w:r>
      <w:r w:rsidRPr="000E578D">
        <w:rPr>
          <w:rFonts w:ascii="Times New Roman" w:hAnsi="Times New Roman" w:cs="Times New Roman"/>
          <w:sz w:val="24"/>
          <w:szCs w:val="24"/>
        </w:rPr>
        <w:t xml:space="preserve">que a relação contratual subjacente ao arrendamento </w:t>
      </w:r>
      <w:r>
        <w:rPr>
          <w:rFonts w:ascii="Times New Roman" w:hAnsi="Times New Roman" w:cs="Times New Roman"/>
          <w:sz w:val="24"/>
          <w:szCs w:val="24"/>
        </w:rPr>
        <w:t>dos</w:t>
      </w:r>
      <w:r w:rsidRPr="000E578D">
        <w:rPr>
          <w:rFonts w:ascii="Times New Roman" w:hAnsi="Times New Roman" w:cs="Times New Roman"/>
          <w:sz w:val="24"/>
          <w:szCs w:val="24"/>
        </w:rPr>
        <w:t xml:space="preserve"> autos remonta a</w:t>
      </w:r>
      <w:r>
        <w:rPr>
          <w:rFonts w:ascii="Times New Roman" w:hAnsi="Times New Roman" w:cs="Times New Roman"/>
          <w:sz w:val="24"/>
          <w:szCs w:val="24"/>
        </w:rPr>
        <w:t xml:space="preserve"> </w:t>
      </w:r>
      <w:r w:rsidRPr="000E578D">
        <w:rPr>
          <w:rFonts w:ascii="Times New Roman" w:hAnsi="Times New Roman" w:cs="Times New Roman"/>
          <w:sz w:val="24"/>
          <w:szCs w:val="24"/>
        </w:rPr>
        <w:t xml:space="preserve">15 de </w:t>
      </w:r>
      <w:r>
        <w:rPr>
          <w:rFonts w:ascii="Times New Roman" w:hAnsi="Times New Roman" w:cs="Times New Roman"/>
          <w:sz w:val="24"/>
          <w:szCs w:val="24"/>
        </w:rPr>
        <w:t>j</w:t>
      </w:r>
      <w:r w:rsidRPr="000E578D">
        <w:rPr>
          <w:rFonts w:ascii="Times New Roman" w:hAnsi="Times New Roman" w:cs="Times New Roman"/>
          <w:sz w:val="24"/>
          <w:szCs w:val="24"/>
        </w:rPr>
        <w:t>unho de 1989, data da celebração do contrato entre a primitiva proprietária</w:t>
      </w:r>
      <w:r>
        <w:rPr>
          <w:rFonts w:ascii="Times New Roman" w:hAnsi="Times New Roman" w:cs="Times New Roman"/>
          <w:sz w:val="24"/>
          <w:szCs w:val="24"/>
        </w:rPr>
        <w:t xml:space="preserve"> do imóvel -</w:t>
      </w:r>
      <w:r w:rsidRPr="000E578D">
        <w:rPr>
          <w:rFonts w:ascii="Times New Roman" w:hAnsi="Times New Roman" w:cs="Times New Roman"/>
          <w:sz w:val="24"/>
          <w:szCs w:val="24"/>
        </w:rPr>
        <w:t xml:space="preserve"> </w:t>
      </w:r>
      <w:proofErr w:type="spellStart"/>
      <w:r w:rsidRPr="000E578D">
        <w:rPr>
          <w:rFonts w:ascii="Times New Roman" w:hAnsi="Times New Roman" w:cs="Times New Roman"/>
          <w:b/>
          <w:smallCaps/>
          <w:sz w:val="24"/>
          <w:szCs w:val="24"/>
        </w:rPr>
        <w:t>Hufvudsraden</w:t>
      </w:r>
      <w:proofErr w:type="spellEnd"/>
      <w:r w:rsidRPr="000E578D">
        <w:rPr>
          <w:rFonts w:ascii="Times New Roman" w:hAnsi="Times New Roman" w:cs="Times New Roman"/>
          <w:b/>
          <w:smallCaps/>
          <w:sz w:val="24"/>
          <w:szCs w:val="24"/>
        </w:rPr>
        <w:t xml:space="preserve"> </w:t>
      </w:r>
      <w:proofErr w:type="spellStart"/>
      <w:r w:rsidRPr="000E578D">
        <w:rPr>
          <w:rFonts w:ascii="Times New Roman" w:hAnsi="Times New Roman" w:cs="Times New Roman"/>
          <w:b/>
          <w:smallCaps/>
          <w:sz w:val="24"/>
          <w:szCs w:val="24"/>
        </w:rPr>
        <w:t>International</w:t>
      </w:r>
      <w:proofErr w:type="spellEnd"/>
      <w:r w:rsidRPr="000E578D">
        <w:rPr>
          <w:rFonts w:ascii="Times New Roman" w:hAnsi="Times New Roman" w:cs="Times New Roman"/>
          <w:b/>
          <w:smallCaps/>
          <w:sz w:val="24"/>
          <w:szCs w:val="24"/>
        </w:rPr>
        <w:t xml:space="preserve"> AB</w:t>
      </w:r>
      <w:r w:rsidR="00E75FED">
        <w:rPr>
          <w:rFonts w:ascii="Times New Roman" w:hAnsi="Times New Roman" w:cs="Times New Roman"/>
          <w:b/>
          <w:smallCaps/>
          <w:sz w:val="24"/>
          <w:szCs w:val="24"/>
        </w:rPr>
        <w:t xml:space="preserve"> -</w:t>
      </w:r>
      <w:r w:rsidRPr="000E578D">
        <w:rPr>
          <w:rFonts w:ascii="Times New Roman" w:hAnsi="Times New Roman" w:cs="Times New Roman"/>
          <w:sz w:val="24"/>
          <w:szCs w:val="24"/>
        </w:rPr>
        <w:t xml:space="preserve"> e a primitiva arrendatária</w:t>
      </w:r>
      <w:r>
        <w:rPr>
          <w:rFonts w:ascii="Times New Roman" w:hAnsi="Times New Roman" w:cs="Times New Roman"/>
          <w:sz w:val="24"/>
          <w:szCs w:val="24"/>
        </w:rPr>
        <w:t xml:space="preserve"> -</w:t>
      </w:r>
      <w:r w:rsidRPr="000E578D">
        <w:rPr>
          <w:rFonts w:ascii="Times New Roman" w:hAnsi="Times New Roman" w:cs="Times New Roman"/>
          <w:sz w:val="24"/>
          <w:szCs w:val="24"/>
        </w:rPr>
        <w:t xml:space="preserve"> </w:t>
      </w:r>
      <w:proofErr w:type="spellStart"/>
      <w:r w:rsidRPr="000E578D">
        <w:rPr>
          <w:rFonts w:ascii="Times New Roman" w:hAnsi="Times New Roman" w:cs="Times New Roman"/>
          <w:b/>
          <w:smallCaps/>
          <w:sz w:val="24"/>
          <w:szCs w:val="24"/>
        </w:rPr>
        <w:t>Procomer</w:t>
      </w:r>
      <w:proofErr w:type="spellEnd"/>
      <w:r w:rsidRPr="000E578D">
        <w:rPr>
          <w:rFonts w:ascii="Times New Roman" w:hAnsi="Times New Roman" w:cs="Times New Roman"/>
          <w:b/>
          <w:smallCaps/>
          <w:sz w:val="24"/>
          <w:szCs w:val="24"/>
        </w:rPr>
        <w:t xml:space="preserve"> - Sociedade de Representação e Promoção de Vendas, Ld</w:t>
      </w:r>
      <w:r>
        <w:rPr>
          <w:rFonts w:ascii="Times New Roman" w:hAnsi="Times New Roman" w:cs="Times New Roman"/>
          <w:b/>
          <w:smallCaps/>
          <w:sz w:val="24"/>
          <w:szCs w:val="24"/>
        </w:rPr>
        <w:t xml:space="preserve">a.; </w:t>
      </w:r>
      <w:r>
        <w:rPr>
          <w:rFonts w:ascii="Times New Roman" w:hAnsi="Times New Roman" w:cs="Times New Roman"/>
          <w:sz w:val="24"/>
          <w:szCs w:val="24"/>
        </w:rPr>
        <w:t xml:space="preserve"> previa-se, neste contrato, qu</w:t>
      </w:r>
      <w:r w:rsidRPr="000E578D">
        <w:rPr>
          <w:rFonts w:ascii="Times New Roman" w:hAnsi="Times New Roman" w:cs="Times New Roman"/>
          <w:sz w:val="24"/>
          <w:szCs w:val="24"/>
        </w:rPr>
        <w:t xml:space="preserve">e a arrendatária podia ceder a sua posição contratual à Requerida, o que veio a suceder </w:t>
      </w:r>
      <w:r>
        <w:rPr>
          <w:rFonts w:ascii="Times New Roman" w:hAnsi="Times New Roman" w:cs="Times New Roman"/>
          <w:sz w:val="24"/>
          <w:szCs w:val="24"/>
        </w:rPr>
        <w:t xml:space="preserve">também a </w:t>
      </w:r>
      <w:r w:rsidRPr="000E578D">
        <w:rPr>
          <w:rFonts w:ascii="Times New Roman" w:hAnsi="Times New Roman" w:cs="Times New Roman"/>
          <w:sz w:val="24"/>
          <w:szCs w:val="24"/>
        </w:rPr>
        <w:t xml:space="preserve">15 de </w:t>
      </w:r>
      <w:r>
        <w:rPr>
          <w:rFonts w:ascii="Times New Roman" w:hAnsi="Times New Roman" w:cs="Times New Roman"/>
          <w:sz w:val="24"/>
          <w:szCs w:val="24"/>
        </w:rPr>
        <w:t>j</w:t>
      </w:r>
      <w:r w:rsidRPr="000E578D">
        <w:rPr>
          <w:rFonts w:ascii="Times New Roman" w:hAnsi="Times New Roman" w:cs="Times New Roman"/>
          <w:sz w:val="24"/>
          <w:szCs w:val="24"/>
        </w:rPr>
        <w:t>unho de 1989, por escritura celebrada</w:t>
      </w:r>
      <w:r>
        <w:rPr>
          <w:rFonts w:ascii="Times New Roman" w:hAnsi="Times New Roman" w:cs="Times New Roman"/>
          <w:sz w:val="24"/>
          <w:szCs w:val="24"/>
        </w:rPr>
        <w:t>,</w:t>
      </w:r>
      <w:r w:rsidRPr="000E578D">
        <w:rPr>
          <w:rFonts w:ascii="Times New Roman" w:hAnsi="Times New Roman" w:cs="Times New Roman"/>
          <w:sz w:val="24"/>
          <w:szCs w:val="24"/>
        </w:rPr>
        <w:t xml:space="preserve"> </w:t>
      </w:r>
      <w:r>
        <w:rPr>
          <w:rFonts w:ascii="Times New Roman" w:hAnsi="Times New Roman" w:cs="Times New Roman"/>
          <w:sz w:val="24"/>
          <w:szCs w:val="24"/>
        </w:rPr>
        <w:t xml:space="preserve">outrossim </w:t>
      </w:r>
      <w:r w:rsidRPr="000E578D">
        <w:rPr>
          <w:rFonts w:ascii="Times New Roman" w:hAnsi="Times New Roman" w:cs="Times New Roman"/>
          <w:sz w:val="24"/>
          <w:szCs w:val="24"/>
        </w:rPr>
        <w:t>no 6.º</w:t>
      </w:r>
      <w:r>
        <w:rPr>
          <w:rFonts w:ascii="Times New Roman" w:hAnsi="Times New Roman" w:cs="Times New Roman"/>
          <w:sz w:val="24"/>
          <w:szCs w:val="24"/>
        </w:rPr>
        <w:t xml:space="preserve"> </w:t>
      </w:r>
      <w:r w:rsidRPr="000E578D">
        <w:rPr>
          <w:rFonts w:ascii="Times New Roman" w:hAnsi="Times New Roman" w:cs="Times New Roman"/>
          <w:sz w:val="24"/>
          <w:szCs w:val="24"/>
        </w:rPr>
        <w:t>Cartório Notarial de Lisboa</w:t>
      </w:r>
      <w:r>
        <w:rPr>
          <w:rFonts w:ascii="Times New Roman" w:hAnsi="Times New Roman" w:cs="Times New Roman"/>
          <w:sz w:val="24"/>
          <w:szCs w:val="24"/>
        </w:rPr>
        <w:t xml:space="preserve">; deste modo, </w:t>
      </w:r>
      <w:r w:rsidRPr="000E578D">
        <w:rPr>
          <w:rFonts w:ascii="Times New Roman" w:hAnsi="Times New Roman" w:cs="Times New Roman"/>
          <w:sz w:val="24"/>
          <w:szCs w:val="24"/>
        </w:rPr>
        <w:t>o documento que serviu de base ao presente procedimento especial de despejo não corresponde ao contrato dos autos, mas sim a uma alteração do mesmo;</w:t>
      </w:r>
    </w:p>
    <w:p w14:paraId="62037C63" w14:textId="2BF37FF2" w:rsidR="000E578D" w:rsidRPr="000E578D" w:rsidRDefault="000E578D" w:rsidP="000E578D">
      <w:pPr>
        <w:spacing w:line="360" w:lineRule="auto"/>
        <w:ind w:left="357"/>
        <w:jc w:val="both"/>
        <w:rPr>
          <w:rFonts w:ascii="Times New Roman" w:hAnsi="Times New Roman" w:cs="Times New Roman"/>
          <w:sz w:val="24"/>
          <w:szCs w:val="24"/>
        </w:rPr>
      </w:pPr>
      <w:r w:rsidRPr="000E578D">
        <w:rPr>
          <w:rFonts w:ascii="Times New Roman" w:hAnsi="Times New Roman" w:cs="Times New Roman"/>
          <w:sz w:val="24"/>
          <w:szCs w:val="24"/>
        </w:rPr>
        <w:t xml:space="preserve">- </w:t>
      </w:r>
      <w:r>
        <w:rPr>
          <w:rFonts w:ascii="Times New Roman" w:hAnsi="Times New Roman" w:cs="Times New Roman"/>
          <w:sz w:val="24"/>
          <w:szCs w:val="24"/>
        </w:rPr>
        <w:t>t</w:t>
      </w:r>
      <w:r w:rsidRPr="000E578D">
        <w:rPr>
          <w:rFonts w:ascii="Times New Roman" w:hAnsi="Times New Roman" w:cs="Times New Roman"/>
          <w:sz w:val="24"/>
          <w:szCs w:val="24"/>
        </w:rPr>
        <w:t xml:space="preserve">endo o contrato dos autos sido celebrado antes do </w:t>
      </w:r>
      <w:r>
        <w:rPr>
          <w:rFonts w:ascii="Times New Roman" w:hAnsi="Times New Roman" w:cs="Times New Roman"/>
          <w:sz w:val="24"/>
          <w:szCs w:val="24"/>
        </w:rPr>
        <w:t xml:space="preserve">início de vigência do </w:t>
      </w:r>
      <w:r w:rsidRPr="000E578D">
        <w:rPr>
          <w:rFonts w:ascii="Times New Roman" w:hAnsi="Times New Roman" w:cs="Times New Roman"/>
          <w:sz w:val="24"/>
          <w:szCs w:val="24"/>
        </w:rPr>
        <w:t>D</w:t>
      </w:r>
      <w:r>
        <w:rPr>
          <w:rFonts w:ascii="Times New Roman" w:hAnsi="Times New Roman" w:cs="Times New Roman"/>
          <w:sz w:val="24"/>
          <w:szCs w:val="24"/>
        </w:rPr>
        <w:t>L</w:t>
      </w:r>
      <w:r w:rsidRPr="000E578D">
        <w:rPr>
          <w:rFonts w:ascii="Times New Roman" w:hAnsi="Times New Roman" w:cs="Times New Roman"/>
          <w:sz w:val="24"/>
          <w:szCs w:val="24"/>
        </w:rPr>
        <w:t xml:space="preserve"> n.º 321-B/90, de 15 de </w:t>
      </w:r>
      <w:r>
        <w:rPr>
          <w:rFonts w:ascii="Times New Roman" w:hAnsi="Times New Roman" w:cs="Times New Roman"/>
          <w:sz w:val="24"/>
          <w:szCs w:val="24"/>
        </w:rPr>
        <w:t>o</w:t>
      </w:r>
      <w:r w:rsidRPr="000E578D">
        <w:rPr>
          <w:rFonts w:ascii="Times New Roman" w:hAnsi="Times New Roman" w:cs="Times New Roman"/>
          <w:sz w:val="24"/>
          <w:szCs w:val="24"/>
        </w:rPr>
        <w:t xml:space="preserve">utubro (RAU), </w:t>
      </w:r>
      <w:r>
        <w:rPr>
          <w:rFonts w:ascii="Times New Roman" w:hAnsi="Times New Roman" w:cs="Times New Roman"/>
          <w:sz w:val="24"/>
          <w:szCs w:val="24"/>
        </w:rPr>
        <w:t xml:space="preserve">era </w:t>
      </w:r>
      <w:r w:rsidRPr="000E578D">
        <w:rPr>
          <w:rFonts w:ascii="Times New Roman" w:hAnsi="Times New Roman" w:cs="Times New Roman"/>
          <w:sz w:val="24"/>
          <w:szCs w:val="24"/>
        </w:rPr>
        <w:t>imperativamente</w:t>
      </w:r>
      <w:r>
        <w:rPr>
          <w:rFonts w:ascii="Times New Roman" w:hAnsi="Times New Roman" w:cs="Times New Roman"/>
          <w:sz w:val="24"/>
          <w:szCs w:val="24"/>
        </w:rPr>
        <w:t xml:space="preserve"> </w:t>
      </w:r>
      <w:r w:rsidRPr="000E578D">
        <w:rPr>
          <w:rFonts w:ascii="Times New Roman" w:hAnsi="Times New Roman" w:cs="Times New Roman"/>
          <w:sz w:val="24"/>
          <w:szCs w:val="24"/>
        </w:rPr>
        <w:t>aplicável o regime de</w:t>
      </w:r>
      <w:r>
        <w:rPr>
          <w:rFonts w:ascii="Times New Roman" w:hAnsi="Times New Roman" w:cs="Times New Roman"/>
          <w:sz w:val="24"/>
          <w:szCs w:val="24"/>
        </w:rPr>
        <w:t xml:space="preserve">nominado como </w:t>
      </w:r>
      <w:proofErr w:type="spellStart"/>
      <w:r w:rsidRPr="000E578D">
        <w:rPr>
          <w:rFonts w:ascii="Times New Roman" w:hAnsi="Times New Roman" w:cs="Times New Roman"/>
          <w:sz w:val="24"/>
          <w:szCs w:val="24"/>
        </w:rPr>
        <w:t>vinculístico</w:t>
      </w:r>
      <w:proofErr w:type="spellEnd"/>
      <w:r w:rsidRPr="000E578D">
        <w:rPr>
          <w:rFonts w:ascii="Times New Roman" w:hAnsi="Times New Roman" w:cs="Times New Roman"/>
          <w:sz w:val="24"/>
          <w:szCs w:val="24"/>
        </w:rPr>
        <w:t xml:space="preserve">, </w:t>
      </w:r>
      <w:r w:rsidR="00DE6BFB">
        <w:rPr>
          <w:rFonts w:ascii="Times New Roman" w:hAnsi="Times New Roman" w:cs="Times New Roman"/>
          <w:sz w:val="24"/>
          <w:szCs w:val="24"/>
        </w:rPr>
        <w:t>sendo o arrendamento s</w:t>
      </w:r>
      <w:r w:rsidRPr="000E578D">
        <w:rPr>
          <w:rFonts w:ascii="Times New Roman" w:hAnsi="Times New Roman" w:cs="Times New Roman"/>
          <w:sz w:val="24"/>
          <w:szCs w:val="24"/>
        </w:rPr>
        <w:t xml:space="preserve">ucessivamente renovável, </w:t>
      </w:r>
      <w:r w:rsidR="00DE6BFB">
        <w:rPr>
          <w:rFonts w:ascii="Times New Roman" w:hAnsi="Times New Roman" w:cs="Times New Roman"/>
          <w:sz w:val="24"/>
          <w:szCs w:val="24"/>
        </w:rPr>
        <w:t>apenas</w:t>
      </w:r>
      <w:r w:rsidRPr="000E578D">
        <w:rPr>
          <w:rFonts w:ascii="Times New Roman" w:hAnsi="Times New Roman" w:cs="Times New Roman"/>
          <w:sz w:val="24"/>
          <w:szCs w:val="24"/>
        </w:rPr>
        <w:t xml:space="preserve"> podendo ser denunciado pelo locador nos casos previstos no </w:t>
      </w:r>
      <w:proofErr w:type="spellStart"/>
      <w:r w:rsidRPr="000E578D">
        <w:rPr>
          <w:rFonts w:ascii="Times New Roman" w:hAnsi="Times New Roman" w:cs="Times New Roman"/>
          <w:sz w:val="24"/>
          <w:szCs w:val="24"/>
        </w:rPr>
        <w:t>art</w:t>
      </w:r>
      <w:proofErr w:type="spellEnd"/>
      <w:r w:rsidR="00DE6BFB">
        <w:rPr>
          <w:rFonts w:ascii="Times New Roman" w:hAnsi="Times New Roman" w:cs="Times New Roman"/>
          <w:sz w:val="24"/>
          <w:szCs w:val="24"/>
        </w:rPr>
        <w:t>.</w:t>
      </w:r>
      <w:r w:rsidRPr="000E578D">
        <w:rPr>
          <w:rFonts w:ascii="Times New Roman" w:hAnsi="Times New Roman" w:cs="Times New Roman"/>
          <w:sz w:val="24"/>
          <w:szCs w:val="24"/>
        </w:rPr>
        <w:t xml:space="preserve"> 1096.º do CC</w:t>
      </w:r>
      <w:r w:rsidR="00E75FED">
        <w:rPr>
          <w:rFonts w:ascii="Times New Roman" w:hAnsi="Times New Roman" w:cs="Times New Roman"/>
          <w:sz w:val="24"/>
          <w:szCs w:val="24"/>
        </w:rPr>
        <w:t>, então em vigor</w:t>
      </w:r>
      <w:r w:rsidRPr="000E578D">
        <w:rPr>
          <w:rFonts w:ascii="Times New Roman" w:hAnsi="Times New Roman" w:cs="Times New Roman"/>
          <w:sz w:val="24"/>
          <w:szCs w:val="24"/>
        </w:rPr>
        <w:t>;</w:t>
      </w:r>
    </w:p>
    <w:p w14:paraId="3AC7D641" w14:textId="437D2D8A" w:rsidR="000E578D" w:rsidRPr="000E578D" w:rsidRDefault="000E578D" w:rsidP="00DE6BFB">
      <w:pPr>
        <w:spacing w:line="360" w:lineRule="auto"/>
        <w:ind w:left="357"/>
        <w:jc w:val="both"/>
        <w:rPr>
          <w:rFonts w:ascii="Times New Roman" w:hAnsi="Times New Roman" w:cs="Times New Roman"/>
          <w:sz w:val="24"/>
          <w:szCs w:val="24"/>
        </w:rPr>
      </w:pPr>
      <w:r w:rsidRPr="000E578D">
        <w:rPr>
          <w:rFonts w:ascii="Times New Roman" w:hAnsi="Times New Roman" w:cs="Times New Roman"/>
          <w:sz w:val="24"/>
          <w:szCs w:val="24"/>
        </w:rPr>
        <w:lastRenderedPageBreak/>
        <w:t xml:space="preserve">- </w:t>
      </w:r>
      <w:r w:rsidR="00DE6BFB">
        <w:rPr>
          <w:rFonts w:ascii="Times New Roman" w:hAnsi="Times New Roman" w:cs="Times New Roman"/>
          <w:sz w:val="24"/>
          <w:szCs w:val="24"/>
        </w:rPr>
        <w:t>c</w:t>
      </w:r>
      <w:r w:rsidRPr="000E578D">
        <w:rPr>
          <w:rFonts w:ascii="Times New Roman" w:hAnsi="Times New Roman" w:cs="Times New Roman"/>
          <w:sz w:val="24"/>
          <w:szCs w:val="24"/>
        </w:rPr>
        <w:t xml:space="preserve">om </w:t>
      </w:r>
      <w:r w:rsidR="00E75FED">
        <w:rPr>
          <w:rFonts w:ascii="Times New Roman" w:hAnsi="Times New Roman" w:cs="Times New Roman"/>
          <w:sz w:val="24"/>
          <w:szCs w:val="24"/>
        </w:rPr>
        <w:t xml:space="preserve">o início de vigência do </w:t>
      </w:r>
      <w:r w:rsidRPr="000E578D">
        <w:rPr>
          <w:rFonts w:ascii="Times New Roman" w:hAnsi="Times New Roman" w:cs="Times New Roman"/>
          <w:sz w:val="24"/>
          <w:szCs w:val="24"/>
        </w:rPr>
        <w:t>DL</w:t>
      </w:r>
      <w:r w:rsidR="00DE6BFB">
        <w:rPr>
          <w:rFonts w:ascii="Times New Roman" w:hAnsi="Times New Roman" w:cs="Times New Roman"/>
          <w:sz w:val="24"/>
          <w:szCs w:val="24"/>
        </w:rPr>
        <w:t xml:space="preserve"> n.º </w:t>
      </w:r>
      <w:r w:rsidRPr="000E578D">
        <w:rPr>
          <w:rFonts w:ascii="Times New Roman" w:hAnsi="Times New Roman" w:cs="Times New Roman"/>
          <w:sz w:val="24"/>
          <w:szCs w:val="24"/>
        </w:rPr>
        <w:t xml:space="preserve"> 321-B/90</w:t>
      </w:r>
      <w:r w:rsidR="00DE6BFB">
        <w:rPr>
          <w:rFonts w:ascii="Times New Roman" w:hAnsi="Times New Roman" w:cs="Times New Roman"/>
          <w:sz w:val="24"/>
          <w:szCs w:val="24"/>
        </w:rPr>
        <w:t xml:space="preserve"> </w:t>
      </w:r>
      <w:r w:rsidRPr="000E578D">
        <w:rPr>
          <w:rFonts w:ascii="Times New Roman" w:hAnsi="Times New Roman" w:cs="Times New Roman"/>
          <w:sz w:val="24"/>
          <w:szCs w:val="24"/>
        </w:rPr>
        <w:t>(RAU), o regime de denúncia deste contrato manteve-se</w:t>
      </w:r>
      <w:r w:rsidR="00DE6BFB">
        <w:rPr>
          <w:rFonts w:ascii="Times New Roman" w:hAnsi="Times New Roman" w:cs="Times New Roman"/>
          <w:sz w:val="24"/>
          <w:szCs w:val="24"/>
        </w:rPr>
        <w:t xml:space="preserve"> essencialmente </w:t>
      </w:r>
      <w:r w:rsidRPr="000E578D">
        <w:rPr>
          <w:rFonts w:ascii="Times New Roman" w:hAnsi="Times New Roman" w:cs="Times New Roman"/>
          <w:sz w:val="24"/>
          <w:szCs w:val="24"/>
        </w:rPr>
        <w:t xml:space="preserve">inalterado, pelo que o </w:t>
      </w:r>
      <w:r w:rsidR="00DE6BFB">
        <w:rPr>
          <w:rFonts w:ascii="Times New Roman" w:hAnsi="Times New Roman" w:cs="Times New Roman"/>
          <w:sz w:val="24"/>
          <w:szCs w:val="24"/>
        </w:rPr>
        <w:t xml:space="preserve">arrendamento </w:t>
      </w:r>
      <w:r w:rsidRPr="000E578D">
        <w:rPr>
          <w:rFonts w:ascii="Times New Roman" w:hAnsi="Times New Roman" w:cs="Times New Roman"/>
          <w:sz w:val="24"/>
          <w:szCs w:val="24"/>
        </w:rPr>
        <w:t>dos autos, celebrado em 1989, tem de ser tratado, no atual quadro normativo, como um arrendamento para fins não habitacionais, na modalidade temporal de contrato de duração indeterminada;</w:t>
      </w:r>
    </w:p>
    <w:p w14:paraId="16766A33" w14:textId="4BF0C8AC" w:rsidR="000E578D" w:rsidRPr="000E578D" w:rsidRDefault="000E578D" w:rsidP="00DE6BFB">
      <w:pPr>
        <w:spacing w:line="360" w:lineRule="auto"/>
        <w:ind w:left="357"/>
        <w:jc w:val="both"/>
        <w:rPr>
          <w:rFonts w:ascii="Times New Roman" w:hAnsi="Times New Roman" w:cs="Times New Roman"/>
          <w:sz w:val="24"/>
          <w:szCs w:val="24"/>
        </w:rPr>
      </w:pPr>
      <w:r w:rsidRPr="000E578D">
        <w:rPr>
          <w:rFonts w:ascii="Times New Roman" w:hAnsi="Times New Roman" w:cs="Times New Roman"/>
          <w:sz w:val="24"/>
          <w:szCs w:val="24"/>
        </w:rPr>
        <w:t xml:space="preserve">- </w:t>
      </w:r>
      <w:r w:rsidR="00DE6BFB">
        <w:rPr>
          <w:rFonts w:ascii="Times New Roman" w:hAnsi="Times New Roman" w:cs="Times New Roman"/>
          <w:sz w:val="24"/>
          <w:szCs w:val="24"/>
        </w:rPr>
        <w:t>c</w:t>
      </w:r>
      <w:r w:rsidRPr="000E578D">
        <w:rPr>
          <w:rFonts w:ascii="Times New Roman" w:hAnsi="Times New Roman" w:cs="Times New Roman"/>
          <w:sz w:val="24"/>
          <w:szCs w:val="24"/>
        </w:rPr>
        <w:t xml:space="preserve">om a Lei n.º 6/2006 (NRAU), que entrou em vigor </w:t>
      </w:r>
      <w:r w:rsidR="00DE6BFB">
        <w:rPr>
          <w:rFonts w:ascii="Times New Roman" w:hAnsi="Times New Roman" w:cs="Times New Roman"/>
          <w:sz w:val="24"/>
          <w:szCs w:val="24"/>
        </w:rPr>
        <w:t>a</w:t>
      </w:r>
      <w:r w:rsidRPr="000E578D">
        <w:rPr>
          <w:rFonts w:ascii="Times New Roman" w:hAnsi="Times New Roman" w:cs="Times New Roman"/>
          <w:sz w:val="24"/>
          <w:szCs w:val="24"/>
        </w:rPr>
        <w:t xml:space="preserve"> 27 de Junho de 2006, os contratos do mesmo tipo d</w:t>
      </w:r>
      <w:r w:rsidR="00DE6BFB">
        <w:rPr>
          <w:rFonts w:ascii="Times New Roman" w:hAnsi="Times New Roman" w:cs="Times New Roman"/>
          <w:sz w:val="24"/>
          <w:szCs w:val="24"/>
        </w:rPr>
        <w:t>aquele</w:t>
      </w:r>
      <w:r w:rsidRPr="000E578D">
        <w:rPr>
          <w:rFonts w:ascii="Times New Roman" w:hAnsi="Times New Roman" w:cs="Times New Roman"/>
          <w:sz w:val="24"/>
          <w:szCs w:val="24"/>
        </w:rPr>
        <w:t xml:space="preserve"> dos autos passaram a reger-se pelo </w:t>
      </w:r>
      <w:r w:rsidR="00DE6BFB">
        <w:rPr>
          <w:rFonts w:ascii="Times New Roman" w:hAnsi="Times New Roman" w:cs="Times New Roman"/>
          <w:sz w:val="24"/>
          <w:szCs w:val="24"/>
        </w:rPr>
        <w:t>NRAU</w:t>
      </w:r>
      <w:r w:rsidRPr="000E578D">
        <w:rPr>
          <w:rFonts w:ascii="Times New Roman" w:hAnsi="Times New Roman" w:cs="Times New Roman"/>
          <w:sz w:val="24"/>
          <w:szCs w:val="24"/>
        </w:rPr>
        <w:t>, com as particularidades introduzidas,</w:t>
      </w:r>
      <w:r w:rsidRPr="00DE6BFB">
        <w:rPr>
          <w:rFonts w:ascii="Times New Roman" w:hAnsi="Times New Roman" w:cs="Times New Roman"/>
          <w:i/>
          <w:iCs/>
          <w:sz w:val="24"/>
          <w:szCs w:val="24"/>
        </w:rPr>
        <w:t xml:space="preserve"> </w:t>
      </w:r>
      <w:proofErr w:type="spellStart"/>
      <w:r w:rsidR="00DE6BFB" w:rsidRPr="00DE6BFB">
        <w:rPr>
          <w:rFonts w:ascii="Times New Roman" w:hAnsi="Times New Roman" w:cs="Times New Roman"/>
          <w:i/>
          <w:iCs/>
          <w:sz w:val="24"/>
          <w:szCs w:val="24"/>
        </w:rPr>
        <w:t>inter</w:t>
      </w:r>
      <w:proofErr w:type="spellEnd"/>
      <w:r w:rsidR="00DE6BFB" w:rsidRPr="00DE6BFB">
        <w:rPr>
          <w:rFonts w:ascii="Times New Roman" w:hAnsi="Times New Roman" w:cs="Times New Roman"/>
          <w:i/>
          <w:iCs/>
          <w:sz w:val="24"/>
          <w:szCs w:val="24"/>
        </w:rPr>
        <w:t xml:space="preserve"> alia</w:t>
      </w:r>
      <w:r w:rsidR="00DE6BFB">
        <w:rPr>
          <w:rFonts w:ascii="Times New Roman" w:hAnsi="Times New Roman" w:cs="Times New Roman"/>
          <w:sz w:val="24"/>
          <w:szCs w:val="24"/>
        </w:rPr>
        <w:t xml:space="preserve">, </w:t>
      </w:r>
      <w:r w:rsidRPr="000E578D">
        <w:rPr>
          <w:rFonts w:ascii="Times New Roman" w:hAnsi="Times New Roman" w:cs="Times New Roman"/>
          <w:sz w:val="24"/>
          <w:szCs w:val="24"/>
        </w:rPr>
        <w:t xml:space="preserve">pela norma do </w:t>
      </w:r>
      <w:proofErr w:type="spellStart"/>
      <w:r w:rsidRPr="000E578D">
        <w:rPr>
          <w:rFonts w:ascii="Times New Roman" w:hAnsi="Times New Roman" w:cs="Times New Roman"/>
          <w:sz w:val="24"/>
          <w:szCs w:val="24"/>
        </w:rPr>
        <w:t>art</w:t>
      </w:r>
      <w:proofErr w:type="spellEnd"/>
      <w:r w:rsidR="00DE6BFB">
        <w:rPr>
          <w:rFonts w:ascii="Times New Roman" w:hAnsi="Times New Roman" w:cs="Times New Roman"/>
          <w:sz w:val="24"/>
          <w:szCs w:val="24"/>
        </w:rPr>
        <w:t>.</w:t>
      </w:r>
      <w:r w:rsidRPr="000E578D">
        <w:rPr>
          <w:rFonts w:ascii="Times New Roman" w:hAnsi="Times New Roman" w:cs="Times New Roman"/>
          <w:sz w:val="24"/>
          <w:szCs w:val="24"/>
        </w:rPr>
        <w:t xml:space="preserve"> 28.º, que veda a</w:t>
      </w:r>
      <w:r w:rsidR="00DE6BFB">
        <w:rPr>
          <w:rFonts w:ascii="Times New Roman" w:hAnsi="Times New Roman" w:cs="Times New Roman"/>
          <w:sz w:val="24"/>
          <w:szCs w:val="24"/>
        </w:rPr>
        <w:t xml:space="preserve">o senhorio </w:t>
      </w:r>
      <w:r w:rsidRPr="000E578D">
        <w:rPr>
          <w:rFonts w:ascii="Times New Roman" w:hAnsi="Times New Roman" w:cs="Times New Roman"/>
          <w:sz w:val="24"/>
          <w:szCs w:val="24"/>
        </w:rPr>
        <w:t xml:space="preserve"> </w:t>
      </w:r>
      <w:r w:rsidR="004E1589">
        <w:rPr>
          <w:rFonts w:ascii="Times New Roman" w:hAnsi="Times New Roman" w:cs="Times New Roman"/>
          <w:sz w:val="24"/>
          <w:szCs w:val="24"/>
        </w:rPr>
        <w:t xml:space="preserve">a </w:t>
      </w:r>
      <w:r w:rsidRPr="000E578D">
        <w:rPr>
          <w:rFonts w:ascii="Times New Roman" w:hAnsi="Times New Roman" w:cs="Times New Roman"/>
          <w:sz w:val="24"/>
          <w:szCs w:val="24"/>
        </w:rPr>
        <w:t>oposição à renovação</w:t>
      </w:r>
      <w:r w:rsidR="00DE6BFB">
        <w:rPr>
          <w:rFonts w:ascii="Times New Roman" w:hAnsi="Times New Roman" w:cs="Times New Roman"/>
          <w:sz w:val="24"/>
          <w:szCs w:val="24"/>
        </w:rPr>
        <w:t xml:space="preserve">; </w:t>
      </w:r>
      <w:r w:rsidRPr="000E578D">
        <w:rPr>
          <w:rFonts w:ascii="Times New Roman" w:hAnsi="Times New Roman" w:cs="Times New Roman"/>
          <w:sz w:val="24"/>
          <w:szCs w:val="24"/>
        </w:rPr>
        <w:t xml:space="preserve">a Requerente nunca tomou a iniciativa de promover a transição do contrato para o NRAU, pelo que a carta </w:t>
      </w:r>
      <w:r w:rsidR="00E75FED">
        <w:rPr>
          <w:rFonts w:ascii="Times New Roman" w:hAnsi="Times New Roman" w:cs="Times New Roman"/>
          <w:sz w:val="24"/>
          <w:szCs w:val="24"/>
        </w:rPr>
        <w:t xml:space="preserve">por si </w:t>
      </w:r>
      <w:r w:rsidRPr="000E578D">
        <w:rPr>
          <w:rFonts w:ascii="Times New Roman" w:hAnsi="Times New Roman" w:cs="Times New Roman"/>
          <w:sz w:val="24"/>
          <w:szCs w:val="24"/>
        </w:rPr>
        <w:t xml:space="preserve">enviada </w:t>
      </w:r>
      <w:r w:rsidR="00DE6BFB">
        <w:rPr>
          <w:rFonts w:ascii="Times New Roman" w:hAnsi="Times New Roman" w:cs="Times New Roman"/>
          <w:sz w:val="24"/>
          <w:szCs w:val="24"/>
        </w:rPr>
        <w:t>a</w:t>
      </w:r>
      <w:r w:rsidRPr="000E578D">
        <w:rPr>
          <w:rFonts w:ascii="Times New Roman" w:hAnsi="Times New Roman" w:cs="Times New Roman"/>
          <w:sz w:val="24"/>
          <w:szCs w:val="24"/>
        </w:rPr>
        <w:t xml:space="preserve"> 26 de </w:t>
      </w:r>
      <w:r w:rsidR="00DE6BFB">
        <w:rPr>
          <w:rFonts w:ascii="Times New Roman" w:hAnsi="Times New Roman" w:cs="Times New Roman"/>
          <w:sz w:val="24"/>
          <w:szCs w:val="24"/>
        </w:rPr>
        <w:t>j</w:t>
      </w:r>
      <w:r w:rsidRPr="000E578D">
        <w:rPr>
          <w:rFonts w:ascii="Times New Roman" w:hAnsi="Times New Roman" w:cs="Times New Roman"/>
          <w:sz w:val="24"/>
          <w:szCs w:val="24"/>
        </w:rPr>
        <w:t xml:space="preserve">unho de 2017 carece de fundamento, não </w:t>
      </w:r>
      <w:r w:rsidR="00E75FED">
        <w:rPr>
          <w:rFonts w:ascii="Times New Roman" w:hAnsi="Times New Roman" w:cs="Times New Roman"/>
          <w:sz w:val="24"/>
          <w:szCs w:val="24"/>
        </w:rPr>
        <w:t>sendo</w:t>
      </w:r>
      <w:r w:rsidRPr="000E578D">
        <w:rPr>
          <w:rFonts w:ascii="Times New Roman" w:hAnsi="Times New Roman" w:cs="Times New Roman"/>
          <w:sz w:val="24"/>
          <w:szCs w:val="24"/>
        </w:rPr>
        <w:t xml:space="preserve"> válida nem eficaz enquanto comunicação de oposição à renovação do contrato</w:t>
      </w:r>
      <w:r w:rsidR="00E75FED">
        <w:rPr>
          <w:rFonts w:ascii="Times New Roman" w:hAnsi="Times New Roman" w:cs="Times New Roman"/>
          <w:sz w:val="24"/>
          <w:szCs w:val="24"/>
        </w:rPr>
        <w:t xml:space="preserve"> e</w:t>
      </w:r>
      <w:r w:rsidRPr="000E578D">
        <w:rPr>
          <w:rFonts w:ascii="Times New Roman" w:hAnsi="Times New Roman" w:cs="Times New Roman"/>
          <w:sz w:val="24"/>
          <w:szCs w:val="24"/>
        </w:rPr>
        <w:t>,</w:t>
      </w:r>
      <w:r w:rsidR="00E75FED">
        <w:rPr>
          <w:rFonts w:ascii="Times New Roman" w:hAnsi="Times New Roman" w:cs="Times New Roman"/>
          <w:sz w:val="24"/>
          <w:szCs w:val="24"/>
        </w:rPr>
        <w:t xml:space="preserve"> </w:t>
      </w:r>
      <w:r w:rsidRPr="000E578D">
        <w:rPr>
          <w:rFonts w:ascii="Times New Roman" w:hAnsi="Times New Roman" w:cs="Times New Roman"/>
          <w:sz w:val="24"/>
          <w:szCs w:val="24"/>
        </w:rPr>
        <w:t xml:space="preserve">não </w:t>
      </w:r>
      <w:r w:rsidR="00E75FED">
        <w:rPr>
          <w:rFonts w:ascii="Times New Roman" w:hAnsi="Times New Roman" w:cs="Times New Roman"/>
          <w:sz w:val="24"/>
          <w:szCs w:val="24"/>
        </w:rPr>
        <w:t>produzindo</w:t>
      </w:r>
      <w:r w:rsidRPr="000E578D">
        <w:rPr>
          <w:rFonts w:ascii="Times New Roman" w:hAnsi="Times New Roman" w:cs="Times New Roman"/>
          <w:sz w:val="24"/>
          <w:szCs w:val="24"/>
        </w:rPr>
        <w:t>, por isso, quaisquer efeitos;</w:t>
      </w:r>
    </w:p>
    <w:p w14:paraId="57D4ED1C" w14:textId="7ED5E0E6" w:rsidR="000E578D" w:rsidRPr="000E578D" w:rsidRDefault="000E578D" w:rsidP="00DE6BFB">
      <w:pPr>
        <w:spacing w:line="360" w:lineRule="auto"/>
        <w:ind w:left="357"/>
        <w:jc w:val="both"/>
        <w:rPr>
          <w:rFonts w:ascii="Times New Roman" w:hAnsi="Times New Roman" w:cs="Times New Roman"/>
          <w:sz w:val="24"/>
          <w:szCs w:val="24"/>
        </w:rPr>
      </w:pPr>
      <w:r w:rsidRPr="000E578D">
        <w:rPr>
          <w:rFonts w:ascii="Times New Roman" w:hAnsi="Times New Roman" w:cs="Times New Roman"/>
          <w:sz w:val="24"/>
          <w:szCs w:val="24"/>
        </w:rPr>
        <w:t xml:space="preserve">- ainda que por mera hipótese se considere que a escritura outorgada </w:t>
      </w:r>
      <w:r w:rsidR="00861BD7">
        <w:rPr>
          <w:rFonts w:ascii="Times New Roman" w:hAnsi="Times New Roman" w:cs="Times New Roman"/>
          <w:sz w:val="24"/>
          <w:szCs w:val="24"/>
        </w:rPr>
        <w:t>a</w:t>
      </w:r>
      <w:r w:rsidRPr="000E578D">
        <w:rPr>
          <w:rFonts w:ascii="Times New Roman" w:hAnsi="Times New Roman" w:cs="Times New Roman"/>
          <w:sz w:val="24"/>
          <w:szCs w:val="24"/>
        </w:rPr>
        <w:t xml:space="preserve"> 19 de </w:t>
      </w:r>
      <w:r w:rsidR="00DE6BFB">
        <w:rPr>
          <w:rFonts w:ascii="Times New Roman" w:hAnsi="Times New Roman" w:cs="Times New Roman"/>
          <w:sz w:val="24"/>
          <w:szCs w:val="24"/>
        </w:rPr>
        <w:t>d</w:t>
      </w:r>
      <w:r w:rsidRPr="000E578D">
        <w:rPr>
          <w:rFonts w:ascii="Times New Roman" w:hAnsi="Times New Roman" w:cs="Times New Roman"/>
          <w:sz w:val="24"/>
          <w:szCs w:val="24"/>
        </w:rPr>
        <w:t xml:space="preserve">ezembro de 1997 importou a revogação do </w:t>
      </w:r>
      <w:r w:rsidR="00E75FED">
        <w:rPr>
          <w:rFonts w:ascii="Times New Roman" w:hAnsi="Times New Roman" w:cs="Times New Roman"/>
          <w:sz w:val="24"/>
          <w:szCs w:val="24"/>
        </w:rPr>
        <w:t xml:space="preserve">anterior </w:t>
      </w:r>
      <w:r w:rsidRPr="000E578D">
        <w:rPr>
          <w:rFonts w:ascii="Times New Roman" w:hAnsi="Times New Roman" w:cs="Times New Roman"/>
          <w:sz w:val="24"/>
          <w:szCs w:val="24"/>
        </w:rPr>
        <w:t xml:space="preserve">contrato de arrendamento, também </w:t>
      </w:r>
      <w:r w:rsidR="00DE6BFB">
        <w:rPr>
          <w:rFonts w:ascii="Times New Roman" w:hAnsi="Times New Roman" w:cs="Times New Roman"/>
          <w:sz w:val="24"/>
          <w:szCs w:val="24"/>
        </w:rPr>
        <w:t>o</w:t>
      </w:r>
      <w:r w:rsidRPr="000E578D">
        <w:rPr>
          <w:rFonts w:ascii="Times New Roman" w:hAnsi="Times New Roman" w:cs="Times New Roman"/>
          <w:sz w:val="24"/>
          <w:szCs w:val="24"/>
        </w:rPr>
        <w:t xml:space="preserve"> novo contrato </w:t>
      </w:r>
      <w:r w:rsidR="00DE6BFB">
        <w:rPr>
          <w:rFonts w:ascii="Times New Roman" w:hAnsi="Times New Roman" w:cs="Times New Roman"/>
          <w:sz w:val="24"/>
          <w:szCs w:val="24"/>
        </w:rPr>
        <w:t>teria</w:t>
      </w:r>
      <w:r w:rsidRPr="000E578D">
        <w:rPr>
          <w:rFonts w:ascii="Times New Roman" w:hAnsi="Times New Roman" w:cs="Times New Roman"/>
          <w:sz w:val="24"/>
          <w:szCs w:val="24"/>
        </w:rPr>
        <w:t xml:space="preserve">, ainda assim, duração indeterminada, </w:t>
      </w:r>
      <w:r w:rsidR="00DE6BFB">
        <w:rPr>
          <w:rFonts w:ascii="Times New Roman" w:hAnsi="Times New Roman" w:cs="Times New Roman"/>
          <w:sz w:val="24"/>
          <w:szCs w:val="24"/>
        </w:rPr>
        <w:t xml:space="preserve">pois que beneficiaria </w:t>
      </w:r>
      <w:r w:rsidRPr="000E578D">
        <w:rPr>
          <w:rFonts w:ascii="Times New Roman" w:hAnsi="Times New Roman" w:cs="Times New Roman"/>
          <w:sz w:val="24"/>
          <w:szCs w:val="24"/>
        </w:rPr>
        <w:t xml:space="preserve">também do regime </w:t>
      </w:r>
      <w:proofErr w:type="spellStart"/>
      <w:r w:rsidRPr="000E578D">
        <w:rPr>
          <w:rFonts w:ascii="Times New Roman" w:hAnsi="Times New Roman" w:cs="Times New Roman"/>
          <w:sz w:val="24"/>
          <w:szCs w:val="24"/>
        </w:rPr>
        <w:t>vinculístico</w:t>
      </w:r>
      <w:proofErr w:type="spellEnd"/>
      <w:r w:rsidRPr="000E578D">
        <w:rPr>
          <w:rFonts w:ascii="Times New Roman" w:hAnsi="Times New Roman" w:cs="Times New Roman"/>
          <w:sz w:val="24"/>
          <w:szCs w:val="24"/>
        </w:rPr>
        <w:t xml:space="preserve"> previsto no </w:t>
      </w:r>
      <w:proofErr w:type="spellStart"/>
      <w:r w:rsidRPr="000E578D">
        <w:rPr>
          <w:rFonts w:ascii="Times New Roman" w:hAnsi="Times New Roman" w:cs="Times New Roman"/>
          <w:sz w:val="24"/>
          <w:szCs w:val="24"/>
        </w:rPr>
        <w:t>art</w:t>
      </w:r>
      <w:proofErr w:type="spellEnd"/>
      <w:r w:rsidR="00DE6BFB">
        <w:rPr>
          <w:rFonts w:ascii="Times New Roman" w:hAnsi="Times New Roman" w:cs="Times New Roman"/>
          <w:sz w:val="24"/>
          <w:szCs w:val="24"/>
        </w:rPr>
        <w:t>.</w:t>
      </w:r>
      <w:r w:rsidRPr="000E578D">
        <w:rPr>
          <w:rFonts w:ascii="Times New Roman" w:hAnsi="Times New Roman" w:cs="Times New Roman"/>
          <w:sz w:val="24"/>
          <w:szCs w:val="24"/>
        </w:rPr>
        <w:t xml:space="preserve"> 68.º, n.º 2, do RAU</w:t>
      </w:r>
      <w:r w:rsidR="00DE6BFB">
        <w:rPr>
          <w:rFonts w:ascii="Times New Roman" w:hAnsi="Times New Roman" w:cs="Times New Roman"/>
          <w:sz w:val="24"/>
          <w:szCs w:val="24"/>
        </w:rPr>
        <w:t>; com efeito</w:t>
      </w:r>
      <w:r w:rsidRPr="000E578D">
        <w:rPr>
          <w:rFonts w:ascii="Times New Roman" w:hAnsi="Times New Roman" w:cs="Times New Roman"/>
          <w:sz w:val="24"/>
          <w:szCs w:val="24"/>
        </w:rPr>
        <w:t xml:space="preserve">, o DL n.º 257/95, de 30 de </w:t>
      </w:r>
      <w:r w:rsidR="00DE6BFB">
        <w:rPr>
          <w:rFonts w:ascii="Times New Roman" w:hAnsi="Times New Roman" w:cs="Times New Roman"/>
          <w:sz w:val="24"/>
          <w:szCs w:val="24"/>
        </w:rPr>
        <w:t>s</w:t>
      </w:r>
      <w:r w:rsidRPr="000E578D">
        <w:rPr>
          <w:rFonts w:ascii="Times New Roman" w:hAnsi="Times New Roman" w:cs="Times New Roman"/>
          <w:sz w:val="24"/>
          <w:szCs w:val="24"/>
        </w:rPr>
        <w:t>etembro, reviu o regime do arrendamento urbano para o exercício de comércio, indústria</w:t>
      </w:r>
      <w:r w:rsidR="00E75FED">
        <w:rPr>
          <w:rFonts w:ascii="Times New Roman" w:hAnsi="Times New Roman" w:cs="Times New Roman"/>
          <w:sz w:val="24"/>
          <w:szCs w:val="24"/>
        </w:rPr>
        <w:t>,</w:t>
      </w:r>
      <w:r w:rsidRPr="000E578D">
        <w:rPr>
          <w:rFonts w:ascii="Times New Roman" w:hAnsi="Times New Roman" w:cs="Times New Roman"/>
          <w:sz w:val="24"/>
          <w:szCs w:val="24"/>
        </w:rPr>
        <w:t xml:space="preserve"> profissões liberais e outros fins lícitos não habitacionais, tendo previsto, para o futuro,</w:t>
      </w:r>
      <w:r w:rsidR="00DE6BFB">
        <w:rPr>
          <w:rFonts w:ascii="Times New Roman" w:hAnsi="Times New Roman" w:cs="Times New Roman"/>
          <w:sz w:val="24"/>
          <w:szCs w:val="24"/>
        </w:rPr>
        <w:t xml:space="preserve"> </w:t>
      </w:r>
      <w:r w:rsidRPr="000E578D">
        <w:rPr>
          <w:rFonts w:ascii="Times New Roman" w:hAnsi="Times New Roman" w:cs="Times New Roman"/>
          <w:sz w:val="24"/>
          <w:szCs w:val="24"/>
        </w:rPr>
        <w:t>a celebração de contratos de arrendamento urbano de duração limitada para comércio ou indústria, o que não acontecia antes da sua entrada em vigor</w:t>
      </w:r>
      <w:r w:rsidR="00DE6BFB">
        <w:rPr>
          <w:rFonts w:ascii="Times New Roman" w:hAnsi="Times New Roman" w:cs="Times New Roman"/>
          <w:sz w:val="24"/>
          <w:szCs w:val="24"/>
        </w:rPr>
        <w:t xml:space="preserve"> - </w:t>
      </w:r>
      <w:r w:rsidRPr="000E578D">
        <w:rPr>
          <w:rFonts w:ascii="Times New Roman" w:hAnsi="Times New Roman" w:cs="Times New Roman"/>
          <w:sz w:val="24"/>
          <w:szCs w:val="24"/>
        </w:rPr>
        <w:t xml:space="preserve">5 de </w:t>
      </w:r>
      <w:r w:rsidR="00DE6BFB">
        <w:rPr>
          <w:rFonts w:ascii="Times New Roman" w:hAnsi="Times New Roman" w:cs="Times New Roman"/>
          <w:sz w:val="24"/>
          <w:szCs w:val="24"/>
        </w:rPr>
        <w:t>o</w:t>
      </w:r>
      <w:r w:rsidRPr="000E578D">
        <w:rPr>
          <w:rFonts w:ascii="Times New Roman" w:hAnsi="Times New Roman" w:cs="Times New Roman"/>
          <w:sz w:val="24"/>
          <w:szCs w:val="24"/>
        </w:rPr>
        <w:t>utubro de 1995</w:t>
      </w:r>
      <w:r w:rsidR="00DE6BFB">
        <w:rPr>
          <w:rFonts w:ascii="Times New Roman" w:hAnsi="Times New Roman" w:cs="Times New Roman"/>
          <w:sz w:val="24"/>
          <w:szCs w:val="24"/>
        </w:rPr>
        <w:t>;</w:t>
      </w:r>
      <w:r w:rsidRPr="000E578D">
        <w:rPr>
          <w:rFonts w:ascii="Times New Roman" w:hAnsi="Times New Roman" w:cs="Times New Roman"/>
          <w:sz w:val="24"/>
          <w:szCs w:val="24"/>
        </w:rPr>
        <w:t xml:space="preserve"> os então denominados arrendamentos não habitacionais de duração limitada deveriam conformar-se com as normas previstas nos </w:t>
      </w:r>
      <w:proofErr w:type="spellStart"/>
      <w:r w:rsidRPr="000E578D">
        <w:rPr>
          <w:rFonts w:ascii="Times New Roman" w:hAnsi="Times New Roman" w:cs="Times New Roman"/>
          <w:sz w:val="24"/>
          <w:szCs w:val="24"/>
        </w:rPr>
        <w:t>arts</w:t>
      </w:r>
      <w:proofErr w:type="spellEnd"/>
      <w:r w:rsidR="00DE6BFB">
        <w:rPr>
          <w:rFonts w:ascii="Times New Roman" w:hAnsi="Times New Roman" w:cs="Times New Roman"/>
          <w:sz w:val="24"/>
          <w:szCs w:val="24"/>
        </w:rPr>
        <w:t>.</w:t>
      </w:r>
      <w:r w:rsidRPr="000E578D">
        <w:rPr>
          <w:rFonts w:ascii="Times New Roman" w:hAnsi="Times New Roman" w:cs="Times New Roman"/>
          <w:sz w:val="24"/>
          <w:szCs w:val="24"/>
        </w:rPr>
        <w:t xml:space="preserve"> 98.º</w:t>
      </w:r>
      <w:r w:rsidR="00DE6BFB">
        <w:rPr>
          <w:rFonts w:ascii="Times New Roman" w:hAnsi="Times New Roman" w:cs="Times New Roman"/>
          <w:sz w:val="24"/>
          <w:szCs w:val="24"/>
        </w:rPr>
        <w:t>-</w:t>
      </w:r>
      <w:r w:rsidRPr="000E578D">
        <w:rPr>
          <w:rFonts w:ascii="Times New Roman" w:hAnsi="Times New Roman" w:cs="Times New Roman"/>
          <w:sz w:val="24"/>
          <w:szCs w:val="24"/>
        </w:rPr>
        <w:t>101.º do RAU para os contratos de duração limitada nos arrendamentos urbanos para habitação, com as devidas adaptações;</w:t>
      </w:r>
    </w:p>
    <w:p w14:paraId="1E99290F" w14:textId="729CD80E" w:rsidR="000E578D" w:rsidRPr="000E578D" w:rsidRDefault="000E578D" w:rsidP="00DE6BFB">
      <w:pPr>
        <w:spacing w:line="360" w:lineRule="auto"/>
        <w:ind w:left="357"/>
        <w:jc w:val="both"/>
        <w:rPr>
          <w:rFonts w:ascii="Times New Roman" w:hAnsi="Times New Roman" w:cs="Times New Roman"/>
          <w:sz w:val="24"/>
          <w:szCs w:val="24"/>
        </w:rPr>
      </w:pPr>
      <w:r w:rsidRPr="000E578D">
        <w:rPr>
          <w:rFonts w:ascii="Times New Roman" w:hAnsi="Times New Roman" w:cs="Times New Roman"/>
          <w:sz w:val="24"/>
          <w:szCs w:val="24"/>
        </w:rPr>
        <w:t xml:space="preserve">- </w:t>
      </w:r>
      <w:r w:rsidR="00DE6BFB">
        <w:rPr>
          <w:rFonts w:ascii="Times New Roman" w:hAnsi="Times New Roman" w:cs="Times New Roman"/>
          <w:sz w:val="24"/>
          <w:szCs w:val="24"/>
        </w:rPr>
        <w:t>e</w:t>
      </w:r>
      <w:r w:rsidRPr="000E578D">
        <w:rPr>
          <w:rFonts w:ascii="Times New Roman" w:hAnsi="Times New Roman" w:cs="Times New Roman"/>
          <w:sz w:val="24"/>
          <w:szCs w:val="24"/>
        </w:rPr>
        <w:t>ntre essas normas que</w:t>
      </w:r>
      <w:r w:rsidR="00DE6BFB">
        <w:rPr>
          <w:rFonts w:ascii="Times New Roman" w:hAnsi="Times New Roman" w:cs="Times New Roman"/>
          <w:sz w:val="24"/>
          <w:szCs w:val="24"/>
        </w:rPr>
        <w:t>,</w:t>
      </w:r>
      <w:r w:rsidRPr="000E578D">
        <w:rPr>
          <w:rFonts w:ascii="Times New Roman" w:hAnsi="Times New Roman" w:cs="Times New Roman"/>
          <w:sz w:val="24"/>
          <w:szCs w:val="24"/>
        </w:rPr>
        <w:t xml:space="preserve"> por remissão expressa do </w:t>
      </w:r>
      <w:proofErr w:type="spellStart"/>
      <w:r w:rsidRPr="000E578D">
        <w:rPr>
          <w:rFonts w:ascii="Times New Roman" w:hAnsi="Times New Roman" w:cs="Times New Roman"/>
          <w:sz w:val="24"/>
          <w:szCs w:val="24"/>
        </w:rPr>
        <w:t>art</w:t>
      </w:r>
      <w:proofErr w:type="spellEnd"/>
      <w:r w:rsidR="00DE6BFB">
        <w:rPr>
          <w:rFonts w:ascii="Times New Roman" w:hAnsi="Times New Roman" w:cs="Times New Roman"/>
          <w:sz w:val="24"/>
          <w:szCs w:val="24"/>
        </w:rPr>
        <w:t xml:space="preserve">. </w:t>
      </w:r>
      <w:r w:rsidRPr="000E578D">
        <w:rPr>
          <w:rFonts w:ascii="Times New Roman" w:hAnsi="Times New Roman" w:cs="Times New Roman"/>
          <w:sz w:val="24"/>
          <w:szCs w:val="24"/>
        </w:rPr>
        <w:t>117.º, n.º 2, do RAU</w:t>
      </w:r>
      <w:r w:rsidR="00DE6BFB">
        <w:rPr>
          <w:rFonts w:ascii="Times New Roman" w:hAnsi="Times New Roman" w:cs="Times New Roman"/>
          <w:sz w:val="24"/>
          <w:szCs w:val="24"/>
        </w:rPr>
        <w:t>,</w:t>
      </w:r>
      <w:r w:rsidRPr="000E578D">
        <w:rPr>
          <w:rFonts w:ascii="Times New Roman" w:hAnsi="Times New Roman" w:cs="Times New Roman"/>
          <w:sz w:val="24"/>
          <w:szCs w:val="24"/>
        </w:rPr>
        <w:t xml:space="preserve"> se aplicavam aos arrendamentos não habitacionais de duração limitada </w:t>
      </w:r>
      <w:r w:rsidR="00DE6BFB">
        <w:rPr>
          <w:rFonts w:ascii="Times New Roman" w:hAnsi="Times New Roman" w:cs="Times New Roman"/>
          <w:sz w:val="24"/>
          <w:szCs w:val="24"/>
        </w:rPr>
        <w:t>estava aquela segundo a qual o</w:t>
      </w:r>
      <w:r w:rsidRPr="000E578D">
        <w:rPr>
          <w:rFonts w:ascii="Times New Roman" w:hAnsi="Times New Roman" w:cs="Times New Roman"/>
          <w:sz w:val="24"/>
          <w:szCs w:val="24"/>
        </w:rPr>
        <w:t xml:space="preserve"> prazo mínimo de duração desses contratos não pod</w:t>
      </w:r>
      <w:r w:rsidR="00DE6BFB">
        <w:rPr>
          <w:rFonts w:ascii="Times New Roman" w:hAnsi="Times New Roman" w:cs="Times New Roman"/>
          <w:sz w:val="24"/>
          <w:szCs w:val="24"/>
        </w:rPr>
        <w:t>ia</w:t>
      </w:r>
      <w:r w:rsidRPr="000E578D">
        <w:rPr>
          <w:rFonts w:ascii="Times New Roman" w:hAnsi="Times New Roman" w:cs="Times New Roman"/>
          <w:sz w:val="24"/>
          <w:szCs w:val="24"/>
        </w:rPr>
        <w:t xml:space="preserve"> ser inferior a </w:t>
      </w:r>
      <w:r w:rsidR="00DE6BFB">
        <w:rPr>
          <w:rFonts w:ascii="Times New Roman" w:hAnsi="Times New Roman" w:cs="Times New Roman"/>
          <w:sz w:val="24"/>
          <w:szCs w:val="24"/>
        </w:rPr>
        <w:t xml:space="preserve">cinco </w:t>
      </w:r>
      <w:r w:rsidRPr="000E578D">
        <w:rPr>
          <w:rFonts w:ascii="Times New Roman" w:hAnsi="Times New Roman" w:cs="Times New Roman"/>
          <w:sz w:val="24"/>
          <w:szCs w:val="24"/>
        </w:rPr>
        <w:t>anos (</w:t>
      </w:r>
      <w:proofErr w:type="spellStart"/>
      <w:r w:rsidRPr="000E578D">
        <w:rPr>
          <w:rFonts w:ascii="Times New Roman" w:hAnsi="Times New Roman" w:cs="Times New Roman"/>
          <w:sz w:val="24"/>
          <w:szCs w:val="24"/>
        </w:rPr>
        <w:t>art</w:t>
      </w:r>
      <w:proofErr w:type="spellEnd"/>
      <w:r w:rsidR="00DE6BFB">
        <w:rPr>
          <w:rFonts w:ascii="Times New Roman" w:hAnsi="Times New Roman" w:cs="Times New Roman"/>
          <w:sz w:val="24"/>
          <w:szCs w:val="24"/>
        </w:rPr>
        <w:t>.</w:t>
      </w:r>
      <w:r w:rsidRPr="000E578D">
        <w:rPr>
          <w:rFonts w:ascii="Times New Roman" w:hAnsi="Times New Roman" w:cs="Times New Roman"/>
          <w:sz w:val="24"/>
          <w:szCs w:val="24"/>
        </w:rPr>
        <w:t xml:space="preserve"> 98.º, n.º 2, do RAU)</w:t>
      </w:r>
      <w:r w:rsidR="00DE6BFB">
        <w:rPr>
          <w:rFonts w:ascii="Times New Roman" w:hAnsi="Times New Roman" w:cs="Times New Roman"/>
          <w:sz w:val="24"/>
          <w:szCs w:val="24"/>
        </w:rPr>
        <w:t xml:space="preserve">; por conseguinte, </w:t>
      </w:r>
      <w:r w:rsidR="00E660AB">
        <w:rPr>
          <w:rFonts w:ascii="Times New Roman" w:hAnsi="Times New Roman" w:cs="Times New Roman"/>
          <w:sz w:val="24"/>
          <w:szCs w:val="24"/>
        </w:rPr>
        <w:t>do facto de</w:t>
      </w:r>
      <w:r w:rsidRPr="000E578D">
        <w:rPr>
          <w:rFonts w:ascii="Times New Roman" w:hAnsi="Times New Roman" w:cs="Times New Roman"/>
          <w:sz w:val="24"/>
          <w:szCs w:val="24"/>
        </w:rPr>
        <w:t xml:space="preserve"> o contrato de 19 de </w:t>
      </w:r>
      <w:r w:rsidR="00DE6BFB">
        <w:rPr>
          <w:rFonts w:ascii="Times New Roman" w:hAnsi="Times New Roman" w:cs="Times New Roman"/>
          <w:sz w:val="24"/>
          <w:szCs w:val="24"/>
        </w:rPr>
        <w:t>d</w:t>
      </w:r>
      <w:r w:rsidRPr="000E578D">
        <w:rPr>
          <w:rFonts w:ascii="Times New Roman" w:hAnsi="Times New Roman" w:cs="Times New Roman"/>
          <w:sz w:val="24"/>
          <w:szCs w:val="24"/>
        </w:rPr>
        <w:t xml:space="preserve">ezembro de 1997 </w:t>
      </w:r>
      <w:r w:rsidR="00E660AB">
        <w:rPr>
          <w:rFonts w:ascii="Times New Roman" w:hAnsi="Times New Roman" w:cs="Times New Roman"/>
          <w:sz w:val="24"/>
          <w:szCs w:val="24"/>
        </w:rPr>
        <w:t xml:space="preserve">haver </w:t>
      </w:r>
      <w:r w:rsidRPr="000E578D">
        <w:rPr>
          <w:rFonts w:ascii="Times New Roman" w:hAnsi="Times New Roman" w:cs="Times New Roman"/>
          <w:sz w:val="24"/>
          <w:szCs w:val="24"/>
        </w:rPr>
        <w:t xml:space="preserve">mantido o prazo de duração do contrato </w:t>
      </w:r>
      <w:r w:rsidR="00DE6BFB">
        <w:rPr>
          <w:rFonts w:ascii="Times New Roman" w:hAnsi="Times New Roman" w:cs="Times New Roman"/>
          <w:sz w:val="24"/>
          <w:szCs w:val="24"/>
        </w:rPr>
        <w:t>de um</w:t>
      </w:r>
      <w:r w:rsidRPr="000E578D">
        <w:rPr>
          <w:rFonts w:ascii="Times New Roman" w:hAnsi="Times New Roman" w:cs="Times New Roman"/>
          <w:sz w:val="24"/>
          <w:szCs w:val="24"/>
        </w:rPr>
        <w:t xml:space="preserve"> ano, como </w:t>
      </w:r>
      <w:r w:rsidRPr="000E578D">
        <w:rPr>
          <w:rFonts w:ascii="Times New Roman" w:hAnsi="Times New Roman" w:cs="Times New Roman"/>
          <w:sz w:val="24"/>
          <w:szCs w:val="24"/>
        </w:rPr>
        <w:lastRenderedPageBreak/>
        <w:t xml:space="preserve">previsto no contrato anterior, não mencionando expressamente </w:t>
      </w:r>
      <w:r w:rsidR="00DE6BFB">
        <w:rPr>
          <w:rFonts w:ascii="Times New Roman" w:hAnsi="Times New Roman" w:cs="Times New Roman"/>
          <w:sz w:val="24"/>
          <w:szCs w:val="24"/>
        </w:rPr>
        <w:t xml:space="preserve">a sua qualificação como </w:t>
      </w:r>
      <w:r w:rsidRPr="000E578D">
        <w:rPr>
          <w:rFonts w:ascii="Times New Roman" w:hAnsi="Times New Roman" w:cs="Times New Roman"/>
          <w:sz w:val="24"/>
          <w:szCs w:val="24"/>
        </w:rPr>
        <w:t xml:space="preserve">“de duração limitada”, </w:t>
      </w:r>
      <w:r w:rsidR="00E660AB">
        <w:rPr>
          <w:rFonts w:ascii="Times New Roman" w:hAnsi="Times New Roman" w:cs="Times New Roman"/>
          <w:sz w:val="24"/>
          <w:szCs w:val="24"/>
        </w:rPr>
        <w:t xml:space="preserve">resulta </w:t>
      </w:r>
      <w:r w:rsidRPr="000E578D">
        <w:rPr>
          <w:rFonts w:ascii="Times New Roman" w:hAnsi="Times New Roman" w:cs="Times New Roman"/>
          <w:sz w:val="24"/>
          <w:szCs w:val="24"/>
        </w:rPr>
        <w:t xml:space="preserve">que as partes não quiseram retirar a natureza </w:t>
      </w:r>
      <w:proofErr w:type="spellStart"/>
      <w:r w:rsidRPr="000E578D">
        <w:rPr>
          <w:rFonts w:ascii="Times New Roman" w:hAnsi="Times New Roman" w:cs="Times New Roman"/>
          <w:sz w:val="24"/>
          <w:szCs w:val="24"/>
        </w:rPr>
        <w:t>vinculística</w:t>
      </w:r>
      <w:proofErr w:type="spellEnd"/>
      <w:r w:rsidRPr="000E578D">
        <w:rPr>
          <w:rFonts w:ascii="Times New Roman" w:hAnsi="Times New Roman" w:cs="Times New Roman"/>
          <w:sz w:val="24"/>
          <w:szCs w:val="24"/>
        </w:rPr>
        <w:t xml:space="preserve"> ao contrato em causa;</w:t>
      </w:r>
    </w:p>
    <w:p w14:paraId="74C8EEC6" w14:textId="600507EB" w:rsidR="000E578D" w:rsidRPr="000E578D" w:rsidRDefault="000E578D" w:rsidP="00E660AB">
      <w:pPr>
        <w:spacing w:line="360" w:lineRule="auto"/>
        <w:ind w:left="357"/>
        <w:jc w:val="both"/>
        <w:rPr>
          <w:rFonts w:ascii="Times New Roman" w:hAnsi="Times New Roman" w:cs="Times New Roman"/>
          <w:sz w:val="24"/>
          <w:szCs w:val="24"/>
        </w:rPr>
      </w:pPr>
      <w:r w:rsidRPr="000E578D">
        <w:rPr>
          <w:rFonts w:ascii="Times New Roman" w:hAnsi="Times New Roman" w:cs="Times New Roman"/>
          <w:sz w:val="24"/>
          <w:szCs w:val="24"/>
        </w:rPr>
        <w:t xml:space="preserve">- </w:t>
      </w:r>
      <w:r w:rsidR="00E660AB">
        <w:rPr>
          <w:rFonts w:ascii="Times New Roman" w:hAnsi="Times New Roman" w:cs="Times New Roman"/>
          <w:sz w:val="24"/>
          <w:szCs w:val="24"/>
        </w:rPr>
        <w:t>a</w:t>
      </w:r>
      <w:r w:rsidRPr="000E578D">
        <w:rPr>
          <w:rFonts w:ascii="Times New Roman" w:hAnsi="Times New Roman" w:cs="Times New Roman"/>
          <w:sz w:val="24"/>
          <w:szCs w:val="24"/>
        </w:rPr>
        <w:t xml:space="preserve">cresce que a cláusula 2.ª do documento complementar anexo a tal escritura se deveria considerar nula por </w:t>
      </w:r>
      <w:r w:rsidR="00712DF9">
        <w:rPr>
          <w:rFonts w:ascii="Times New Roman" w:hAnsi="Times New Roman" w:cs="Times New Roman"/>
          <w:sz w:val="24"/>
          <w:szCs w:val="24"/>
        </w:rPr>
        <w:t>violar</w:t>
      </w:r>
      <w:r w:rsidRPr="000E578D">
        <w:rPr>
          <w:rFonts w:ascii="Times New Roman" w:hAnsi="Times New Roman" w:cs="Times New Roman"/>
          <w:sz w:val="24"/>
          <w:szCs w:val="24"/>
        </w:rPr>
        <w:t xml:space="preserve"> disposição legal imperativa, uma vez que o prazo de duração de tal contrato nunca poderia ser inferior a </w:t>
      </w:r>
      <w:r w:rsidR="00E660AB">
        <w:rPr>
          <w:rFonts w:ascii="Times New Roman" w:hAnsi="Times New Roman" w:cs="Times New Roman"/>
          <w:sz w:val="24"/>
          <w:szCs w:val="24"/>
        </w:rPr>
        <w:t xml:space="preserve">cinco anos; por isso, encontrando-se ferida de nulidade, essa </w:t>
      </w:r>
      <w:r w:rsidRPr="000E578D">
        <w:rPr>
          <w:rFonts w:ascii="Times New Roman" w:hAnsi="Times New Roman" w:cs="Times New Roman"/>
          <w:sz w:val="24"/>
          <w:szCs w:val="24"/>
        </w:rPr>
        <w:t>cláusula</w:t>
      </w:r>
      <w:r w:rsidR="00E660AB">
        <w:rPr>
          <w:rFonts w:ascii="Times New Roman" w:hAnsi="Times New Roman" w:cs="Times New Roman"/>
          <w:sz w:val="24"/>
          <w:szCs w:val="24"/>
        </w:rPr>
        <w:t xml:space="preserve"> </w:t>
      </w:r>
      <w:r w:rsidRPr="000E578D">
        <w:rPr>
          <w:rFonts w:ascii="Times New Roman" w:hAnsi="Times New Roman" w:cs="Times New Roman"/>
          <w:sz w:val="24"/>
          <w:szCs w:val="24"/>
        </w:rPr>
        <w:t xml:space="preserve">nunca seria </w:t>
      </w:r>
      <w:r w:rsidR="00E660AB">
        <w:rPr>
          <w:rFonts w:ascii="Times New Roman" w:hAnsi="Times New Roman" w:cs="Times New Roman"/>
          <w:sz w:val="24"/>
          <w:szCs w:val="24"/>
        </w:rPr>
        <w:t xml:space="preserve">idónea para </w:t>
      </w:r>
      <w:r w:rsidRPr="000E578D">
        <w:rPr>
          <w:rFonts w:ascii="Times New Roman" w:hAnsi="Times New Roman" w:cs="Times New Roman"/>
          <w:sz w:val="24"/>
          <w:szCs w:val="24"/>
        </w:rPr>
        <w:t xml:space="preserve">produzir quaisquer efeitos e, na falta de estipulação das partes, </w:t>
      </w:r>
      <w:r w:rsidR="00E660AB">
        <w:rPr>
          <w:rFonts w:ascii="Times New Roman" w:hAnsi="Times New Roman" w:cs="Times New Roman"/>
          <w:sz w:val="24"/>
          <w:szCs w:val="24"/>
        </w:rPr>
        <w:t>dever-se-ia considerar</w:t>
      </w:r>
      <w:r w:rsidRPr="000E578D">
        <w:rPr>
          <w:rFonts w:ascii="Times New Roman" w:hAnsi="Times New Roman" w:cs="Times New Roman"/>
          <w:sz w:val="24"/>
          <w:szCs w:val="24"/>
        </w:rPr>
        <w:t xml:space="preserve"> o contrato celebrado pelo prazo de </w:t>
      </w:r>
      <w:r w:rsidR="00E660AB">
        <w:rPr>
          <w:rFonts w:ascii="Times New Roman" w:hAnsi="Times New Roman" w:cs="Times New Roman"/>
          <w:sz w:val="24"/>
          <w:szCs w:val="24"/>
        </w:rPr>
        <w:t>cinco</w:t>
      </w:r>
      <w:r w:rsidRPr="000E578D">
        <w:rPr>
          <w:rFonts w:ascii="Times New Roman" w:hAnsi="Times New Roman" w:cs="Times New Roman"/>
          <w:sz w:val="24"/>
          <w:szCs w:val="24"/>
        </w:rPr>
        <w:t xml:space="preserve"> anos, automaticamente renovável por iguais e sucessivos períodos de </w:t>
      </w:r>
      <w:r w:rsidR="00E660AB">
        <w:rPr>
          <w:rFonts w:ascii="Times New Roman" w:hAnsi="Times New Roman" w:cs="Times New Roman"/>
          <w:sz w:val="24"/>
          <w:szCs w:val="24"/>
        </w:rPr>
        <w:t>cinco</w:t>
      </w:r>
      <w:r w:rsidRPr="000E578D">
        <w:rPr>
          <w:rFonts w:ascii="Times New Roman" w:hAnsi="Times New Roman" w:cs="Times New Roman"/>
          <w:sz w:val="24"/>
          <w:szCs w:val="24"/>
        </w:rPr>
        <w:t xml:space="preserve"> anos cada;</w:t>
      </w:r>
    </w:p>
    <w:p w14:paraId="6D262030" w14:textId="61E622A2" w:rsidR="00E660AB" w:rsidRDefault="000E578D" w:rsidP="00E660AB">
      <w:pPr>
        <w:spacing w:line="360" w:lineRule="auto"/>
        <w:ind w:left="357"/>
        <w:jc w:val="both"/>
        <w:rPr>
          <w:rFonts w:ascii="Times New Roman" w:hAnsi="Times New Roman" w:cs="Times New Roman"/>
          <w:sz w:val="24"/>
          <w:szCs w:val="24"/>
        </w:rPr>
      </w:pPr>
      <w:r w:rsidRPr="000E578D">
        <w:rPr>
          <w:rFonts w:ascii="Times New Roman" w:hAnsi="Times New Roman" w:cs="Times New Roman"/>
          <w:sz w:val="24"/>
          <w:szCs w:val="24"/>
        </w:rPr>
        <w:t xml:space="preserve">- </w:t>
      </w:r>
      <w:r w:rsidR="00E660AB">
        <w:rPr>
          <w:rFonts w:ascii="Times New Roman" w:hAnsi="Times New Roman" w:cs="Times New Roman"/>
          <w:sz w:val="24"/>
          <w:szCs w:val="24"/>
        </w:rPr>
        <w:t>v</w:t>
      </w:r>
      <w:r w:rsidRPr="000E578D">
        <w:rPr>
          <w:rFonts w:ascii="Times New Roman" w:hAnsi="Times New Roman" w:cs="Times New Roman"/>
          <w:sz w:val="24"/>
          <w:szCs w:val="24"/>
        </w:rPr>
        <w:t xml:space="preserve">igorando inicialmente de 1 de </w:t>
      </w:r>
      <w:r w:rsidR="00E660AB">
        <w:rPr>
          <w:rFonts w:ascii="Times New Roman" w:hAnsi="Times New Roman" w:cs="Times New Roman"/>
          <w:sz w:val="24"/>
          <w:szCs w:val="24"/>
        </w:rPr>
        <w:t>j</w:t>
      </w:r>
      <w:r w:rsidRPr="000E578D">
        <w:rPr>
          <w:rFonts w:ascii="Times New Roman" w:hAnsi="Times New Roman" w:cs="Times New Roman"/>
          <w:sz w:val="24"/>
          <w:szCs w:val="24"/>
        </w:rPr>
        <w:t xml:space="preserve">aneiro de 1998 a 31 de </w:t>
      </w:r>
      <w:r w:rsidR="00E660AB">
        <w:rPr>
          <w:rFonts w:ascii="Times New Roman" w:hAnsi="Times New Roman" w:cs="Times New Roman"/>
          <w:sz w:val="24"/>
          <w:szCs w:val="24"/>
        </w:rPr>
        <w:t>d</w:t>
      </w:r>
      <w:r w:rsidRPr="000E578D">
        <w:rPr>
          <w:rFonts w:ascii="Times New Roman" w:hAnsi="Times New Roman" w:cs="Times New Roman"/>
          <w:sz w:val="24"/>
          <w:szCs w:val="24"/>
        </w:rPr>
        <w:t xml:space="preserve">ezembro de 2002, e sendo automaticamente renovável por períodos sucessivos de </w:t>
      </w:r>
      <w:r w:rsidR="00E660AB">
        <w:rPr>
          <w:rFonts w:ascii="Times New Roman" w:hAnsi="Times New Roman" w:cs="Times New Roman"/>
          <w:sz w:val="24"/>
          <w:szCs w:val="24"/>
        </w:rPr>
        <w:t>cinco anos</w:t>
      </w:r>
      <w:r w:rsidRPr="000E578D">
        <w:rPr>
          <w:rFonts w:ascii="Times New Roman" w:hAnsi="Times New Roman" w:cs="Times New Roman"/>
          <w:sz w:val="24"/>
          <w:szCs w:val="24"/>
        </w:rPr>
        <w:t xml:space="preserve">, aquando da entrada em vigor, </w:t>
      </w:r>
      <w:r w:rsidR="00E660AB">
        <w:rPr>
          <w:rFonts w:ascii="Times New Roman" w:hAnsi="Times New Roman" w:cs="Times New Roman"/>
          <w:sz w:val="24"/>
          <w:szCs w:val="24"/>
        </w:rPr>
        <w:t>a</w:t>
      </w:r>
      <w:r w:rsidRPr="000E578D">
        <w:rPr>
          <w:rFonts w:ascii="Times New Roman" w:hAnsi="Times New Roman" w:cs="Times New Roman"/>
          <w:sz w:val="24"/>
          <w:szCs w:val="24"/>
        </w:rPr>
        <w:t xml:space="preserve"> 27 de </w:t>
      </w:r>
      <w:r w:rsidR="00E660AB">
        <w:rPr>
          <w:rFonts w:ascii="Times New Roman" w:hAnsi="Times New Roman" w:cs="Times New Roman"/>
          <w:sz w:val="24"/>
          <w:szCs w:val="24"/>
        </w:rPr>
        <w:t>j</w:t>
      </w:r>
      <w:r w:rsidRPr="000E578D">
        <w:rPr>
          <w:rFonts w:ascii="Times New Roman" w:hAnsi="Times New Roman" w:cs="Times New Roman"/>
          <w:sz w:val="24"/>
          <w:szCs w:val="24"/>
        </w:rPr>
        <w:t xml:space="preserve">unho </w:t>
      </w:r>
      <w:r w:rsidR="00E660AB">
        <w:rPr>
          <w:rFonts w:ascii="Times New Roman" w:hAnsi="Times New Roman" w:cs="Times New Roman"/>
          <w:sz w:val="24"/>
          <w:szCs w:val="24"/>
        </w:rPr>
        <w:t xml:space="preserve">de </w:t>
      </w:r>
      <w:r w:rsidRPr="000E578D">
        <w:rPr>
          <w:rFonts w:ascii="Times New Roman" w:hAnsi="Times New Roman" w:cs="Times New Roman"/>
          <w:sz w:val="24"/>
          <w:szCs w:val="24"/>
        </w:rPr>
        <w:t>2006, do NRAU, nos termos do</w:t>
      </w:r>
      <w:r w:rsidR="00E660AB">
        <w:rPr>
          <w:rFonts w:ascii="Times New Roman" w:hAnsi="Times New Roman" w:cs="Times New Roman"/>
          <w:sz w:val="24"/>
          <w:szCs w:val="24"/>
        </w:rPr>
        <w:t xml:space="preserve"> </w:t>
      </w:r>
      <w:proofErr w:type="spellStart"/>
      <w:r w:rsidR="00E660AB">
        <w:rPr>
          <w:rFonts w:ascii="Times New Roman" w:hAnsi="Times New Roman" w:cs="Times New Roman"/>
          <w:sz w:val="24"/>
          <w:szCs w:val="24"/>
        </w:rPr>
        <w:t>art</w:t>
      </w:r>
      <w:proofErr w:type="spellEnd"/>
      <w:r w:rsidR="00E660AB">
        <w:rPr>
          <w:rFonts w:ascii="Times New Roman" w:hAnsi="Times New Roman" w:cs="Times New Roman"/>
          <w:sz w:val="24"/>
          <w:szCs w:val="24"/>
        </w:rPr>
        <w:t xml:space="preserve">. 26.º, </w:t>
      </w:r>
      <w:r w:rsidRPr="000E578D">
        <w:rPr>
          <w:rFonts w:ascii="Times New Roman" w:hAnsi="Times New Roman" w:cs="Times New Roman"/>
          <w:sz w:val="24"/>
          <w:szCs w:val="24"/>
        </w:rPr>
        <w:t xml:space="preserve"> n.º 3</w:t>
      </w:r>
      <w:r w:rsidR="00E660AB">
        <w:rPr>
          <w:rFonts w:ascii="Times New Roman" w:hAnsi="Times New Roman" w:cs="Times New Roman"/>
          <w:sz w:val="24"/>
          <w:szCs w:val="24"/>
        </w:rPr>
        <w:t xml:space="preserve"> </w:t>
      </w:r>
      <w:r w:rsidRPr="000E578D">
        <w:rPr>
          <w:rFonts w:ascii="Times New Roman" w:hAnsi="Times New Roman" w:cs="Times New Roman"/>
          <w:sz w:val="24"/>
          <w:szCs w:val="24"/>
        </w:rPr>
        <w:t xml:space="preserve">(na sua redação </w:t>
      </w:r>
      <w:r w:rsidR="00E660AB">
        <w:rPr>
          <w:rFonts w:ascii="Times New Roman" w:hAnsi="Times New Roman" w:cs="Times New Roman"/>
          <w:sz w:val="24"/>
          <w:szCs w:val="24"/>
        </w:rPr>
        <w:t>originária</w:t>
      </w:r>
      <w:r w:rsidRPr="000E578D">
        <w:rPr>
          <w:rFonts w:ascii="Times New Roman" w:hAnsi="Times New Roman" w:cs="Times New Roman"/>
          <w:sz w:val="24"/>
          <w:szCs w:val="24"/>
        </w:rPr>
        <w:t xml:space="preserve">), </w:t>
      </w:r>
      <w:r w:rsidR="00861BD7">
        <w:rPr>
          <w:rFonts w:ascii="Times New Roman" w:hAnsi="Times New Roman" w:cs="Times New Roman"/>
          <w:sz w:val="24"/>
          <w:szCs w:val="24"/>
        </w:rPr>
        <w:t xml:space="preserve">esse contrato </w:t>
      </w:r>
      <w:r w:rsidRPr="000E578D">
        <w:rPr>
          <w:rFonts w:ascii="Times New Roman" w:hAnsi="Times New Roman" w:cs="Times New Roman"/>
          <w:sz w:val="24"/>
          <w:szCs w:val="24"/>
        </w:rPr>
        <w:t>renovou-se por cinco anos e, posteriormente</w:t>
      </w:r>
      <w:r w:rsidR="00861BD7">
        <w:rPr>
          <w:rFonts w:ascii="Times New Roman" w:hAnsi="Times New Roman" w:cs="Times New Roman"/>
          <w:sz w:val="24"/>
          <w:szCs w:val="24"/>
        </w:rPr>
        <w:t>,</w:t>
      </w:r>
      <w:r w:rsidRPr="000E578D">
        <w:rPr>
          <w:rFonts w:ascii="Times New Roman" w:hAnsi="Times New Roman" w:cs="Times New Roman"/>
          <w:sz w:val="24"/>
          <w:szCs w:val="24"/>
        </w:rPr>
        <w:t xml:space="preserve"> por três anos</w:t>
      </w:r>
      <w:r w:rsidR="00E660AB">
        <w:rPr>
          <w:rFonts w:ascii="Times New Roman" w:hAnsi="Times New Roman" w:cs="Times New Roman"/>
          <w:sz w:val="24"/>
          <w:szCs w:val="24"/>
        </w:rPr>
        <w:t xml:space="preserve">; </w:t>
      </w:r>
      <w:r w:rsidRPr="000E578D">
        <w:rPr>
          <w:rFonts w:ascii="Times New Roman" w:hAnsi="Times New Roman" w:cs="Times New Roman"/>
          <w:sz w:val="24"/>
          <w:szCs w:val="24"/>
        </w:rPr>
        <w:t xml:space="preserve">não afetando tal </w:t>
      </w:r>
      <w:r w:rsidR="00E660AB">
        <w:rPr>
          <w:rFonts w:ascii="Times New Roman" w:hAnsi="Times New Roman" w:cs="Times New Roman"/>
          <w:sz w:val="24"/>
          <w:szCs w:val="24"/>
        </w:rPr>
        <w:t xml:space="preserve">disposição </w:t>
      </w:r>
      <w:r w:rsidRPr="000E578D">
        <w:rPr>
          <w:rFonts w:ascii="Times New Roman" w:hAnsi="Times New Roman" w:cs="Times New Roman"/>
          <w:sz w:val="24"/>
          <w:szCs w:val="24"/>
        </w:rPr>
        <w:t>o prazo do contrato que se encontraria a correr, de 1</w:t>
      </w:r>
      <w:r w:rsidR="00E660AB">
        <w:rPr>
          <w:rFonts w:ascii="Times New Roman" w:hAnsi="Times New Roman" w:cs="Times New Roman"/>
          <w:sz w:val="24"/>
          <w:szCs w:val="24"/>
        </w:rPr>
        <w:t xml:space="preserve"> de janeiro de </w:t>
      </w:r>
      <w:r w:rsidRPr="000E578D">
        <w:rPr>
          <w:rFonts w:ascii="Times New Roman" w:hAnsi="Times New Roman" w:cs="Times New Roman"/>
          <w:sz w:val="24"/>
          <w:szCs w:val="24"/>
        </w:rPr>
        <w:t>2003 a 31</w:t>
      </w:r>
      <w:r w:rsidR="00E660AB">
        <w:rPr>
          <w:rFonts w:ascii="Times New Roman" w:hAnsi="Times New Roman" w:cs="Times New Roman"/>
          <w:sz w:val="24"/>
          <w:szCs w:val="24"/>
        </w:rPr>
        <w:t xml:space="preserve"> de dezembro de </w:t>
      </w:r>
      <w:r w:rsidRPr="000E578D">
        <w:rPr>
          <w:rFonts w:ascii="Times New Roman" w:hAnsi="Times New Roman" w:cs="Times New Roman"/>
          <w:sz w:val="24"/>
          <w:szCs w:val="24"/>
        </w:rPr>
        <w:t>2007, por força das sucessivas renovações, estaria agora a correr o período contratual de 1</w:t>
      </w:r>
      <w:r w:rsidR="00E660AB">
        <w:rPr>
          <w:rFonts w:ascii="Times New Roman" w:hAnsi="Times New Roman" w:cs="Times New Roman"/>
          <w:sz w:val="24"/>
          <w:szCs w:val="24"/>
        </w:rPr>
        <w:t xml:space="preserve"> de janeiro de </w:t>
      </w:r>
      <w:r w:rsidRPr="000E578D">
        <w:rPr>
          <w:rFonts w:ascii="Times New Roman" w:hAnsi="Times New Roman" w:cs="Times New Roman"/>
          <w:sz w:val="24"/>
          <w:szCs w:val="24"/>
        </w:rPr>
        <w:t>2018 a 31</w:t>
      </w:r>
      <w:r w:rsidR="00E660AB">
        <w:rPr>
          <w:rFonts w:ascii="Times New Roman" w:hAnsi="Times New Roman" w:cs="Times New Roman"/>
          <w:sz w:val="24"/>
          <w:szCs w:val="24"/>
        </w:rPr>
        <w:t xml:space="preserve"> de dezembro de </w:t>
      </w:r>
      <w:r w:rsidRPr="000E578D">
        <w:rPr>
          <w:rFonts w:ascii="Times New Roman" w:hAnsi="Times New Roman" w:cs="Times New Roman"/>
          <w:sz w:val="24"/>
          <w:szCs w:val="24"/>
        </w:rPr>
        <w:t xml:space="preserve">2022, não </w:t>
      </w:r>
      <w:r w:rsidR="00E660AB">
        <w:rPr>
          <w:rFonts w:ascii="Times New Roman" w:hAnsi="Times New Roman" w:cs="Times New Roman"/>
          <w:sz w:val="24"/>
          <w:szCs w:val="24"/>
        </w:rPr>
        <w:t>produzindo</w:t>
      </w:r>
      <w:r w:rsidRPr="000E578D">
        <w:rPr>
          <w:rFonts w:ascii="Times New Roman" w:hAnsi="Times New Roman" w:cs="Times New Roman"/>
          <w:sz w:val="24"/>
          <w:szCs w:val="24"/>
        </w:rPr>
        <w:t>, por isso, efeito</w:t>
      </w:r>
      <w:r w:rsidR="00E660AB">
        <w:rPr>
          <w:rFonts w:ascii="Times New Roman" w:hAnsi="Times New Roman" w:cs="Times New Roman"/>
          <w:sz w:val="24"/>
          <w:szCs w:val="24"/>
        </w:rPr>
        <w:t>s</w:t>
      </w:r>
      <w:r w:rsidRPr="000E578D">
        <w:rPr>
          <w:rFonts w:ascii="Times New Roman" w:hAnsi="Times New Roman" w:cs="Times New Roman"/>
          <w:sz w:val="24"/>
          <w:szCs w:val="24"/>
        </w:rPr>
        <w:t xml:space="preserve"> a comunicação efetuada pela Requerente</w:t>
      </w:r>
      <w:r w:rsidR="00E660AB">
        <w:rPr>
          <w:rFonts w:ascii="Times New Roman" w:hAnsi="Times New Roman" w:cs="Times New Roman"/>
          <w:sz w:val="24"/>
          <w:szCs w:val="24"/>
        </w:rPr>
        <w:t>.</w:t>
      </w:r>
    </w:p>
    <w:p w14:paraId="4059339E" w14:textId="77777777" w:rsidR="00E660AB" w:rsidRDefault="000E578D" w:rsidP="000E578D">
      <w:pPr>
        <w:pStyle w:val="PargrafodaLista"/>
        <w:numPr>
          <w:ilvl w:val="0"/>
          <w:numId w:val="1"/>
        </w:numPr>
        <w:spacing w:line="360" w:lineRule="auto"/>
        <w:ind w:left="357" w:firstLine="357"/>
        <w:jc w:val="both"/>
        <w:rPr>
          <w:rFonts w:ascii="Times New Roman" w:hAnsi="Times New Roman" w:cs="Times New Roman"/>
          <w:sz w:val="24"/>
          <w:szCs w:val="24"/>
        </w:rPr>
      </w:pPr>
      <w:r w:rsidRPr="00E660AB">
        <w:rPr>
          <w:rFonts w:ascii="Times New Roman" w:hAnsi="Times New Roman" w:cs="Times New Roman"/>
          <w:sz w:val="24"/>
          <w:szCs w:val="24"/>
        </w:rPr>
        <w:t xml:space="preserve">A Requerente exerceu o contraditório, tendo pugnado pela improcedência das exceções e pela inadmissibilidade da reconvenção. </w:t>
      </w:r>
    </w:p>
    <w:p w14:paraId="6ADF6AF6" w14:textId="77777777" w:rsidR="00E660AB" w:rsidRDefault="000E578D" w:rsidP="000E578D">
      <w:pPr>
        <w:pStyle w:val="PargrafodaLista"/>
        <w:numPr>
          <w:ilvl w:val="0"/>
          <w:numId w:val="1"/>
        </w:numPr>
        <w:spacing w:line="360" w:lineRule="auto"/>
        <w:ind w:left="357" w:firstLine="357"/>
        <w:jc w:val="both"/>
        <w:rPr>
          <w:rFonts w:ascii="Times New Roman" w:hAnsi="Times New Roman" w:cs="Times New Roman"/>
          <w:sz w:val="24"/>
          <w:szCs w:val="24"/>
        </w:rPr>
      </w:pPr>
      <w:r w:rsidRPr="00E660AB">
        <w:rPr>
          <w:rFonts w:ascii="Times New Roman" w:hAnsi="Times New Roman" w:cs="Times New Roman"/>
          <w:sz w:val="24"/>
          <w:szCs w:val="24"/>
        </w:rPr>
        <w:t xml:space="preserve">Foi proferida decisão que não admitiu </w:t>
      </w:r>
      <w:r w:rsidR="00E660AB">
        <w:rPr>
          <w:rFonts w:ascii="Times New Roman" w:hAnsi="Times New Roman" w:cs="Times New Roman"/>
          <w:sz w:val="24"/>
          <w:szCs w:val="24"/>
        </w:rPr>
        <w:t xml:space="preserve">a </w:t>
      </w:r>
      <w:r w:rsidRPr="00E660AB">
        <w:rPr>
          <w:rFonts w:ascii="Times New Roman" w:hAnsi="Times New Roman" w:cs="Times New Roman"/>
          <w:sz w:val="24"/>
          <w:szCs w:val="24"/>
        </w:rPr>
        <w:t>reconvenção e decidiu do mérito da ação</w:t>
      </w:r>
      <w:r w:rsidR="00E660AB">
        <w:rPr>
          <w:rFonts w:ascii="Times New Roman" w:hAnsi="Times New Roman" w:cs="Times New Roman"/>
          <w:sz w:val="24"/>
          <w:szCs w:val="24"/>
        </w:rPr>
        <w:t>,</w:t>
      </w:r>
      <w:r w:rsidRPr="00E660AB">
        <w:rPr>
          <w:rFonts w:ascii="Times New Roman" w:hAnsi="Times New Roman" w:cs="Times New Roman"/>
          <w:sz w:val="24"/>
          <w:szCs w:val="24"/>
        </w:rPr>
        <w:t xml:space="preserve"> concluindo pela improcedência do pedido.</w:t>
      </w:r>
    </w:p>
    <w:p w14:paraId="6F08F7DF" w14:textId="77777777" w:rsidR="00E660AB" w:rsidRDefault="00E660AB" w:rsidP="000E578D">
      <w:pPr>
        <w:pStyle w:val="PargrafodaLista"/>
        <w:numPr>
          <w:ilvl w:val="0"/>
          <w:numId w:val="1"/>
        </w:numPr>
        <w:spacing w:line="360" w:lineRule="auto"/>
        <w:ind w:left="357" w:firstLine="357"/>
        <w:jc w:val="both"/>
        <w:rPr>
          <w:rFonts w:ascii="Times New Roman" w:hAnsi="Times New Roman" w:cs="Times New Roman"/>
          <w:sz w:val="24"/>
          <w:szCs w:val="24"/>
        </w:rPr>
      </w:pPr>
      <w:r>
        <w:rPr>
          <w:rFonts w:ascii="Times New Roman" w:hAnsi="Times New Roman" w:cs="Times New Roman"/>
          <w:sz w:val="24"/>
          <w:szCs w:val="24"/>
        </w:rPr>
        <w:t>Não conformada, a Requerente interpôs recurso de apelação.</w:t>
      </w:r>
    </w:p>
    <w:p w14:paraId="34543BC1" w14:textId="5DA6DE24" w:rsidR="000E578D" w:rsidRDefault="00E660AB" w:rsidP="000E578D">
      <w:pPr>
        <w:pStyle w:val="PargrafodaLista"/>
        <w:numPr>
          <w:ilvl w:val="0"/>
          <w:numId w:val="1"/>
        </w:numPr>
        <w:spacing w:line="360" w:lineRule="auto"/>
        <w:ind w:left="357" w:firstLine="357"/>
        <w:jc w:val="both"/>
        <w:rPr>
          <w:rFonts w:ascii="Times New Roman" w:hAnsi="Times New Roman" w:cs="Times New Roman"/>
          <w:sz w:val="24"/>
          <w:szCs w:val="24"/>
        </w:rPr>
      </w:pPr>
      <w:r>
        <w:rPr>
          <w:rFonts w:ascii="Times New Roman" w:hAnsi="Times New Roman" w:cs="Times New Roman"/>
          <w:sz w:val="24"/>
          <w:szCs w:val="24"/>
        </w:rPr>
        <w:t>Por seu turno, a R</w:t>
      </w:r>
      <w:r w:rsidR="000E578D" w:rsidRPr="00E660AB">
        <w:rPr>
          <w:rFonts w:ascii="Times New Roman" w:hAnsi="Times New Roman" w:cs="Times New Roman"/>
          <w:sz w:val="24"/>
          <w:szCs w:val="24"/>
        </w:rPr>
        <w:t xml:space="preserve">equerida </w:t>
      </w:r>
      <w:r>
        <w:rPr>
          <w:rFonts w:ascii="Times New Roman" w:hAnsi="Times New Roman" w:cs="Times New Roman"/>
          <w:sz w:val="24"/>
          <w:szCs w:val="24"/>
        </w:rPr>
        <w:t xml:space="preserve">também interpôs recurso de apelação que, todavia, </w:t>
      </w:r>
      <w:r w:rsidR="000E578D" w:rsidRPr="00E660AB">
        <w:rPr>
          <w:rFonts w:ascii="Times New Roman" w:hAnsi="Times New Roman" w:cs="Times New Roman"/>
          <w:sz w:val="24"/>
          <w:szCs w:val="24"/>
        </w:rPr>
        <w:t>não foi admitido.</w:t>
      </w:r>
    </w:p>
    <w:p w14:paraId="65A4E703" w14:textId="529D6C06" w:rsidR="000C4C0B" w:rsidRDefault="000C4C0B" w:rsidP="000E578D">
      <w:pPr>
        <w:pStyle w:val="PargrafodaLista"/>
        <w:numPr>
          <w:ilvl w:val="0"/>
          <w:numId w:val="1"/>
        </w:numPr>
        <w:spacing w:line="360" w:lineRule="auto"/>
        <w:ind w:left="357" w:firstLine="357"/>
        <w:jc w:val="both"/>
        <w:rPr>
          <w:rFonts w:ascii="Times New Roman" w:hAnsi="Times New Roman" w:cs="Times New Roman"/>
          <w:sz w:val="24"/>
          <w:szCs w:val="24"/>
        </w:rPr>
      </w:pPr>
      <w:r>
        <w:rPr>
          <w:rFonts w:ascii="Times New Roman" w:hAnsi="Times New Roman" w:cs="Times New Roman"/>
          <w:sz w:val="24"/>
          <w:szCs w:val="24"/>
        </w:rPr>
        <w:t>Por acórdão, o Tribunal da Relação de</w:t>
      </w:r>
      <w:r w:rsidR="00626239">
        <w:rPr>
          <w:rFonts w:ascii="Times New Roman" w:hAnsi="Times New Roman" w:cs="Times New Roman"/>
          <w:sz w:val="24"/>
          <w:szCs w:val="24"/>
        </w:rPr>
        <w:t xml:space="preserve"> Lisboa d</w:t>
      </w:r>
      <w:r>
        <w:rPr>
          <w:rFonts w:ascii="Times New Roman" w:hAnsi="Times New Roman" w:cs="Times New Roman"/>
          <w:sz w:val="24"/>
          <w:szCs w:val="24"/>
        </w:rPr>
        <w:t>ecidiu o seguinte:</w:t>
      </w:r>
    </w:p>
    <w:p w14:paraId="61E368E7" w14:textId="25D114AA" w:rsidR="000C4C0B" w:rsidRDefault="000C4C0B" w:rsidP="000C4C0B">
      <w:pPr>
        <w:pStyle w:val="PargrafodaLista"/>
        <w:spacing w:line="240" w:lineRule="auto"/>
        <w:ind w:left="714"/>
        <w:jc w:val="both"/>
        <w:rPr>
          <w:rFonts w:ascii="Times New Roman" w:hAnsi="Times New Roman" w:cs="Times New Roman"/>
          <w:sz w:val="24"/>
          <w:szCs w:val="24"/>
        </w:rPr>
      </w:pPr>
      <w:r>
        <w:rPr>
          <w:rFonts w:ascii="Times New Roman" w:hAnsi="Times New Roman" w:cs="Times New Roman"/>
          <w:sz w:val="24"/>
          <w:szCs w:val="24"/>
        </w:rPr>
        <w:t>“</w:t>
      </w:r>
      <w:r w:rsidRPr="000C4C0B">
        <w:rPr>
          <w:rFonts w:ascii="Times New Roman" w:hAnsi="Times New Roman" w:cs="Times New Roman"/>
          <w:i/>
          <w:iCs/>
          <w:sz w:val="20"/>
          <w:szCs w:val="20"/>
        </w:rPr>
        <w:t>Pelo exposto acorda-se em julgar a apelação procedente revogando-se a decisão recorrida e julgando-se improcedente a oposição ao pedido de despejo</w:t>
      </w:r>
      <w:r w:rsidRPr="000E578D">
        <w:rPr>
          <w:rFonts w:ascii="Times New Roman" w:hAnsi="Times New Roman" w:cs="Times New Roman"/>
          <w:sz w:val="24"/>
          <w:szCs w:val="24"/>
        </w:rPr>
        <w:t>.</w:t>
      </w:r>
      <w:r>
        <w:rPr>
          <w:rFonts w:ascii="Times New Roman" w:hAnsi="Times New Roman" w:cs="Times New Roman"/>
          <w:sz w:val="24"/>
          <w:szCs w:val="24"/>
        </w:rPr>
        <w:t>”</w:t>
      </w:r>
    </w:p>
    <w:p w14:paraId="61128C22" w14:textId="7C4615B7" w:rsidR="00AA45D1" w:rsidRDefault="00AA45D1" w:rsidP="00AA45D1">
      <w:pPr>
        <w:pStyle w:val="Pargrafoda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Não conformada, a Requerida </w:t>
      </w:r>
      <w:proofErr w:type="spellStart"/>
      <w:r w:rsidRPr="000E578D">
        <w:rPr>
          <w:rFonts w:ascii="Times New Roman" w:hAnsi="Times New Roman" w:cs="Times New Roman"/>
          <w:b/>
          <w:smallCaps/>
          <w:sz w:val="24"/>
          <w:szCs w:val="24"/>
        </w:rPr>
        <w:t>Gerex</w:t>
      </w:r>
      <w:proofErr w:type="spellEnd"/>
      <w:r w:rsidRPr="000E578D">
        <w:rPr>
          <w:rFonts w:ascii="Times New Roman" w:hAnsi="Times New Roman" w:cs="Times New Roman"/>
          <w:b/>
          <w:smallCaps/>
          <w:sz w:val="24"/>
          <w:szCs w:val="24"/>
        </w:rPr>
        <w:t xml:space="preserve"> - Gabinete de Gestão Industrial e Comercial, Lda</w:t>
      </w:r>
      <w:r>
        <w:rPr>
          <w:rFonts w:ascii="Times New Roman" w:hAnsi="Times New Roman" w:cs="Times New Roman"/>
          <w:b/>
          <w:smallCaps/>
          <w:sz w:val="24"/>
          <w:szCs w:val="24"/>
        </w:rPr>
        <w:t>.,</w:t>
      </w:r>
      <w:r w:rsidR="00861BD7">
        <w:rPr>
          <w:rFonts w:ascii="Times New Roman" w:hAnsi="Times New Roman" w:cs="Times New Roman"/>
          <w:b/>
          <w:smallCaps/>
          <w:sz w:val="24"/>
          <w:szCs w:val="24"/>
        </w:rPr>
        <w:t xml:space="preserve"> </w:t>
      </w:r>
      <w:r>
        <w:rPr>
          <w:rFonts w:ascii="Times New Roman" w:hAnsi="Times New Roman" w:cs="Times New Roman"/>
          <w:sz w:val="24"/>
          <w:szCs w:val="24"/>
        </w:rPr>
        <w:t xml:space="preserve">interpôs recurso de revista, apresentando as seguintes </w:t>
      </w:r>
      <w:r w:rsidRPr="00AA45D1">
        <w:rPr>
          <w:rFonts w:ascii="Times New Roman" w:hAnsi="Times New Roman" w:cs="Times New Roman"/>
          <w:b/>
          <w:bCs/>
          <w:smallCaps/>
          <w:sz w:val="24"/>
          <w:szCs w:val="24"/>
        </w:rPr>
        <w:t>Conclusões</w:t>
      </w:r>
      <w:r>
        <w:rPr>
          <w:rFonts w:ascii="Times New Roman" w:hAnsi="Times New Roman" w:cs="Times New Roman"/>
          <w:sz w:val="24"/>
          <w:szCs w:val="24"/>
        </w:rPr>
        <w:t>:</w:t>
      </w:r>
    </w:p>
    <w:p w14:paraId="743AC62D" w14:textId="77777777" w:rsidR="00AA45D1" w:rsidRPr="00AA45D1" w:rsidRDefault="00AA45D1" w:rsidP="00AA45D1">
      <w:pPr>
        <w:pStyle w:val="PargrafodaLista"/>
        <w:spacing w:line="240" w:lineRule="auto"/>
        <w:jc w:val="both"/>
        <w:rPr>
          <w:rFonts w:ascii="Times New Roman" w:hAnsi="Times New Roman" w:cs="Times New Roman"/>
          <w:i/>
          <w:iCs/>
          <w:sz w:val="20"/>
          <w:szCs w:val="20"/>
        </w:rPr>
      </w:pPr>
      <w:r>
        <w:rPr>
          <w:rFonts w:ascii="Times New Roman" w:hAnsi="Times New Roman" w:cs="Times New Roman"/>
          <w:sz w:val="24"/>
          <w:szCs w:val="24"/>
        </w:rPr>
        <w:t>“</w:t>
      </w:r>
      <w:r w:rsidRPr="00AA45D1">
        <w:rPr>
          <w:rFonts w:ascii="Times New Roman" w:hAnsi="Times New Roman" w:cs="Times New Roman"/>
          <w:i/>
          <w:iCs/>
          <w:sz w:val="20"/>
          <w:szCs w:val="20"/>
        </w:rPr>
        <w:t>1) Para formalizar o aditamento de um contrato são necessárias as mesmas formalidades legais atribuídas ao contrato original, pelo que não constitui argumento decisivo para a questão de saber se o documento celebrado em 19 de dezembro de 1997 constitui um contrato novo ou um aditamento do anterior o facto de aquele ter sido celebrado por escritura pública (forma legal a que obrigatoriamente estavam sujeitos quaisquer dos atos àquela data).</w:t>
      </w:r>
    </w:p>
    <w:p w14:paraId="1B9B489C" w14:textId="210EB341" w:rsidR="00AA45D1" w:rsidRPr="00AA45D1" w:rsidRDefault="00AA45D1" w:rsidP="00AA45D1">
      <w:pPr>
        <w:pStyle w:val="PargrafodaLista"/>
        <w:spacing w:line="240" w:lineRule="auto"/>
        <w:jc w:val="both"/>
        <w:rPr>
          <w:rFonts w:ascii="Times New Roman" w:hAnsi="Times New Roman" w:cs="Times New Roman"/>
          <w:i/>
          <w:iCs/>
          <w:sz w:val="20"/>
          <w:szCs w:val="20"/>
        </w:rPr>
      </w:pPr>
      <w:r w:rsidRPr="00AA45D1">
        <w:rPr>
          <w:rFonts w:ascii="Times New Roman" w:hAnsi="Times New Roman" w:cs="Times New Roman"/>
          <w:i/>
          <w:iCs/>
          <w:sz w:val="20"/>
          <w:szCs w:val="20"/>
        </w:rPr>
        <w:t>2) O facto de o documento celebrado em 19 de dezembro de 1997 não ter feito referência ao documento celebrado em 15 de junho de 1989, revogando-o expressamente, leva à conclusão de que as partes não quiseram revogar, dando sem efeito, o contrato original que vinha já desde 1989.</w:t>
      </w:r>
    </w:p>
    <w:p w14:paraId="7F792876" w14:textId="6A1B465E" w:rsidR="00AA45D1" w:rsidRPr="00AA45D1" w:rsidRDefault="00AA45D1" w:rsidP="00AA45D1">
      <w:pPr>
        <w:pStyle w:val="PargrafodaLista"/>
        <w:spacing w:line="240" w:lineRule="auto"/>
        <w:jc w:val="both"/>
        <w:rPr>
          <w:rFonts w:ascii="Times New Roman" w:hAnsi="Times New Roman" w:cs="Times New Roman"/>
          <w:i/>
          <w:iCs/>
          <w:sz w:val="20"/>
          <w:szCs w:val="20"/>
        </w:rPr>
      </w:pPr>
      <w:r w:rsidRPr="00AA45D1">
        <w:rPr>
          <w:rFonts w:ascii="Times New Roman" w:hAnsi="Times New Roman" w:cs="Times New Roman"/>
          <w:i/>
          <w:iCs/>
          <w:sz w:val="20"/>
          <w:szCs w:val="20"/>
        </w:rPr>
        <w:t>3) Não constando a vontade de revogar o contrato original expressamente prevista no documento celebrado em 19 de dezembro de 1997, haverá que atender às regras normais em termos de interpretação das declarações negociais que, nos negócios jurídicos formais dispõem que não pode ser aceite como válida qualquer interpretação que não tenha no texto escrito um mínimo de correspondência (</w:t>
      </w:r>
      <w:proofErr w:type="spellStart"/>
      <w:r w:rsidRPr="00AA45D1">
        <w:rPr>
          <w:rFonts w:ascii="Times New Roman" w:hAnsi="Times New Roman" w:cs="Times New Roman"/>
          <w:i/>
          <w:iCs/>
          <w:sz w:val="20"/>
          <w:szCs w:val="20"/>
        </w:rPr>
        <w:t>cfr</w:t>
      </w:r>
      <w:proofErr w:type="spellEnd"/>
      <w:r w:rsidRPr="00AA45D1">
        <w:rPr>
          <w:rFonts w:ascii="Times New Roman" w:hAnsi="Times New Roman" w:cs="Times New Roman"/>
          <w:i/>
          <w:iCs/>
          <w:sz w:val="20"/>
          <w:szCs w:val="20"/>
        </w:rPr>
        <w:t>. art.º 238º do C.C.).</w:t>
      </w:r>
    </w:p>
    <w:p w14:paraId="45C9D1B5" w14:textId="199C8709" w:rsidR="00AA45D1" w:rsidRPr="00AA45D1" w:rsidRDefault="00AA45D1" w:rsidP="00AA45D1">
      <w:pPr>
        <w:pStyle w:val="PargrafodaLista"/>
        <w:spacing w:line="240" w:lineRule="auto"/>
        <w:jc w:val="both"/>
        <w:rPr>
          <w:rFonts w:ascii="Times New Roman" w:hAnsi="Times New Roman" w:cs="Times New Roman"/>
          <w:i/>
          <w:iCs/>
          <w:sz w:val="20"/>
          <w:szCs w:val="20"/>
        </w:rPr>
      </w:pPr>
      <w:r w:rsidRPr="00AA45D1">
        <w:rPr>
          <w:rFonts w:ascii="Times New Roman" w:hAnsi="Times New Roman" w:cs="Times New Roman"/>
          <w:i/>
          <w:iCs/>
          <w:sz w:val="20"/>
          <w:szCs w:val="20"/>
        </w:rPr>
        <w:t>4) A Recorrida não fez referência, nem juntou, qualquer documento subscrito pelas partes a dar expressamente por revogado o contrato anterior.</w:t>
      </w:r>
    </w:p>
    <w:p w14:paraId="7306B879" w14:textId="599513D1" w:rsidR="00AA45D1" w:rsidRPr="00AA45D1" w:rsidRDefault="00AA45D1" w:rsidP="00AA45D1">
      <w:pPr>
        <w:pStyle w:val="PargrafodaLista"/>
        <w:spacing w:line="240" w:lineRule="auto"/>
        <w:jc w:val="both"/>
        <w:rPr>
          <w:rFonts w:ascii="Times New Roman" w:hAnsi="Times New Roman" w:cs="Times New Roman"/>
          <w:i/>
          <w:iCs/>
          <w:sz w:val="20"/>
          <w:szCs w:val="20"/>
        </w:rPr>
      </w:pPr>
      <w:r w:rsidRPr="00AA45D1">
        <w:rPr>
          <w:rFonts w:ascii="Times New Roman" w:hAnsi="Times New Roman" w:cs="Times New Roman"/>
          <w:i/>
          <w:iCs/>
          <w:sz w:val="20"/>
          <w:szCs w:val="20"/>
        </w:rPr>
        <w:t>5) As regras estabelecidas no documento celebrado em 19 de dezembro de 1997 são, na sua quase totalidade, coincidentes com as estabelecidas no documento celebrado em 15 de junho de 1989.</w:t>
      </w:r>
    </w:p>
    <w:p w14:paraId="277ACDDC" w14:textId="5A68C235" w:rsidR="00AA45D1" w:rsidRPr="00AA45D1" w:rsidRDefault="00AA45D1" w:rsidP="00AA45D1">
      <w:pPr>
        <w:pStyle w:val="PargrafodaLista"/>
        <w:spacing w:line="240" w:lineRule="auto"/>
        <w:jc w:val="both"/>
        <w:rPr>
          <w:rFonts w:ascii="Times New Roman" w:hAnsi="Times New Roman" w:cs="Times New Roman"/>
          <w:i/>
          <w:iCs/>
          <w:sz w:val="20"/>
          <w:szCs w:val="20"/>
        </w:rPr>
      </w:pPr>
      <w:r w:rsidRPr="00AA45D1">
        <w:rPr>
          <w:rFonts w:ascii="Times New Roman" w:hAnsi="Times New Roman" w:cs="Times New Roman"/>
          <w:i/>
          <w:iCs/>
          <w:sz w:val="20"/>
          <w:szCs w:val="20"/>
        </w:rPr>
        <w:t xml:space="preserve">6) Um aditamento a um contrato constitui, precisamente, a alteração de um contrato original, o qual, com as novas alterações, passa a constituir um contrato único, </w:t>
      </w:r>
      <w:proofErr w:type="spellStart"/>
      <w:r w:rsidRPr="00AA45D1">
        <w:rPr>
          <w:rFonts w:ascii="Times New Roman" w:hAnsi="Times New Roman" w:cs="Times New Roman"/>
          <w:i/>
          <w:iCs/>
          <w:sz w:val="20"/>
          <w:szCs w:val="20"/>
        </w:rPr>
        <w:t>titulador</w:t>
      </w:r>
      <w:proofErr w:type="spellEnd"/>
      <w:r w:rsidRPr="00AA45D1">
        <w:rPr>
          <w:rFonts w:ascii="Times New Roman" w:hAnsi="Times New Roman" w:cs="Times New Roman"/>
          <w:i/>
          <w:iCs/>
          <w:sz w:val="20"/>
          <w:szCs w:val="20"/>
        </w:rPr>
        <w:t xml:space="preserve"> do mesmo e único negócio jurídico, o que manifestamente ocorre na situação dos autos.</w:t>
      </w:r>
    </w:p>
    <w:p w14:paraId="7F4393A4" w14:textId="71940765" w:rsidR="00AA45D1" w:rsidRPr="00AA45D1" w:rsidRDefault="00AA45D1" w:rsidP="003C019A">
      <w:pPr>
        <w:pStyle w:val="PargrafodaLista"/>
        <w:spacing w:line="240" w:lineRule="auto"/>
        <w:jc w:val="both"/>
        <w:rPr>
          <w:rFonts w:ascii="Times New Roman" w:hAnsi="Times New Roman" w:cs="Times New Roman"/>
          <w:i/>
          <w:iCs/>
          <w:sz w:val="20"/>
          <w:szCs w:val="20"/>
        </w:rPr>
      </w:pPr>
      <w:r w:rsidRPr="00AA45D1">
        <w:rPr>
          <w:rFonts w:ascii="Times New Roman" w:hAnsi="Times New Roman" w:cs="Times New Roman"/>
          <w:i/>
          <w:iCs/>
          <w:sz w:val="20"/>
          <w:szCs w:val="20"/>
        </w:rPr>
        <w:t>7) O facto de a relação contratual, após a alteração consubstanciada no documento</w:t>
      </w:r>
      <w:r w:rsidR="003C019A">
        <w:rPr>
          <w:rFonts w:ascii="Times New Roman" w:hAnsi="Times New Roman" w:cs="Times New Roman"/>
          <w:i/>
          <w:iCs/>
          <w:sz w:val="20"/>
          <w:szCs w:val="20"/>
        </w:rPr>
        <w:t xml:space="preserve"> </w:t>
      </w:r>
      <w:r w:rsidRPr="00AA45D1">
        <w:rPr>
          <w:rFonts w:ascii="Times New Roman" w:hAnsi="Times New Roman" w:cs="Times New Roman"/>
          <w:i/>
          <w:iCs/>
          <w:sz w:val="20"/>
          <w:szCs w:val="20"/>
        </w:rPr>
        <w:t>celebrado em 19 de dezembro de 1997, ter mantido o mesmo núcleo essencial, sendo apenas alterados elementos acidentais ou acessórios (integração do lugar de estacionamento no contrato de arrendamento, o qual já fazia parte do locado, embora a título gratuito, e a introdução de uma cláusula sobre benfeitorias), significa que tais alterações não têm a virtualidade de transformar o negócio jurídico, que se manteve sem interrupções, num novo e diferente contrato.</w:t>
      </w:r>
    </w:p>
    <w:p w14:paraId="12F98E26" w14:textId="67EF7BD2" w:rsidR="00AA45D1" w:rsidRPr="00AA45D1" w:rsidRDefault="00AA45D1" w:rsidP="00AA45D1">
      <w:pPr>
        <w:pStyle w:val="PargrafodaLista"/>
        <w:spacing w:line="240" w:lineRule="auto"/>
        <w:jc w:val="both"/>
        <w:rPr>
          <w:rFonts w:ascii="Times New Roman" w:hAnsi="Times New Roman" w:cs="Times New Roman"/>
          <w:i/>
          <w:iCs/>
          <w:sz w:val="20"/>
          <w:szCs w:val="20"/>
        </w:rPr>
      </w:pPr>
      <w:r w:rsidRPr="00AA45D1">
        <w:rPr>
          <w:rFonts w:ascii="Times New Roman" w:hAnsi="Times New Roman" w:cs="Times New Roman"/>
          <w:i/>
          <w:iCs/>
          <w:sz w:val="20"/>
          <w:szCs w:val="20"/>
        </w:rPr>
        <w:t>8) Para apurar se subjacente à celebração do documento celebrado em 19 de dezembro de 1997está a intenção das partes de celebrar um novo contrato ou de modificar o anterior, deve o Julgador verificar se o negócio assim transformado se apresenta economicamente como uma relação completamente diferente da anterior, chamando à colação a distinção entre os elementos essenciais do negócio, e aqueles que são acessórios ou meramente acidentais.</w:t>
      </w:r>
    </w:p>
    <w:p w14:paraId="314B66BB" w14:textId="3D6D82F5" w:rsidR="00AA45D1" w:rsidRPr="00AA45D1" w:rsidRDefault="00AA45D1" w:rsidP="00AA45D1">
      <w:pPr>
        <w:pStyle w:val="PargrafodaLista"/>
        <w:spacing w:line="240" w:lineRule="auto"/>
        <w:jc w:val="both"/>
        <w:rPr>
          <w:rFonts w:ascii="Times New Roman" w:hAnsi="Times New Roman" w:cs="Times New Roman"/>
          <w:i/>
          <w:iCs/>
          <w:sz w:val="20"/>
          <w:szCs w:val="20"/>
        </w:rPr>
      </w:pPr>
      <w:r w:rsidRPr="00AA45D1">
        <w:rPr>
          <w:rFonts w:ascii="Times New Roman" w:hAnsi="Times New Roman" w:cs="Times New Roman"/>
          <w:i/>
          <w:iCs/>
          <w:sz w:val="20"/>
          <w:szCs w:val="20"/>
        </w:rPr>
        <w:t>9) Conforme decorre do simples confronto entre os dois documentos em apreciação, dúvidas não existem de que o documento celebrado em 19 de dezembro de 1997 se apresenta economicamente como a mesma relação jurídica decorrente do documento celebrado em 15 de junho de 1989, o que leva à conclusão de que aquele constitui uma mera modificação do contrato original, e não consubstanciou um novo contrato, ao contrário da qualificação que dele erroneamente fez o Acórdão recorrido.</w:t>
      </w:r>
    </w:p>
    <w:p w14:paraId="679341D9" w14:textId="0C955CCA" w:rsidR="00AA45D1" w:rsidRPr="00AA45D1" w:rsidRDefault="00AA45D1" w:rsidP="00AA45D1">
      <w:pPr>
        <w:pStyle w:val="PargrafodaLista"/>
        <w:spacing w:line="240" w:lineRule="auto"/>
        <w:jc w:val="both"/>
        <w:rPr>
          <w:rFonts w:ascii="Times New Roman" w:hAnsi="Times New Roman" w:cs="Times New Roman"/>
          <w:i/>
          <w:iCs/>
          <w:sz w:val="20"/>
          <w:szCs w:val="20"/>
        </w:rPr>
      </w:pPr>
      <w:r w:rsidRPr="00AA45D1">
        <w:rPr>
          <w:rFonts w:ascii="Times New Roman" w:hAnsi="Times New Roman" w:cs="Times New Roman"/>
          <w:i/>
          <w:iCs/>
          <w:sz w:val="20"/>
          <w:szCs w:val="20"/>
        </w:rPr>
        <w:t>10) Em ambos os documentos, o período contratual decorre do dia 1 de janeiro ao dia 31 de dezembro, sendo que o dia 1 de janeiro de 1998 que consta como data de início do contrato no documento celebrado em 19 de dezembro de 1997 coincide, precisamente, com o início de um novo período contratual após a renovação automática que já se impunha nos termos previstos no contrato original.</w:t>
      </w:r>
    </w:p>
    <w:p w14:paraId="6822D78A" w14:textId="4725DEDD" w:rsidR="00AA45D1" w:rsidRPr="00AA45D1" w:rsidRDefault="00AA45D1" w:rsidP="00AA45D1">
      <w:pPr>
        <w:pStyle w:val="PargrafodaLista"/>
        <w:spacing w:line="240" w:lineRule="auto"/>
        <w:jc w:val="both"/>
        <w:rPr>
          <w:rFonts w:ascii="Times New Roman" w:hAnsi="Times New Roman" w:cs="Times New Roman"/>
          <w:i/>
          <w:iCs/>
          <w:sz w:val="20"/>
          <w:szCs w:val="20"/>
        </w:rPr>
      </w:pPr>
      <w:r w:rsidRPr="00AA45D1">
        <w:rPr>
          <w:rFonts w:ascii="Times New Roman" w:hAnsi="Times New Roman" w:cs="Times New Roman"/>
          <w:i/>
          <w:iCs/>
          <w:sz w:val="20"/>
          <w:szCs w:val="20"/>
        </w:rPr>
        <w:t>11) O facto de não ter ocorrido nenhuma interrupção entre a vigência do contrato original e a data de produção de efeitos do documento celebrado em 19 de dezembro de 1997 é mais um argumento a favor da qualificação deste último documento como mera modificação ou alteração contratual, e não como um novo contrato.</w:t>
      </w:r>
    </w:p>
    <w:p w14:paraId="570D1506" w14:textId="44EF06AC" w:rsidR="00AA45D1" w:rsidRPr="00AA45D1" w:rsidRDefault="00AA45D1" w:rsidP="00AA45D1">
      <w:pPr>
        <w:pStyle w:val="PargrafodaLista"/>
        <w:spacing w:line="240" w:lineRule="auto"/>
        <w:jc w:val="both"/>
        <w:rPr>
          <w:rFonts w:ascii="Times New Roman" w:hAnsi="Times New Roman" w:cs="Times New Roman"/>
          <w:i/>
          <w:iCs/>
          <w:sz w:val="20"/>
          <w:szCs w:val="20"/>
        </w:rPr>
      </w:pPr>
      <w:r w:rsidRPr="00AA45D1">
        <w:rPr>
          <w:rFonts w:ascii="Times New Roman" w:hAnsi="Times New Roman" w:cs="Times New Roman"/>
          <w:i/>
          <w:iCs/>
          <w:sz w:val="20"/>
          <w:szCs w:val="20"/>
        </w:rPr>
        <w:t>12) O Acórdão recorrido violou designadamente o disposto no artigo 238.º do Código Civil, pelo que carece de ser revogado e substituída por outro que decida pela qualificação de ambos os documentos como um único e o mesmo contrato, daí decorrendo as correspondentes consequências jurídicas.</w:t>
      </w:r>
    </w:p>
    <w:p w14:paraId="6EACF55A" w14:textId="3714DF30" w:rsidR="00AA45D1" w:rsidRPr="00AA45D1" w:rsidRDefault="00AA45D1" w:rsidP="00AA45D1">
      <w:pPr>
        <w:pStyle w:val="PargrafodaLista"/>
        <w:spacing w:line="240" w:lineRule="auto"/>
        <w:jc w:val="both"/>
        <w:rPr>
          <w:rFonts w:ascii="Times New Roman" w:hAnsi="Times New Roman" w:cs="Times New Roman"/>
          <w:i/>
          <w:iCs/>
          <w:sz w:val="20"/>
          <w:szCs w:val="20"/>
        </w:rPr>
      </w:pPr>
      <w:r w:rsidRPr="00AA45D1">
        <w:rPr>
          <w:rFonts w:ascii="Times New Roman" w:hAnsi="Times New Roman" w:cs="Times New Roman"/>
          <w:i/>
          <w:iCs/>
          <w:sz w:val="20"/>
          <w:szCs w:val="20"/>
        </w:rPr>
        <w:lastRenderedPageBreak/>
        <w:t xml:space="preserve">13) Se no decurso de um prazo ao abrigo de uma lei antiga e antes daquele terminar se iniciou a vigência de uma nova lei que o alargou, nos termos do disposto no artigo 297.º, </w:t>
      </w:r>
      <w:proofErr w:type="spellStart"/>
      <w:r w:rsidRPr="00AA45D1">
        <w:rPr>
          <w:rFonts w:ascii="Times New Roman" w:hAnsi="Times New Roman" w:cs="Times New Roman"/>
          <w:i/>
          <w:iCs/>
          <w:sz w:val="20"/>
          <w:szCs w:val="20"/>
        </w:rPr>
        <w:t>n.o</w:t>
      </w:r>
      <w:proofErr w:type="spellEnd"/>
      <w:r w:rsidRPr="00AA45D1">
        <w:rPr>
          <w:rFonts w:ascii="Times New Roman" w:hAnsi="Times New Roman" w:cs="Times New Roman"/>
          <w:i/>
          <w:iCs/>
          <w:sz w:val="20"/>
          <w:szCs w:val="20"/>
        </w:rPr>
        <w:t xml:space="preserve"> 2, do Código Civil será este novo prazo o aplicável, contando-se, todavia, o prazo entretanto já decorrido.</w:t>
      </w:r>
    </w:p>
    <w:p w14:paraId="178F3201" w14:textId="6ACF0B99" w:rsidR="00AA45D1" w:rsidRPr="00AA45D1" w:rsidRDefault="00AA45D1" w:rsidP="00AA45D1">
      <w:pPr>
        <w:pStyle w:val="PargrafodaLista"/>
        <w:spacing w:line="240" w:lineRule="auto"/>
        <w:jc w:val="both"/>
        <w:rPr>
          <w:rFonts w:ascii="Times New Roman" w:hAnsi="Times New Roman" w:cs="Times New Roman"/>
          <w:i/>
          <w:iCs/>
          <w:sz w:val="20"/>
          <w:szCs w:val="20"/>
        </w:rPr>
      </w:pPr>
      <w:r w:rsidRPr="00AA45D1">
        <w:rPr>
          <w:rFonts w:ascii="Times New Roman" w:hAnsi="Times New Roman" w:cs="Times New Roman"/>
          <w:i/>
          <w:iCs/>
          <w:sz w:val="20"/>
          <w:szCs w:val="20"/>
        </w:rPr>
        <w:t>14) Apenas com o decurso global do prazo o valor de um facto constitutivo de um direito se consolida na ordem jurídica.</w:t>
      </w:r>
    </w:p>
    <w:p w14:paraId="4BB21411" w14:textId="790297DE" w:rsidR="00AA45D1" w:rsidRPr="00AA45D1" w:rsidRDefault="00AA45D1" w:rsidP="00AA45D1">
      <w:pPr>
        <w:pStyle w:val="PargrafodaLista"/>
        <w:spacing w:line="240" w:lineRule="auto"/>
        <w:jc w:val="both"/>
        <w:rPr>
          <w:rFonts w:ascii="Times New Roman" w:hAnsi="Times New Roman" w:cs="Times New Roman"/>
          <w:i/>
          <w:iCs/>
          <w:sz w:val="20"/>
          <w:szCs w:val="20"/>
        </w:rPr>
      </w:pPr>
      <w:r w:rsidRPr="00AA45D1">
        <w:rPr>
          <w:rFonts w:ascii="Times New Roman" w:hAnsi="Times New Roman" w:cs="Times New Roman"/>
          <w:i/>
          <w:iCs/>
          <w:sz w:val="20"/>
          <w:szCs w:val="20"/>
        </w:rPr>
        <w:t>15) Quando se dá a alteração de uma lei enquanto uma situação jurídica está em curso de constituição, passa o respetivo processo constitutivo a ficar imediatamente subordinado à lei nova, e isto porque é na vigência da lei nova que a constituição (ou seja, o facto constitutivo completo) se vem a verificar.</w:t>
      </w:r>
    </w:p>
    <w:p w14:paraId="429AC863" w14:textId="704661F0" w:rsidR="00AA45D1" w:rsidRPr="00AA45D1" w:rsidRDefault="00AA45D1" w:rsidP="00AA45D1">
      <w:pPr>
        <w:pStyle w:val="PargrafodaLista"/>
        <w:spacing w:line="240" w:lineRule="auto"/>
        <w:jc w:val="both"/>
        <w:rPr>
          <w:rFonts w:ascii="Times New Roman" w:hAnsi="Times New Roman" w:cs="Times New Roman"/>
          <w:i/>
          <w:iCs/>
          <w:sz w:val="20"/>
          <w:szCs w:val="20"/>
        </w:rPr>
      </w:pPr>
      <w:r w:rsidRPr="00AA45D1">
        <w:rPr>
          <w:rFonts w:ascii="Times New Roman" w:hAnsi="Times New Roman" w:cs="Times New Roman"/>
          <w:i/>
          <w:iCs/>
          <w:sz w:val="20"/>
          <w:szCs w:val="20"/>
        </w:rPr>
        <w:t>16) A questão da aplicação retroativa da lei e, eventualmente, do carácter interpretativo ou não da lei nova, apenas será de colocar se, quando da entrada em vigor da lei nova, esteja já esgotado o prazo face à lei antiga.</w:t>
      </w:r>
    </w:p>
    <w:p w14:paraId="1FD67C50" w14:textId="231BCF1B" w:rsidR="00AA45D1" w:rsidRPr="00AA45D1" w:rsidRDefault="00AA45D1" w:rsidP="00AA45D1">
      <w:pPr>
        <w:pStyle w:val="PargrafodaLista"/>
        <w:spacing w:line="240" w:lineRule="auto"/>
        <w:jc w:val="both"/>
        <w:rPr>
          <w:rFonts w:ascii="Times New Roman" w:hAnsi="Times New Roman" w:cs="Times New Roman"/>
          <w:i/>
          <w:iCs/>
          <w:sz w:val="20"/>
          <w:szCs w:val="20"/>
        </w:rPr>
      </w:pPr>
      <w:r w:rsidRPr="00AA45D1">
        <w:rPr>
          <w:rFonts w:ascii="Times New Roman" w:hAnsi="Times New Roman" w:cs="Times New Roman"/>
          <w:i/>
          <w:iCs/>
          <w:sz w:val="20"/>
          <w:szCs w:val="20"/>
        </w:rPr>
        <w:t>17) Dispõe o n.º 2 do artigo 297.º do Código Civil que «a lei que fixar um prazo mais longo é igualmente aplicável aos prazos que já estejam em curso, mas computar-se-á neles todo o tempo decorrido desde o seu momento inicial».</w:t>
      </w:r>
    </w:p>
    <w:p w14:paraId="5AA71D9E" w14:textId="21582878" w:rsidR="00AA45D1" w:rsidRPr="00AA45D1" w:rsidRDefault="00AA45D1" w:rsidP="00AA45D1">
      <w:pPr>
        <w:pStyle w:val="PargrafodaLista"/>
        <w:spacing w:line="240" w:lineRule="auto"/>
        <w:jc w:val="both"/>
        <w:rPr>
          <w:rFonts w:ascii="Times New Roman" w:hAnsi="Times New Roman" w:cs="Times New Roman"/>
          <w:i/>
          <w:iCs/>
          <w:sz w:val="20"/>
          <w:szCs w:val="20"/>
        </w:rPr>
      </w:pPr>
      <w:r w:rsidRPr="00AA45D1">
        <w:rPr>
          <w:rFonts w:ascii="Times New Roman" w:hAnsi="Times New Roman" w:cs="Times New Roman"/>
          <w:i/>
          <w:iCs/>
          <w:sz w:val="20"/>
          <w:szCs w:val="20"/>
        </w:rPr>
        <w:t>18) A alínea c) do artigo 1101.º do Código Civil foi alterada pelo artigo 2.º da Lei n.º 13/2019, de 12 de fevereiro, que entrou em vigor no dia 13 de fevereiro de 2019, passando a denúncia do contrato de duração indeterminada pelo senhorio dever observar uma antecedência não inferior a cinco anos (substituindo o anterior prazo que era de dois anos).</w:t>
      </w:r>
    </w:p>
    <w:p w14:paraId="5BE2A577" w14:textId="67E9F4C5" w:rsidR="00AA45D1" w:rsidRPr="00AA45D1" w:rsidRDefault="00AA45D1" w:rsidP="00AA45D1">
      <w:pPr>
        <w:pStyle w:val="PargrafodaLista"/>
        <w:spacing w:line="240" w:lineRule="auto"/>
        <w:jc w:val="both"/>
        <w:rPr>
          <w:rFonts w:ascii="Times New Roman" w:hAnsi="Times New Roman" w:cs="Times New Roman"/>
          <w:i/>
          <w:iCs/>
          <w:sz w:val="20"/>
          <w:szCs w:val="20"/>
        </w:rPr>
      </w:pPr>
      <w:r w:rsidRPr="00AA45D1">
        <w:rPr>
          <w:rFonts w:ascii="Times New Roman" w:hAnsi="Times New Roman" w:cs="Times New Roman"/>
          <w:i/>
          <w:iCs/>
          <w:sz w:val="20"/>
          <w:szCs w:val="20"/>
        </w:rPr>
        <w:t>19) A comunicação de oposição à renovação rececionada pela Recorrente em 29 de junho de 2017 não é – em qualquer circunstância – apta a produzir a cessação do contrato de arrendamento dos autos uma vez que nem sequer havia decorrido à data da instauração do procedimento de despejo pela Recorrida o prazo de cinco anos a que alude a alínea c) do artigo 1101.º do Código Civil.</w:t>
      </w:r>
    </w:p>
    <w:p w14:paraId="73A5EB1D" w14:textId="1D15DD22" w:rsidR="00AA45D1" w:rsidRPr="00AA45D1" w:rsidRDefault="00AA45D1" w:rsidP="00AA45D1">
      <w:pPr>
        <w:pStyle w:val="PargrafodaLista"/>
        <w:spacing w:line="240" w:lineRule="auto"/>
        <w:jc w:val="both"/>
        <w:rPr>
          <w:rFonts w:ascii="Times New Roman" w:hAnsi="Times New Roman" w:cs="Times New Roman"/>
          <w:i/>
          <w:iCs/>
          <w:sz w:val="20"/>
          <w:szCs w:val="20"/>
        </w:rPr>
      </w:pPr>
      <w:r w:rsidRPr="00AA45D1">
        <w:rPr>
          <w:rFonts w:ascii="Times New Roman" w:hAnsi="Times New Roman" w:cs="Times New Roman"/>
          <w:i/>
          <w:iCs/>
          <w:sz w:val="20"/>
          <w:szCs w:val="20"/>
        </w:rPr>
        <w:t xml:space="preserve">20) Para que uma alteração legislativa ponha em causa o princípio da proteção da confiança torna-se necessário que tal alteração constitua uma mutação da ordem jurídica com que, razoavelmente, os destinatários das normas dela constantes não possam contar, e que a mesma não seja ditada pela necessidade de salvaguardar direitos ou interesses constitucionalmente protegidos que devam considerar-se prevalecentes, de acordo com o critério consagrado no artigo 18.º, </w:t>
      </w:r>
      <w:proofErr w:type="spellStart"/>
      <w:r w:rsidRPr="00AA45D1">
        <w:rPr>
          <w:rFonts w:ascii="Times New Roman" w:hAnsi="Times New Roman" w:cs="Times New Roman"/>
          <w:i/>
          <w:iCs/>
          <w:sz w:val="20"/>
          <w:szCs w:val="20"/>
        </w:rPr>
        <w:t>n.o</w:t>
      </w:r>
      <w:proofErr w:type="spellEnd"/>
      <w:r w:rsidRPr="00AA45D1">
        <w:rPr>
          <w:rFonts w:ascii="Times New Roman" w:hAnsi="Times New Roman" w:cs="Times New Roman"/>
          <w:i/>
          <w:iCs/>
          <w:sz w:val="20"/>
          <w:szCs w:val="20"/>
        </w:rPr>
        <w:t xml:space="preserve"> 2, da C.R.P.</w:t>
      </w:r>
    </w:p>
    <w:p w14:paraId="7F718331" w14:textId="71A7A667" w:rsidR="00AA45D1" w:rsidRPr="00AA45D1" w:rsidRDefault="00AA45D1" w:rsidP="00AA45D1">
      <w:pPr>
        <w:pStyle w:val="PargrafodaLista"/>
        <w:spacing w:line="240" w:lineRule="auto"/>
        <w:jc w:val="both"/>
        <w:rPr>
          <w:rFonts w:ascii="Times New Roman" w:hAnsi="Times New Roman" w:cs="Times New Roman"/>
          <w:i/>
          <w:iCs/>
          <w:sz w:val="20"/>
          <w:szCs w:val="20"/>
        </w:rPr>
      </w:pPr>
      <w:r w:rsidRPr="00AA45D1">
        <w:rPr>
          <w:rFonts w:ascii="Times New Roman" w:hAnsi="Times New Roman" w:cs="Times New Roman"/>
          <w:i/>
          <w:iCs/>
          <w:sz w:val="20"/>
          <w:szCs w:val="20"/>
        </w:rPr>
        <w:t>21) A Lei n.º 13/2019, de 12 de fevereiro, que alterou a redação da alínea c) do artigo 1101.º do Código Civil visou, precisamente, introduzir “medidas destinadas a corrigir situações de desequilíbrio entre arrendatários e senhorios, a reforçar a segurança e a estabilidade do arrendamento urbano e a proteger arrendatários em situação de especial fragilidade”.</w:t>
      </w:r>
    </w:p>
    <w:p w14:paraId="6893B0D7" w14:textId="36FF3499" w:rsidR="00AA45D1" w:rsidRPr="00AA45D1" w:rsidRDefault="00AA45D1" w:rsidP="00AA45D1">
      <w:pPr>
        <w:pStyle w:val="PargrafodaLista"/>
        <w:spacing w:line="240" w:lineRule="auto"/>
        <w:jc w:val="both"/>
        <w:rPr>
          <w:rFonts w:ascii="Times New Roman" w:hAnsi="Times New Roman" w:cs="Times New Roman"/>
          <w:i/>
          <w:iCs/>
          <w:sz w:val="20"/>
          <w:szCs w:val="20"/>
        </w:rPr>
      </w:pPr>
      <w:r w:rsidRPr="00AA45D1">
        <w:rPr>
          <w:rFonts w:ascii="Times New Roman" w:hAnsi="Times New Roman" w:cs="Times New Roman"/>
          <w:i/>
          <w:iCs/>
          <w:sz w:val="20"/>
          <w:szCs w:val="20"/>
        </w:rPr>
        <w:t xml:space="preserve">22) Face à contínua modificação das opções legislativas em matéria de arrendamento urbano, não se afigura que a alteração do prazo de denúncia se mostre não expectável para os contraentes de relações </w:t>
      </w:r>
      <w:proofErr w:type="spellStart"/>
      <w:r w:rsidRPr="00AA45D1">
        <w:rPr>
          <w:rFonts w:ascii="Times New Roman" w:hAnsi="Times New Roman" w:cs="Times New Roman"/>
          <w:i/>
          <w:iCs/>
          <w:sz w:val="20"/>
          <w:szCs w:val="20"/>
        </w:rPr>
        <w:t>locatícias</w:t>
      </w:r>
      <w:proofErr w:type="spellEnd"/>
      <w:r w:rsidRPr="00AA45D1">
        <w:rPr>
          <w:rFonts w:ascii="Times New Roman" w:hAnsi="Times New Roman" w:cs="Times New Roman"/>
          <w:i/>
          <w:iCs/>
          <w:sz w:val="20"/>
          <w:szCs w:val="20"/>
        </w:rPr>
        <w:t xml:space="preserve"> que perduram no tempo, como é o caso dos autos.</w:t>
      </w:r>
    </w:p>
    <w:p w14:paraId="259CE66B" w14:textId="3CEABF03" w:rsidR="00AA45D1" w:rsidRPr="00AA45D1" w:rsidRDefault="00AA45D1" w:rsidP="00AA45D1">
      <w:pPr>
        <w:pStyle w:val="PargrafodaLista"/>
        <w:spacing w:line="240" w:lineRule="auto"/>
        <w:jc w:val="both"/>
        <w:rPr>
          <w:rFonts w:ascii="Times New Roman" w:hAnsi="Times New Roman" w:cs="Times New Roman"/>
          <w:i/>
          <w:iCs/>
          <w:sz w:val="20"/>
          <w:szCs w:val="20"/>
        </w:rPr>
      </w:pPr>
      <w:r w:rsidRPr="00AA45D1">
        <w:rPr>
          <w:rFonts w:ascii="Times New Roman" w:hAnsi="Times New Roman" w:cs="Times New Roman"/>
          <w:i/>
          <w:iCs/>
          <w:sz w:val="20"/>
          <w:szCs w:val="20"/>
        </w:rPr>
        <w:t>23) No juízo de ponderação imposto pela proteção da confiança deverá prevalecer, em face do interesse do senhorio em fazer cessar o contrato, o superior interesse de proteção de inquilinos e arrendatários, que em regra se encontram numa situação de maior fragilidade negocial face aos senhorios.</w:t>
      </w:r>
    </w:p>
    <w:p w14:paraId="6835D892" w14:textId="2D6E00C3" w:rsidR="00AA45D1" w:rsidRPr="00AA45D1" w:rsidRDefault="00AA45D1" w:rsidP="00AA45D1">
      <w:pPr>
        <w:pStyle w:val="PargrafodaLista"/>
        <w:spacing w:line="240" w:lineRule="auto"/>
        <w:jc w:val="both"/>
        <w:rPr>
          <w:rFonts w:ascii="Times New Roman" w:hAnsi="Times New Roman" w:cs="Times New Roman"/>
          <w:i/>
          <w:iCs/>
          <w:sz w:val="20"/>
          <w:szCs w:val="20"/>
        </w:rPr>
      </w:pPr>
      <w:r w:rsidRPr="00AA45D1">
        <w:rPr>
          <w:rFonts w:ascii="Times New Roman" w:hAnsi="Times New Roman" w:cs="Times New Roman"/>
          <w:i/>
          <w:iCs/>
          <w:sz w:val="20"/>
          <w:szCs w:val="20"/>
        </w:rPr>
        <w:t>24) O Acórdão recorrido fez uma incorreta interpretação e aplicação do disposto nos artigos 297.º, n.º 2, e 1101.º, alínea c) do Código Civil, e ainda dos princípios da segurança jurídica e da proteção de confiança.</w:t>
      </w:r>
    </w:p>
    <w:p w14:paraId="4ADF080A" w14:textId="743426EB" w:rsidR="00AA45D1" w:rsidRPr="00AA45D1" w:rsidRDefault="00AA45D1" w:rsidP="00AA45D1">
      <w:pPr>
        <w:pStyle w:val="PargrafodaLista"/>
        <w:spacing w:line="240" w:lineRule="auto"/>
        <w:jc w:val="both"/>
        <w:rPr>
          <w:rFonts w:ascii="Times New Roman" w:hAnsi="Times New Roman" w:cs="Times New Roman"/>
          <w:i/>
          <w:iCs/>
          <w:sz w:val="20"/>
          <w:szCs w:val="20"/>
        </w:rPr>
      </w:pPr>
      <w:r w:rsidRPr="00AA45D1">
        <w:rPr>
          <w:rFonts w:ascii="Times New Roman" w:hAnsi="Times New Roman" w:cs="Times New Roman"/>
          <w:i/>
          <w:iCs/>
          <w:sz w:val="20"/>
          <w:szCs w:val="20"/>
        </w:rPr>
        <w:t>Termos em que, nos mais do douto suprimento de Vossas Excelências, que se impetra e requer, deve o presente recurso de revista ser julgado procedente por provado e, em consequência, revogando-se o Acórdão recorrido, ser julgada procedente a oposição ao despejo e improcedente o procedimento especial de despejo e, em consequência, ser a Recorrente absolvida do pedido, com as legais consequências.</w:t>
      </w:r>
    </w:p>
    <w:p w14:paraId="3A7E202A" w14:textId="063604C3" w:rsidR="00AA45D1" w:rsidRPr="00AA45D1" w:rsidRDefault="00AA45D1" w:rsidP="00AA45D1">
      <w:pPr>
        <w:pStyle w:val="PargrafodaLista"/>
        <w:spacing w:line="240" w:lineRule="auto"/>
        <w:jc w:val="both"/>
        <w:rPr>
          <w:rFonts w:ascii="Times New Roman" w:hAnsi="Times New Roman" w:cs="Times New Roman"/>
          <w:i/>
          <w:iCs/>
          <w:sz w:val="20"/>
          <w:szCs w:val="20"/>
        </w:rPr>
      </w:pPr>
      <w:r w:rsidRPr="00AA45D1">
        <w:rPr>
          <w:rFonts w:ascii="Times New Roman" w:hAnsi="Times New Roman" w:cs="Times New Roman"/>
          <w:i/>
          <w:iCs/>
          <w:sz w:val="20"/>
          <w:szCs w:val="20"/>
        </w:rPr>
        <w:t xml:space="preserve">Assim se fará </w:t>
      </w:r>
    </w:p>
    <w:p w14:paraId="34DE709C" w14:textId="5E2CD153" w:rsidR="00AA45D1" w:rsidRPr="00AA45D1" w:rsidRDefault="00AA45D1" w:rsidP="00AA45D1">
      <w:pPr>
        <w:pStyle w:val="PargrafodaLista"/>
        <w:spacing w:line="240" w:lineRule="auto"/>
        <w:jc w:val="both"/>
        <w:rPr>
          <w:rFonts w:ascii="Times New Roman" w:hAnsi="Times New Roman" w:cs="Times New Roman"/>
          <w:sz w:val="24"/>
          <w:szCs w:val="24"/>
        </w:rPr>
      </w:pPr>
      <w:r w:rsidRPr="00AA45D1">
        <w:rPr>
          <w:rFonts w:ascii="Times New Roman" w:hAnsi="Times New Roman" w:cs="Times New Roman"/>
          <w:i/>
          <w:iCs/>
          <w:sz w:val="20"/>
          <w:szCs w:val="20"/>
        </w:rPr>
        <w:t>JUSTIÇA</w:t>
      </w:r>
      <w:r w:rsidRPr="00AA45D1">
        <w:rPr>
          <w:rFonts w:ascii="Times New Roman" w:hAnsi="Times New Roman" w:cs="Times New Roman"/>
          <w:sz w:val="24"/>
          <w:szCs w:val="24"/>
        </w:rPr>
        <w:t>!</w:t>
      </w:r>
      <w:r w:rsidR="00F80AEA">
        <w:rPr>
          <w:rFonts w:ascii="Times New Roman" w:hAnsi="Times New Roman" w:cs="Times New Roman"/>
          <w:sz w:val="24"/>
          <w:szCs w:val="24"/>
        </w:rPr>
        <w:t>”</w:t>
      </w:r>
    </w:p>
    <w:p w14:paraId="1E766DD9" w14:textId="01E2957D" w:rsidR="00114F1A" w:rsidRPr="00114F1A" w:rsidRDefault="00114F1A" w:rsidP="005E1DCD">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 Requerente</w:t>
      </w:r>
      <w:r w:rsidR="005E1DCD">
        <w:rPr>
          <w:rFonts w:ascii="Times New Roman" w:hAnsi="Times New Roman" w:cs="Times New Roman"/>
          <w:sz w:val="24"/>
          <w:szCs w:val="24"/>
        </w:rPr>
        <w:t xml:space="preserve"> </w:t>
      </w:r>
      <w:r w:rsidR="005E1DCD" w:rsidRPr="000E578D">
        <w:rPr>
          <w:rFonts w:ascii="Times New Roman" w:hAnsi="Times New Roman" w:cs="Times New Roman"/>
          <w:b/>
          <w:smallCaps/>
          <w:sz w:val="24"/>
          <w:szCs w:val="24"/>
        </w:rPr>
        <w:t xml:space="preserve">Paradise </w:t>
      </w:r>
      <w:proofErr w:type="spellStart"/>
      <w:r w:rsidR="005E1DCD" w:rsidRPr="000E578D">
        <w:rPr>
          <w:rFonts w:ascii="Times New Roman" w:hAnsi="Times New Roman" w:cs="Times New Roman"/>
          <w:b/>
          <w:smallCaps/>
          <w:sz w:val="24"/>
          <w:szCs w:val="24"/>
        </w:rPr>
        <w:t>Pyramid</w:t>
      </w:r>
      <w:proofErr w:type="spellEnd"/>
      <w:r w:rsidR="005E1DCD" w:rsidRPr="000E578D">
        <w:rPr>
          <w:rFonts w:ascii="Times New Roman" w:hAnsi="Times New Roman" w:cs="Times New Roman"/>
          <w:b/>
          <w:smallCaps/>
          <w:sz w:val="24"/>
          <w:szCs w:val="24"/>
        </w:rPr>
        <w:t>, Lda</w:t>
      </w:r>
      <w:r w:rsidR="005E1DCD">
        <w:rPr>
          <w:rFonts w:ascii="Times New Roman" w:hAnsi="Times New Roman" w:cs="Times New Roman"/>
          <w:sz w:val="24"/>
          <w:szCs w:val="24"/>
        </w:rPr>
        <w:t>.</w:t>
      </w:r>
      <w:r>
        <w:rPr>
          <w:rFonts w:ascii="Times New Roman" w:hAnsi="Times New Roman" w:cs="Times New Roman"/>
          <w:sz w:val="24"/>
          <w:szCs w:val="24"/>
        </w:rPr>
        <w:t xml:space="preserve">, por sua vez, apresentou contra-alegações com as seguinte </w:t>
      </w:r>
      <w:r w:rsidRPr="00114F1A">
        <w:rPr>
          <w:rFonts w:ascii="Times New Roman" w:hAnsi="Times New Roman" w:cs="Times New Roman"/>
          <w:b/>
          <w:smallCaps/>
          <w:sz w:val="24"/>
          <w:szCs w:val="24"/>
        </w:rPr>
        <w:t>Conclusões</w:t>
      </w:r>
      <w:r>
        <w:rPr>
          <w:rFonts w:ascii="Times New Roman" w:hAnsi="Times New Roman" w:cs="Times New Roman"/>
          <w:sz w:val="24"/>
          <w:szCs w:val="24"/>
        </w:rPr>
        <w:t>:</w:t>
      </w:r>
    </w:p>
    <w:p w14:paraId="6B30726B" w14:textId="77777777" w:rsidR="00114F1A" w:rsidRPr="0089139B" w:rsidRDefault="00114F1A" w:rsidP="0089139B">
      <w:pPr>
        <w:pStyle w:val="PargrafodaLista"/>
        <w:spacing w:line="240" w:lineRule="auto"/>
        <w:rPr>
          <w:rFonts w:ascii="Times New Roman" w:hAnsi="Times New Roman" w:cs="Times New Roman"/>
          <w:i/>
          <w:iCs/>
          <w:sz w:val="20"/>
          <w:szCs w:val="20"/>
        </w:rPr>
      </w:pPr>
      <w:r>
        <w:rPr>
          <w:rFonts w:ascii="Times New Roman" w:hAnsi="Times New Roman" w:cs="Times New Roman"/>
          <w:sz w:val="24"/>
          <w:szCs w:val="24"/>
        </w:rPr>
        <w:lastRenderedPageBreak/>
        <w:t>“</w:t>
      </w:r>
      <w:r w:rsidRPr="0089139B">
        <w:rPr>
          <w:rFonts w:ascii="Times New Roman" w:hAnsi="Times New Roman" w:cs="Times New Roman"/>
          <w:i/>
          <w:iCs/>
          <w:sz w:val="20"/>
          <w:szCs w:val="20"/>
        </w:rPr>
        <w:t>44. Por tudo quanto antecede, improcedem inteiramente as conclusões da Recorrente.</w:t>
      </w:r>
    </w:p>
    <w:p w14:paraId="5B957CEE" w14:textId="77777777" w:rsidR="00114F1A" w:rsidRPr="0089139B" w:rsidRDefault="00114F1A" w:rsidP="003C019A">
      <w:pPr>
        <w:pStyle w:val="PargrafodaLista"/>
        <w:spacing w:line="240" w:lineRule="auto"/>
        <w:jc w:val="both"/>
        <w:rPr>
          <w:rFonts w:ascii="Times New Roman" w:hAnsi="Times New Roman" w:cs="Times New Roman"/>
          <w:i/>
          <w:iCs/>
          <w:sz w:val="20"/>
          <w:szCs w:val="20"/>
        </w:rPr>
      </w:pPr>
      <w:r w:rsidRPr="0089139B">
        <w:rPr>
          <w:rFonts w:ascii="Times New Roman" w:hAnsi="Times New Roman" w:cs="Times New Roman"/>
          <w:i/>
          <w:iCs/>
          <w:sz w:val="20"/>
          <w:szCs w:val="20"/>
        </w:rPr>
        <w:t>Decidiu bem o douto Acórdão recorrido, no que concerne ao entendimento perfilhado de que o contrato apresentado com o requerimento inicial é um novo contrato de arrendamento e não uma mera alteração do contrato anterior, assim como que a Lei 13/2019 de 12.02 não é pois aplicável ao caso em concreto, tendo a denúncia efetivada pela Recorrida sido válida e eficaz e os seus efeitos sido totalmente consolidados à data da comunicação, uma vez que tal direito não se traduz num prazo no sentido técnico-</w:t>
      </w:r>
      <w:proofErr w:type="spellStart"/>
      <w:r w:rsidRPr="0089139B">
        <w:rPr>
          <w:rFonts w:ascii="Times New Roman" w:hAnsi="Times New Roman" w:cs="Times New Roman"/>
          <w:i/>
          <w:iCs/>
          <w:sz w:val="20"/>
          <w:szCs w:val="20"/>
        </w:rPr>
        <w:t>juridico</w:t>
      </w:r>
      <w:proofErr w:type="spellEnd"/>
      <w:r w:rsidRPr="0089139B">
        <w:rPr>
          <w:rFonts w:ascii="Times New Roman" w:hAnsi="Times New Roman" w:cs="Times New Roman"/>
          <w:i/>
          <w:iCs/>
          <w:sz w:val="20"/>
          <w:szCs w:val="20"/>
        </w:rPr>
        <w:t xml:space="preserve">. </w:t>
      </w:r>
    </w:p>
    <w:p w14:paraId="26C692D0" w14:textId="77777777" w:rsidR="00114F1A" w:rsidRPr="0089139B" w:rsidRDefault="00114F1A" w:rsidP="0089139B">
      <w:pPr>
        <w:pStyle w:val="PargrafodaLista"/>
        <w:spacing w:line="240" w:lineRule="auto"/>
        <w:rPr>
          <w:rFonts w:ascii="Times New Roman" w:hAnsi="Times New Roman" w:cs="Times New Roman"/>
          <w:i/>
          <w:iCs/>
          <w:sz w:val="20"/>
          <w:szCs w:val="20"/>
        </w:rPr>
      </w:pPr>
      <w:r w:rsidRPr="0089139B">
        <w:rPr>
          <w:rFonts w:ascii="Times New Roman" w:hAnsi="Times New Roman" w:cs="Times New Roman"/>
          <w:i/>
          <w:iCs/>
          <w:sz w:val="20"/>
          <w:szCs w:val="20"/>
        </w:rPr>
        <w:t>Nestes termos e nos demais de direito, não deve a revista apresentada ser (parcialmente) admitida, e mesmo que assim não se entenda, sempre deve ser negado provimento ao presente recurso, confirmando-se, a douta decisão recorrida.</w:t>
      </w:r>
    </w:p>
    <w:p w14:paraId="3575647A" w14:textId="0AC7A7B3" w:rsidR="00114F1A" w:rsidRPr="00114F1A" w:rsidRDefault="00114F1A" w:rsidP="0089139B">
      <w:pPr>
        <w:pStyle w:val="PargrafodaLista"/>
        <w:spacing w:line="240" w:lineRule="auto"/>
        <w:rPr>
          <w:rFonts w:ascii="Times New Roman" w:hAnsi="Times New Roman" w:cs="Times New Roman"/>
          <w:b/>
          <w:bCs/>
          <w:sz w:val="24"/>
          <w:szCs w:val="24"/>
        </w:rPr>
      </w:pPr>
      <w:r w:rsidRPr="0089139B">
        <w:rPr>
          <w:rFonts w:ascii="Times New Roman" w:hAnsi="Times New Roman" w:cs="Times New Roman"/>
          <w:i/>
          <w:iCs/>
          <w:sz w:val="20"/>
          <w:szCs w:val="20"/>
        </w:rPr>
        <w:t>Tudo como é de Direito e de JUSTIÇA!</w:t>
      </w:r>
      <w:r w:rsidR="0089139B">
        <w:rPr>
          <w:rFonts w:ascii="Times New Roman" w:hAnsi="Times New Roman" w:cs="Times New Roman"/>
          <w:sz w:val="24"/>
          <w:szCs w:val="24"/>
        </w:rPr>
        <w:t>”</w:t>
      </w:r>
    </w:p>
    <w:p w14:paraId="52DEB451" w14:textId="7B6B319A" w:rsidR="00586686" w:rsidRPr="00586686" w:rsidRDefault="00586686" w:rsidP="00586686">
      <w:pPr>
        <w:pStyle w:val="PargrafodaLista"/>
        <w:numPr>
          <w:ilvl w:val="0"/>
          <w:numId w:val="1"/>
        </w:numPr>
        <w:spacing w:line="360" w:lineRule="auto"/>
        <w:ind w:left="357" w:firstLine="357"/>
        <w:rPr>
          <w:rFonts w:ascii="Times New Roman" w:hAnsi="Times New Roman" w:cs="Times New Roman"/>
          <w:b/>
          <w:bCs/>
          <w:sz w:val="24"/>
          <w:szCs w:val="24"/>
        </w:rPr>
      </w:pPr>
      <w:r>
        <w:rPr>
          <w:rFonts w:ascii="Times New Roman" w:hAnsi="Times New Roman" w:cs="Times New Roman"/>
          <w:sz w:val="24"/>
          <w:szCs w:val="24"/>
        </w:rPr>
        <w:t>Por acórdão de 30 de novembro de 2021, o Supremo Tribunal de Justiça decidiu o seguinte:</w:t>
      </w:r>
    </w:p>
    <w:p w14:paraId="549883D3" w14:textId="7336DDE1" w:rsidR="00586686" w:rsidRPr="00586686" w:rsidRDefault="00586686" w:rsidP="00712DF9">
      <w:pPr>
        <w:pStyle w:val="PargrafodaLista"/>
        <w:spacing w:line="240" w:lineRule="auto"/>
        <w:ind w:left="714"/>
        <w:jc w:val="both"/>
        <w:rPr>
          <w:rFonts w:ascii="Times New Roman" w:hAnsi="Times New Roman" w:cs="Times New Roman"/>
          <w:b/>
          <w:bCs/>
          <w:sz w:val="20"/>
          <w:szCs w:val="20"/>
        </w:rPr>
      </w:pPr>
      <w:r w:rsidRPr="00586686">
        <w:rPr>
          <w:rFonts w:ascii="Times New Roman" w:hAnsi="Times New Roman" w:cs="Times New Roman"/>
          <w:sz w:val="20"/>
          <w:szCs w:val="20"/>
        </w:rPr>
        <w:t>“Nos termos expostos, acorda-se em julgar totalmente improcedente o recurso interposto por</w:t>
      </w:r>
      <w:r w:rsidR="00712DF9">
        <w:rPr>
          <w:rFonts w:ascii="Times New Roman" w:hAnsi="Times New Roman" w:cs="Times New Roman"/>
          <w:sz w:val="20"/>
          <w:szCs w:val="20"/>
        </w:rPr>
        <w:t xml:space="preserve"> </w:t>
      </w:r>
      <w:proofErr w:type="spellStart"/>
      <w:r w:rsidRPr="00586686">
        <w:rPr>
          <w:rFonts w:ascii="Times New Roman" w:hAnsi="Times New Roman" w:cs="Times New Roman"/>
          <w:b/>
          <w:smallCaps/>
          <w:sz w:val="20"/>
          <w:szCs w:val="20"/>
        </w:rPr>
        <w:t>Gerex</w:t>
      </w:r>
      <w:proofErr w:type="spellEnd"/>
      <w:r w:rsidRPr="00586686">
        <w:rPr>
          <w:rFonts w:ascii="Times New Roman" w:hAnsi="Times New Roman" w:cs="Times New Roman"/>
          <w:b/>
          <w:smallCaps/>
          <w:sz w:val="20"/>
          <w:szCs w:val="20"/>
        </w:rPr>
        <w:t xml:space="preserve"> - Gabinete de Gestão Industrial e Comercial, Lda.,</w:t>
      </w:r>
      <w:r w:rsidRPr="00586686">
        <w:rPr>
          <w:rFonts w:ascii="Times New Roman" w:hAnsi="Times New Roman" w:cs="Times New Roman"/>
          <w:sz w:val="20"/>
          <w:szCs w:val="20"/>
        </w:rPr>
        <w:t xml:space="preserve"> confirmando-se o acórdão recorrido.</w:t>
      </w:r>
    </w:p>
    <w:p w14:paraId="13793276" w14:textId="5439050D" w:rsidR="00586686" w:rsidRDefault="00586686" w:rsidP="00586686">
      <w:pPr>
        <w:pStyle w:val="PargrafodaLista"/>
        <w:spacing w:line="240" w:lineRule="auto"/>
        <w:ind w:left="714"/>
        <w:rPr>
          <w:rFonts w:ascii="Times New Roman" w:hAnsi="Times New Roman" w:cs="Times New Roman"/>
          <w:sz w:val="24"/>
          <w:szCs w:val="24"/>
        </w:rPr>
      </w:pPr>
      <w:r w:rsidRPr="00586686">
        <w:rPr>
          <w:rFonts w:ascii="Times New Roman" w:hAnsi="Times New Roman" w:cs="Times New Roman"/>
          <w:sz w:val="20"/>
          <w:szCs w:val="20"/>
        </w:rPr>
        <w:t>Custas pela Recorrente</w:t>
      </w:r>
      <w:r>
        <w:rPr>
          <w:rFonts w:ascii="Times New Roman" w:hAnsi="Times New Roman" w:cs="Times New Roman"/>
          <w:sz w:val="24"/>
          <w:szCs w:val="24"/>
        </w:rPr>
        <w:t>.”</w:t>
      </w:r>
    </w:p>
    <w:p w14:paraId="27C8F5DB" w14:textId="787BFB40" w:rsidR="00037E58" w:rsidRPr="00037E58" w:rsidRDefault="003C019A" w:rsidP="00037E58">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Cs/>
          <w:sz w:val="24"/>
          <w:szCs w:val="24"/>
        </w:rPr>
        <w:t xml:space="preserve">A Recorrente </w:t>
      </w:r>
      <w:proofErr w:type="spellStart"/>
      <w:r w:rsidR="00586686" w:rsidRPr="00586686">
        <w:rPr>
          <w:rFonts w:ascii="Times New Roman" w:hAnsi="Times New Roman" w:cs="Times New Roman"/>
          <w:b/>
          <w:bCs/>
          <w:smallCaps/>
          <w:sz w:val="24"/>
          <w:szCs w:val="24"/>
        </w:rPr>
        <w:t>Gerex</w:t>
      </w:r>
      <w:proofErr w:type="spellEnd"/>
      <w:r w:rsidR="00586686" w:rsidRPr="00586686">
        <w:rPr>
          <w:rFonts w:ascii="Times New Roman" w:hAnsi="Times New Roman" w:cs="Times New Roman"/>
          <w:b/>
          <w:bCs/>
          <w:smallCaps/>
          <w:sz w:val="24"/>
          <w:szCs w:val="24"/>
        </w:rPr>
        <w:t>- Gabinete de Gestão Industrial e Comercial, Lda.</w:t>
      </w:r>
      <w:r w:rsidR="00586686" w:rsidRPr="00586686">
        <w:rPr>
          <w:rFonts w:ascii="Times New Roman" w:hAnsi="Times New Roman" w:cs="Times New Roman"/>
          <w:sz w:val="24"/>
          <w:szCs w:val="24"/>
        </w:rPr>
        <w:t xml:space="preserve">, notificada do acórdão do Supremo Tribunal de Justiça de </w:t>
      </w:r>
      <w:r w:rsidR="00586686">
        <w:rPr>
          <w:rFonts w:ascii="Times New Roman" w:hAnsi="Times New Roman" w:cs="Times New Roman"/>
          <w:sz w:val="24"/>
          <w:szCs w:val="24"/>
        </w:rPr>
        <w:t>30 de novembro de 2021</w:t>
      </w:r>
      <w:r w:rsidR="00586686" w:rsidRPr="00586686">
        <w:rPr>
          <w:rFonts w:ascii="Times New Roman" w:hAnsi="Times New Roman" w:cs="Times New Roman"/>
          <w:sz w:val="24"/>
          <w:szCs w:val="24"/>
        </w:rPr>
        <w:t>,</w:t>
      </w:r>
      <w:r w:rsidR="00586686">
        <w:rPr>
          <w:rFonts w:ascii="Times New Roman" w:hAnsi="Times New Roman" w:cs="Times New Roman"/>
          <w:sz w:val="24"/>
          <w:szCs w:val="24"/>
        </w:rPr>
        <w:t xml:space="preserve"> </w:t>
      </w:r>
      <w:r w:rsidR="00586686" w:rsidRPr="00586686">
        <w:rPr>
          <w:rFonts w:ascii="Times New Roman" w:hAnsi="Times New Roman" w:cs="Times New Roman"/>
          <w:sz w:val="24"/>
          <w:szCs w:val="24"/>
        </w:rPr>
        <w:t>vem arguir a sua nulidade por oposição entre os fundamentos e a decisão</w:t>
      </w:r>
      <w:r w:rsidR="00037E58">
        <w:rPr>
          <w:rFonts w:ascii="Times New Roman" w:hAnsi="Times New Roman" w:cs="Times New Roman"/>
          <w:sz w:val="24"/>
          <w:szCs w:val="24"/>
        </w:rPr>
        <w:t xml:space="preserve"> (</w:t>
      </w:r>
      <w:proofErr w:type="spellStart"/>
      <w:r w:rsidR="00037E58">
        <w:rPr>
          <w:rFonts w:ascii="Times New Roman" w:hAnsi="Times New Roman" w:cs="Times New Roman"/>
          <w:sz w:val="24"/>
          <w:szCs w:val="24"/>
        </w:rPr>
        <w:t>art</w:t>
      </w:r>
      <w:proofErr w:type="spellEnd"/>
      <w:r w:rsidR="00037E58">
        <w:rPr>
          <w:rFonts w:ascii="Times New Roman" w:hAnsi="Times New Roman" w:cs="Times New Roman"/>
          <w:sz w:val="24"/>
          <w:szCs w:val="24"/>
        </w:rPr>
        <w:t>. 615.</w:t>
      </w:r>
      <w:r w:rsidR="00712DF9">
        <w:rPr>
          <w:rFonts w:ascii="Times New Roman" w:hAnsi="Times New Roman" w:cs="Times New Roman"/>
          <w:sz w:val="24"/>
          <w:szCs w:val="24"/>
        </w:rPr>
        <w:t>º</w:t>
      </w:r>
      <w:r w:rsidR="00037E58">
        <w:rPr>
          <w:rFonts w:ascii="Times New Roman" w:hAnsi="Times New Roman" w:cs="Times New Roman"/>
          <w:sz w:val="24"/>
          <w:szCs w:val="24"/>
        </w:rPr>
        <w:t>, n.º 1, al. c), 1.ª parte, do CPC)</w:t>
      </w:r>
      <w:r>
        <w:rPr>
          <w:rFonts w:ascii="Times New Roman" w:hAnsi="Times New Roman" w:cs="Times New Roman"/>
          <w:sz w:val="24"/>
          <w:szCs w:val="24"/>
        </w:rPr>
        <w:t>, de um lado e, de outro,</w:t>
      </w:r>
      <w:r w:rsidR="00586686" w:rsidRPr="00586686">
        <w:rPr>
          <w:rFonts w:ascii="Times New Roman" w:hAnsi="Times New Roman" w:cs="Times New Roman"/>
          <w:sz w:val="24"/>
          <w:szCs w:val="24"/>
        </w:rPr>
        <w:t xml:space="preserve"> por</w:t>
      </w:r>
      <w:r w:rsidR="00586686">
        <w:rPr>
          <w:rFonts w:ascii="Times New Roman" w:hAnsi="Times New Roman" w:cs="Times New Roman"/>
          <w:sz w:val="24"/>
          <w:szCs w:val="24"/>
        </w:rPr>
        <w:t xml:space="preserve"> </w:t>
      </w:r>
      <w:r w:rsidR="00586686" w:rsidRPr="00586686">
        <w:rPr>
          <w:rFonts w:ascii="Times New Roman" w:hAnsi="Times New Roman" w:cs="Times New Roman"/>
          <w:sz w:val="24"/>
          <w:szCs w:val="24"/>
        </w:rPr>
        <w:t>omissão de pronúncia</w:t>
      </w:r>
      <w:r w:rsidR="00037E58">
        <w:rPr>
          <w:rFonts w:ascii="Times New Roman" w:hAnsi="Times New Roman" w:cs="Times New Roman"/>
          <w:sz w:val="24"/>
          <w:szCs w:val="24"/>
        </w:rPr>
        <w:t xml:space="preserve"> (</w:t>
      </w:r>
      <w:proofErr w:type="spellStart"/>
      <w:r w:rsidR="00037E58">
        <w:rPr>
          <w:rFonts w:ascii="Times New Roman" w:hAnsi="Times New Roman" w:cs="Times New Roman"/>
          <w:sz w:val="24"/>
          <w:szCs w:val="24"/>
        </w:rPr>
        <w:t>art</w:t>
      </w:r>
      <w:proofErr w:type="spellEnd"/>
      <w:r w:rsidR="00037E58">
        <w:rPr>
          <w:rFonts w:ascii="Times New Roman" w:hAnsi="Times New Roman" w:cs="Times New Roman"/>
          <w:sz w:val="24"/>
          <w:szCs w:val="24"/>
        </w:rPr>
        <w:t>. 615.</w:t>
      </w:r>
      <w:r w:rsidR="00712DF9">
        <w:rPr>
          <w:rFonts w:ascii="Times New Roman" w:hAnsi="Times New Roman" w:cs="Times New Roman"/>
          <w:sz w:val="24"/>
          <w:szCs w:val="24"/>
        </w:rPr>
        <w:t>º</w:t>
      </w:r>
      <w:r w:rsidR="00037E58">
        <w:rPr>
          <w:rFonts w:ascii="Times New Roman" w:hAnsi="Times New Roman" w:cs="Times New Roman"/>
          <w:sz w:val="24"/>
          <w:szCs w:val="24"/>
        </w:rPr>
        <w:t>, n.º 1, al. c), 1.ª parte, do CPC)</w:t>
      </w:r>
      <w:r w:rsidR="00586686" w:rsidRPr="00586686">
        <w:rPr>
          <w:rFonts w:ascii="Times New Roman" w:hAnsi="Times New Roman" w:cs="Times New Roman"/>
          <w:sz w:val="24"/>
          <w:szCs w:val="24"/>
        </w:rPr>
        <w:t>.</w:t>
      </w:r>
    </w:p>
    <w:p w14:paraId="3D98425D" w14:textId="0D755C6D" w:rsidR="00F03CE4" w:rsidRPr="00586686" w:rsidRDefault="00037E58" w:rsidP="00586686">
      <w:pPr>
        <w:pStyle w:val="PargrafodaLista"/>
        <w:numPr>
          <w:ilvl w:val="0"/>
          <w:numId w:val="1"/>
        </w:numPr>
        <w:spacing w:line="360" w:lineRule="auto"/>
        <w:ind w:left="357" w:firstLine="357"/>
        <w:jc w:val="both"/>
        <w:rPr>
          <w:rFonts w:ascii="Times New Roman" w:hAnsi="Times New Roman" w:cs="Times New Roman"/>
          <w:b/>
          <w:bCs/>
          <w:sz w:val="24"/>
          <w:szCs w:val="24"/>
        </w:rPr>
      </w:pPr>
      <w:r>
        <w:rPr>
          <w:rFonts w:ascii="Times New Roman" w:hAnsi="Times New Roman" w:cs="Times New Roman"/>
          <w:bCs/>
          <w:sz w:val="24"/>
          <w:szCs w:val="24"/>
        </w:rPr>
        <w:t xml:space="preserve">A </w:t>
      </w:r>
      <w:r w:rsidR="003C019A">
        <w:rPr>
          <w:rFonts w:ascii="Times New Roman" w:hAnsi="Times New Roman" w:cs="Times New Roman"/>
          <w:bCs/>
          <w:sz w:val="24"/>
          <w:szCs w:val="24"/>
        </w:rPr>
        <w:t xml:space="preserve">Recorrida </w:t>
      </w:r>
      <w:r w:rsidR="00F03CE4" w:rsidRPr="00F03CE4">
        <w:rPr>
          <w:rFonts w:ascii="Times New Roman" w:hAnsi="Times New Roman" w:cs="Times New Roman"/>
          <w:b/>
          <w:bCs/>
          <w:smallCaps/>
          <w:sz w:val="24"/>
          <w:szCs w:val="24"/>
        </w:rPr>
        <w:t xml:space="preserve">Paradise </w:t>
      </w:r>
      <w:proofErr w:type="spellStart"/>
      <w:r w:rsidR="00F03CE4" w:rsidRPr="00F03CE4">
        <w:rPr>
          <w:rFonts w:ascii="Times New Roman" w:hAnsi="Times New Roman" w:cs="Times New Roman"/>
          <w:b/>
          <w:bCs/>
          <w:smallCaps/>
          <w:sz w:val="24"/>
          <w:szCs w:val="24"/>
        </w:rPr>
        <w:t>Pyramid</w:t>
      </w:r>
      <w:proofErr w:type="spellEnd"/>
      <w:r w:rsidR="00F03CE4" w:rsidRPr="00F03CE4">
        <w:rPr>
          <w:rFonts w:ascii="Times New Roman" w:hAnsi="Times New Roman" w:cs="Times New Roman"/>
          <w:b/>
          <w:bCs/>
          <w:smallCaps/>
          <w:sz w:val="24"/>
          <w:szCs w:val="24"/>
        </w:rPr>
        <w:t>, Unipessoal, Lda</w:t>
      </w:r>
      <w:r w:rsidR="00F03CE4">
        <w:rPr>
          <w:rFonts w:ascii="Times New Roman" w:hAnsi="Times New Roman" w:cs="Times New Roman"/>
          <w:b/>
          <w:bCs/>
          <w:sz w:val="24"/>
          <w:szCs w:val="24"/>
        </w:rPr>
        <w:t xml:space="preserve">., </w:t>
      </w:r>
      <w:r w:rsidR="00F03CE4">
        <w:rPr>
          <w:rFonts w:ascii="Times New Roman" w:hAnsi="Times New Roman" w:cs="Times New Roman"/>
          <w:sz w:val="24"/>
          <w:szCs w:val="24"/>
        </w:rPr>
        <w:t>respondeu</w:t>
      </w:r>
      <w:r w:rsidR="003C019A">
        <w:rPr>
          <w:rFonts w:ascii="Times New Roman" w:hAnsi="Times New Roman" w:cs="Times New Roman"/>
          <w:sz w:val="24"/>
          <w:szCs w:val="24"/>
        </w:rPr>
        <w:t>, p</w:t>
      </w:r>
      <w:r>
        <w:rPr>
          <w:rFonts w:ascii="Times New Roman" w:hAnsi="Times New Roman" w:cs="Times New Roman"/>
          <w:sz w:val="24"/>
          <w:szCs w:val="24"/>
        </w:rPr>
        <w:t>ronunciando-se no sentido da improcedênci</w:t>
      </w:r>
      <w:r w:rsidR="003C019A">
        <w:rPr>
          <w:rFonts w:ascii="Times New Roman" w:hAnsi="Times New Roman" w:cs="Times New Roman"/>
          <w:sz w:val="24"/>
          <w:szCs w:val="24"/>
        </w:rPr>
        <w:t>a das nulidades invocadas pela Recorrente</w:t>
      </w:r>
      <w:r w:rsidR="00F03CE4">
        <w:rPr>
          <w:rFonts w:ascii="Times New Roman" w:hAnsi="Times New Roman" w:cs="Times New Roman"/>
          <w:sz w:val="24"/>
          <w:szCs w:val="24"/>
        </w:rPr>
        <w:t>.</w:t>
      </w:r>
    </w:p>
    <w:p w14:paraId="76F185B0" w14:textId="6D0C593B" w:rsidR="000E578D" w:rsidRPr="00626239" w:rsidRDefault="00E660AB" w:rsidP="000E578D">
      <w:pPr>
        <w:spacing w:line="360" w:lineRule="auto"/>
        <w:rPr>
          <w:rFonts w:ascii="Times New Roman" w:hAnsi="Times New Roman" w:cs="Times New Roman"/>
          <w:b/>
          <w:bCs/>
          <w:sz w:val="24"/>
          <w:szCs w:val="24"/>
        </w:rPr>
      </w:pPr>
      <w:r w:rsidRPr="00626239">
        <w:rPr>
          <w:rFonts w:ascii="Times New Roman" w:hAnsi="Times New Roman" w:cs="Times New Roman"/>
          <w:b/>
          <w:bCs/>
          <w:sz w:val="24"/>
          <w:szCs w:val="24"/>
        </w:rPr>
        <w:t>II – Questões a decidir</w:t>
      </w:r>
    </w:p>
    <w:p w14:paraId="58FE56FE" w14:textId="0C7ADDF2" w:rsidR="00CC37D0" w:rsidRPr="009B0C76" w:rsidRDefault="003C019A" w:rsidP="003C019A">
      <w:pPr>
        <w:spacing w:line="360" w:lineRule="auto"/>
        <w:ind w:left="357" w:firstLine="357"/>
        <w:contextualSpacing/>
        <w:jc w:val="both"/>
        <w:rPr>
          <w:rFonts w:ascii="Times New Roman" w:hAnsi="Times New Roman" w:cs="Times New Roman"/>
          <w:sz w:val="24"/>
          <w:szCs w:val="24"/>
        </w:rPr>
      </w:pPr>
      <w:r>
        <w:rPr>
          <w:rFonts w:ascii="Times New Roman" w:hAnsi="Times New Roman" w:cs="Times New Roman"/>
          <w:sz w:val="24"/>
          <w:szCs w:val="24"/>
        </w:rPr>
        <w:t>Está em causa a questão de saber se o acórdão do Supremo Tribunal de Justiça</w:t>
      </w:r>
      <w:r w:rsidR="00D82EEB">
        <w:rPr>
          <w:rFonts w:ascii="Times New Roman" w:hAnsi="Times New Roman" w:cs="Times New Roman"/>
          <w:sz w:val="24"/>
          <w:szCs w:val="24"/>
        </w:rPr>
        <w:t xml:space="preserve"> de 30 de novembro de 2021</w:t>
      </w:r>
      <w:r>
        <w:rPr>
          <w:rFonts w:ascii="Times New Roman" w:hAnsi="Times New Roman" w:cs="Times New Roman"/>
          <w:sz w:val="24"/>
          <w:szCs w:val="24"/>
        </w:rPr>
        <w:t xml:space="preserve"> enferma ou não de nulidade por oposição entre os fundamentos e a decisão</w:t>
      </w:r>
      <w:r w:rsidR="00712DF9">
        <w:rPr>
          <w:rFonts w:ascii="Times New Roman" w:hAnsi="Times New Roman" w:cs="Times New Roman"/>
          <w:sz w:val="24"/>
          <w:szCs w:val="24"/>
        </w:rPr>
        <w:t xml:space="preserve"> (</w:t>
      </w:r>
      <w:proofErr w:type="spellStart"/>
      <w:r w:rsidR="00712DF9">
        <w:rPr>
          <w:rFonts w:ascii="Times New Roman" w:hAnsi="Times New Roman" w:cs="Times New Roman"/>
          <w:sz w:val="24"/>
          <w:szCs w:val="24"/>
        </w:rPr>
        <w:t>art</w:t>
      </w:r>
      <w:proofErr w:type="spellEnd"/>
      <w:r w:rsidR="00712DF9">
        <w:rPr>
          <w:rFonts w:ascii="Times New Roman" w:hAnsi="Times New Roman" w:cs="Times New Roman"/>
          <w:sz w:val="24"/>
          <w:szCs w:val="24"/>
        </w:rPr>
        <w:t xml:space="preserve">. 615.º, n.º 1, al. c), 1.ª parte, </w:t>
      </w:r>
      <w:proofErr w:type="spellStart"/>
      <w:r w:rsidR="00DA6566" w:rsidRPr="00DA6566">
        <w:rPr>
          <w:rFonts w:ascii="Times New Roman" w:hAnsi="Times New Roman" w:cs="Times New Roman"/>
          <w:i/>
          <w:iCs/>
          <w:sz w:val="24"/>
          <w:szCs w:val="24"/>
        </w:rPr>
        <w:t>ex</w:t>
      </w:r>
      <w:proofErr w:type="spellEnd"/>
      <w:r w:rsidR="00DA6566" w:rsidRPr="00DA6566">
        <w:rPr>
          <w:rFonts w:ascii="Times New Roman" w:hAnsi="Times New Roman" w:cs="Times New Roman"/>
          <w:i/>
          <w:iCs/>
          <w:sz w:val="24"/>
          <w:szCs w:val="24"/>
        </w:rPr>
        <w:t xml:space="preserve"> vi</w:t>
      </w:r>
      <w:r w:rsidR="00DA6566" w:rsidRPr="00DA6566">
        <w:rPr>
          <w:rFonts w:ascii="Times New Roman" w:hAnsi="Times New Roman" w:cs="Times New Roman"/>
          <w:sz w:val="24"/>
          <w:szCs w:val="24"/>
        </w:rPr>
        <w:t xml:space="preserve"> dos </w:t>
      </w:r>
      <w:proofErr w:type="spellStart"/>
      <w:r w:rsidR="00DA6566" w:rsidRPr="00DA6566">
        <w:rPr>
          <w:rFonts w:ascii="Times New Roman" w:hAnsi="Times New Roman" w:cs="Times New Roman"/>
          <w:sz w:val="24"/>
          <w:szCs w:val="24"/>
        </w:rPr>
        <w:t>arts</w:t>
      </w:r>
      <w:proofErr w:type="spellEnd"/>
      <w:r w:rsidR="00DA6566" w:rsidRPr="00DA6566">
        <w:rPr>
          <w:rFonts w:ascii="Times New Roman" w:hAnsi="Times New Roman" w:cs="Times New Roman"/>
          <w:sz w:val="24"/>
          <w:szCs w:val="24"/>
        </w:rPr>
        <w:t>. 666.º, 679.º e 685.º do CPC</w:t>
      </w:r>
      <w:r w:rsidR="00712DF9">
        <w:rPr>
          <w:rFonts w:ascii="Times New Roman" w:hAnsi="Times New Roman" w:cs="Times New Roman"/>
          <w:sz w:val="24"/>
          <w:szCs w:val="24"/>
        </w:rPr>
        <w:t>)</w:t>
      </w:r>
      <w:r>
        <w:rPr>
          <w:rFonts w:ascii="Times New Roman" w:hAnsi="Times New Roman" w:cs="Times New Roman"/>
          <w:sz w:val="24"/>
          <w:szCs w:val="24"/>
        </w:rPr>
        <w:t>, de um lado e, de outro, por omissão de pronúncia</w:t>
      </w:r>
      <w:r w:rsidR="00712DF9">
        <w:rPr>
          <w:rFonts w:ascii="Times New Roman" w:hAnsi="Times New Roman" w:cs="Times New Roman"/>
          <w:sz w:val="24"/>
          <w:szCs w:val="24"/>
        </w:rPr>
        <w:t xml:space="preserve"> (</w:t>
      </w:r>
      <w:proofErr w:type="spellStart"/>
      <w:r w:rsidR="00712DF9">
        <w:rPr>
          <w:rFonts w:ascii="Times New Roman" w:hAnsi="Times New Roman" w:cs="Times New Roman"/>
          <w:sz w:val="24"/>
          <w:szCs w:val="24"/>
        </w:rPr>
        <w:t>art</w:t>
      </w:r>
      <w:proofErr w:type="spellEnd"/>
      <w:r w:rsidR="00712DF9">
        <w:rPr>
          <w:rFonts w:ascii="Times New Roman" w:hAnsi="Times New Roman" w:cs="Times New Roman"/>
          <w:sz w:val="24"/>
          <w:szCs w:val="24"/>
        </w:rPr>
        <w:t xml:space="preserve">. 615.º, n.º 1, al. c), 1.ª parte, </w:t>
      </w:r>
      <w:proofErr w:type="spellStart"/>
      <w:r w:rsidR="00DA6566" w:rsidRPr="00DA6566">
        <w:rPr>
          <w:rFonts w:ascii="Times New Roman" w:hAnsi="Times New Roman" w:cs="Times New Roman"/>
          <w:i/>
          <w:iCs/>
          <w:sz w:val="24"/>
          <w:szCs w:val="24"/>
        </w:rPr>
        <w:t>ex</w:t>
      </w:r>
      <w:proofErr w:type="spellEnd"/>
      <w:r w:rsidR="00DA6566" w:rsidRPr="00DA6566">
        <w:rPr>
          <w:rFonts w:ascii="Times New Roman" w:hAnsi="Times New Roman" w:cs="Times New Roman"/>
          <w:i/>
          <w:iCs/>
          <w:sz w:val="24"/>
          <w:szCs w:val="24"/>
        </w:rPr>
        <w:t xml:space="preserve"> vi</w:t>
      </w:r>
      <w:r w:rsidR="00DA6566" w:rsidRPr="00DA6566">
        <w:rPr>
          <w:rFonts w:ascii="Times New Roman" w:hAnsi="Times New Roman" w:cs="Times New Roman"/>
          <w:sz w:val="24"/>
          <w:szCs w:val="24"/>
        </w:rPr>
        <w:t xml:space="preserve"> dos </w:t>
      </w:r>
      <w:proofErr w:type="spellStart"/>
      <w:r w:rsidR="00DA6566" w:rsidRPr="00DA6566">
        <w:rPr>
          <w:rFonts w:ascii="Times New Roman" w:hAnsi="Times New Roman" w:cs="Times New Roman"/>
          <w:sz w:val="24"/>
          <w:szCs w:val="24"/>
        </w:rPr>
        <w:t>arts</w:t>
      </w:r>
      <w:proofErr w:type="spellEnd"/>
      <w:r w:rsidR="00DA6566" w:rsidRPr="00DA6566">
        <w:rPr>
          <w:rFonts w:ascii="Times New Roman" w:hAnsi="Times New Roman" w:cs="Times New Roman"/>
          <w:sz w:val="24"/>
          <w:szCs w:val="24"/>
        </w:rPr>
        <w:t>. 666.º, 679.º e 685.º</w:t>
      </w:r>
      <w:r w:rsidR="00DA6566">
        <w:rPr>
          <w:rFonts w:ascii="Times New Roman" w:hAnsi="Times New Roman" w:cs="Times New Roman"/>
          <w:sz w:val="24"/>
          <w:szCs w:val="24"/>
        </w:rPr>
        <w:t xml:space="preserve"> </w:t>
      </w:r>
      <w:r w:rsidR="00712DF9">
        <w:rPr>
          <w:rFonts w:ascii="Times New Roman" w:hAnsi="Times New Roman" w:cs="Times New Roman"/>
          <w:sz w:val="24"/>
          <w:szCs w:val="24"/>
        </w:rPr>
        <w:t>do CPC)</w:t>
      </w:r>
      <w:r>
        <w:rPr>
          <w:rFonts w:ascii="Times New Roman" w:hAnsi="Times New Roman" w:cs="Times New Roman"/>
          <w:sz w:val="24"/>
          <w:szCs w:val="24"/>
        </w:rPr>
        <w:t>.</w:t>
      </w:r>
    </w:p>
    <w:p w14:paraId="653272FB" w14:textId="513886EC" w:rsidR="00E660AB" w:rsidRPr="00626239" w:rsidRDefault="00E660AB" w:rsidP="000E578D">
      <w:pPr>
        <w:spacing w:line="360" w:lineRule="auto"/>
        <w:rPr>
          <w:rFonts w:ascii="Times New Roman" w:hAnsi="Times New Roman" w:cs="Times New Roman"/>
          <w:b/>
          <w:bCs/>
          <w:sz w:val="24"/>
          <w:szCs w:val="24"/>
        </w:rPr>
      </w:pPr>
      <w:r w:rsidRPr="00626239">
        <w:rPr>
          <w:rFonts w:ascii="Times New Roman" w:hAnsi="Times New Roman" w:cs="Times New Roman"/>
          <w:b/>
          <w:bCs/>
          <w:sz w:val="24"/>
          <w:szCs w:val="24"/>
        </w:rPr>
        <w:t>III – Fundamentação</w:t>
      </w:r>
    </w:p>
    <w:p w14:paraId="12E9E519" w14:textId="0E77931F" w:rsidR="00E660AB" w:rsidRPr="00626239" w:rsidRDefault="00E660AB" w:rsidP="000E578D">
      <w:pPr>
        <w:spacing w:line="360" w:lineRule="auto"/>
        <w:rPr>
          <w:rFonts w:ascii="Times New Roman" w:hAnsi="Times New Roman" w:cs="Times New Roman"/>
          <w:b/>
          <w:bCs/>
          <w:sz w:val="24"/>
          <w:szCs w:val="24"/>
        </w:rPr>
      </w:pPr>
      <w:r w:rsidRPr="00626239">
        <w:rPr>
          <w:rFonts w:ascii="Times New Roman" w:hAnsi="Times New Roman" w:cs="Times New Roman"/>
          <w:b/>
          <w:bCs/>
          <w:sz w:val="24"/>
          <w:szCs w:val="24"/>
        </w:rPr>
        <w:t>A) De Facto</w:t>
      </w:r>
    </w:p>
    <w:p w14:paraId="2AA2A6CD" w14:textId="5B7F25E5" w:rsidR="000E578D" w:rsidRPr="000E578D" w:rsidRDefault="00E660AB" w:rsidP="00712DF9">
      <w:pPr>
        <w:spacing w:line="360" w:lineRule="auto"/>
        <w:ind w:firstLine="708"/>
        <w:rPr>
          <w:rFonts w:ascii="Times New Roman" w:hAnsi="Times New Roman" w:cs="Times New Roman"/>
          <w:sz w:val="24"/>
          <w:szCs w:val="24"/>
        </w:rPr>
      </w:pPr>
      <w:r>
        <w:rPr>
          <w:rFonts w:ascii="Times New Roman" w:hAnsi="Times New Roman" w:cs="Times New Roman"/>
          <w:sz w:val="24"/>
          <w:szCs w:val="24"/>
        </w:rPr>
        <w:t>Foram considerados como provados os seguintes factos:</w:t>
      </w:r>
    </w:p>
    <w:p w14:paraId="3C5AF665" w14:textId="02C6AF72" w:rsidR="000E578D" w:rsidRPr="00626239" w:rsidRDefault="00E660AB" w:rsidP="003C019A">
      <w:pPr>
        <w:spacing w:line="240" w:lineRule="auto"/>
        <w:contextualSpacing/>
        <w:jc w:val="both"/>
        <w:rPr>
          <w:rFonts w:ascii="Times New Roman" w:hAnsi="Times New Roman" w:cs="Times New Roman"/>
          <w:i/>
          <w:iCs/>
          <w:sz w:val="20"/>
          <w:szCs w:val="20"/>
        </w:rPr>
      </w:pPr>
      <w:r>
        <w:rPr>
          <w:rFonts w:ascii="Times New Roman" w:hAnsi="Times New Roman" w:cs="Times New Roman"/>
          <w:sz w:val="24"/>
          <w:szCs w:val="24"/>
        </w:rPr>
        <w:lastRenderedPageBreak/>
        <w:t>“</w:t>
      </w:r>
      <w:r w:rsidR="000E578D" w:rsidRPr="00626239">
        <w:rPr>
          <w:rFonts w:ascii="Times New Roman" w:hAnsi="Times New Roman" w:cs="Times New Roman"/>
          <w:i/>
          <w:iCs/>
          <w:sz w:val="20"/>
          <w:szCs w:val="20"/>
        </w:rPr>
        <w:t xml:space="preserve">1. No dia 15 de Junho de 1989, a sociedade </w:t>
      </w:r>
      <w:proofErr w:type="spellStart"/>
      <w:r w:rsidR="000E578D" w:rsidRPr="00626239">
        <w:rPr>
          <w:rFonts w:ascii="Times New Roman" w:hAnsi="Times New Roman" w:cs="Times New Roman"/>
          <w:i/>
          <w:iCs/>
          <w:sz w:val="20"/>
          <w:szCs w:val="20"/>
        </w:rPr>
        <w:t>Hufvudsraden</w:t>
      </w:r>
      <w:proofErr w:type="spellEnd"/>
      <w:r w:rsidR="000E578D" w:rsidRPr="00626239">
        <w:rPr>
          <w:rFonts w:ascii="Times New Roman" w:hAnsi="Times New Roman" w:cs="Times New Roman"/>
          <w:i/>
          <w:iCs/>
          <w:sz w:val="20"/>
          <w:szCs w:val="20"/>
        </w:rPr>
        <w:t xml:space="preserve"> </w:t>
      </w:r>
      <w:proofErr w:type="spellStart"/>
      <w:r w:rsidR="000E578D" w:rsidRPr="00626239">
        <w:rPr>
          <w:rFonts w:ascii="Times New Roman" w:hAnsi="Times New Roman" w:cs="Times New Roman"/>
          <w:i/>
          <w:iCs/>
          <w:sz w:val="20"/>
          <w:szCs w:val="20"/>
        </w:rPr>
        <w:t>International</w:t>
      </w:r>
      <w:proofErr w:type="spellEnd"/>
      <w:r w:rsidR="000E578D" w:rsidRPr="00626239">
        <w:rPr>
          <w:rFonts w:ascii="Times New Roman" w:hAnsi="Times New Roman" w:cs="Times New Roman"/>
          <w:i/>
          <w:iCs/>
          <w:sz w:val="20"/>
          <w:szCs w:val="20"/>
        </w:rPr>
        <w:t xml:space="preserve"> AB e a sociedade </w:t>
      </w:r>
      <w:proofErr w:type="spellStart"/>
      <w:r w:rsidR="000E578D" w:rsidRPr="00626239">
        <w:rPr>
          <w:rFonts w:ascii="Times New Roman" w:hAnsi="Times New Roman" w:cs="Times New Roman"/>
          <w:i/>
          <w:iCs/>
          <w:sz w:val="20"/>
          <w:szCs w:val="20"/>
        </w:rPr>
        <w:t>Procomer</w:t>
      </w:r>
      <w:proofErr w:type="spellEnd"/>
      <w:r w:rsidR="000E578D" w:rsidRPr="00626239">
        <w:rPr>
          <w:rFonts w:ascii="Times New Roman" w:hAnsi="Times New Roman" w:cs="Times New Roman"/>
          <w:i/>
          <w:iCs/>
          <w:sz w:val="20"/>
          <w:szCs w:val="20"/>
        </w:rPr>
        <w:t xml:space="preserve"> - Sociedade de Representação e Promoção de Vendas, Limitada, no 6.º Cartório Notarial de Lisboa, conforme cópia da escritura junta com a oposição como documento n.º 1, cujo teor se dá aqui por reproduzido, declararam perante notário: a primeira dar de arrendamento à segunda, para loja, escritório e armazém desta, “uma área determinada na planta anexa, de cerca de cento e noventa e sete metros quadrados do rés-do-chão” do prédio urbano sito em Lisboa, na Rua Rodrigo da Fonseca, números 51 a 53 e 53-A, da freguesia de São Mamede, inscrito na </w:t>
      </w:r>
      <w:proofErr w:type="spellStart"/>
      <w:r w:rsidR="000E578D" w:rsidRPr="00626239">
        <w:rPr>
          <w:rFonts w:ascii="Times New Roman" w:hAnsi="Times New Roman" w:cs="Times New Roman"/>
          <w:i/>
          <w:iCs/>
          <w:sz w:val="20"/>
          <w:szCs w:val="20"/>
        </w:rPr>
        <w:t>respectiva</w:t>
      </w:r>
      <w:proofErr w:type="spellEnd"/>
      <w:r w:rsidR="000E578D" w:rsidRPr="00626239">
        <w:rPr>
          <w:rFonts w:ascii="Times New Roman" w:hAnsi="Times New Roman" w:cs="Times New Roman"/>
          <w:i/>
          <w:iCs/>
          <w:sz w:val="20"/>
          <w:szCs w:val="20"/>
        </w:rPr>
        <w:t xml:space="preserve"> matriz urbana sob o artigo 532, pelo prazo de um ano, com início a 1 de Janeiro de 1988, sucessivamente renovável por períodos de seis meses, “nos termos legais”, autorizando a “arrendatária a utilizar gratuitamente, na cave do prédio, uma parte suficiente para a </w:t>
      </w:r>
      <w:proofErr w:type="spellStart"/>
      <w:r w:rsidR="000E578D" w:rsidRPr="00626239">
        <w:rPr>
          <w:rFonts w:ascii="Times New Roman" w:hAnsi="Times New Roman" w:cs="Times New Roman"/>
          <w:i/>
          <w:iCs/>
          <w:sz w:val="20"/>
          <w:szCs w:val="20"/>
        </w:rPr>
        <w:t>aparcagem</w:t>
      </w:r>
      <w:proofErr w:type="spellEnd"/>
      <w:r w:rsidR="000E578D" w:rsidRPr="00626239">
        <w:rPr>
          <w:rFonts w:ascii="Times New Roman" w:hAnsi="Times New Roman" w:cs="Times New Roman"/>
          <w:i/>
          <w:iCs/>
          <w:sz w:val="20"/>
          <w:szCs w:val="20"/>
        </w:rPr>
        <w:t xml:space="preserve"> de um automóvel ligeiro”; tendo os representantes da segunda declarado aceitar o arrendamento nos termos exarados.</w:t>
      </w:r>
    </w:p>
    <w:p w14:paraId="08AB4B79" w14:textId="77777777" w:rsidR="000E578D" w:rsidRPr="00626239" w:rsidRDefault="000E578D" w:rsidP="003C019A">
      <w:pPr>
        <w:spacing w:line="240" w:lineRule="auto"/>
        <w:contextualSpacing/>
        <w:jc w:val="both"/>
        <w:rPr>
          <w:rFonts w:ascii="Times New Roman" w:hAnsi="Times New Roman" w:cs="Times New Roman"/>
          <w:i/>
          <w:iCs/>
          <w:sz w:val="20"/>
          <w:szCs w:val="20"/>
        </w:rPr>
      </w:pPr>
      <w:r w:rsidRPr="00626239">
        <w:rPr>
          <w:rFonts w:ascii="Times New Roman" w:hAnsi="Times New Roman" w:cs="Times New Roman"/>
          <w:i/>
          <w:iCs/>
          <w:sz w:val="20"/>
          <w:szCs w:val="20"/>
        </w:rPr>
        <w:t>2. Da cláusula quinta do escrito referido em 1. consta: “Fica expressamente proibida a sublocação, total ou parcial, dos locais arrendados, podendo, todavia, ceder a sua posição contratual à sociedade “</w:t>
      </w:r>
      <w:proofErr w:type="spellStart"/>
      <w:r w:rsidRPr="00626239">
        <w:rPr>
          <w:rFonts w:ascii="Times New Roman" w:hAnsi="Times New Roman" w:cs="Times New Roman"/>
          <w:i/>
          <w:iCs/>
          <w:sz w:val="20"/>
          <w:szCs w:val="20"/>
        </w:rPr>
        <w:t>Gerex</w:t>
      </w:r>
      <w:proofErr w:type="spellEnd"/>
      <w:r w:rsidRPr="00626239">
        <w:rPr>
          <w:rFonts w:ascii="Times New Roman" w:hAnsi="Times New Roman" w:cs="Times New Roman"/>
          <w:i/>
          <w:iCs/>
          <w:sz w:val="20"/>
          <w:szCs w:val="20"/>
        </w:rPr>
        <w:t xml:space="preserve"> - Gabinete de Gestão Industrial e Comercial, Limitada”.</w:t>
      </w:r>
    </w:p>
    <w:p w14:paraId="2E7B1F13" w14:textId="77777777" w:rsidR="000E578D" w:rsidRPr="00626239" w:rsidRDefault="000E578D" w:rsidP="003C019A">
      <w:pPr>
        <w:spacing w:line="240" w:lineRule="auto"/>
        <w:contextualSpacing/>
        <w:jc w:val="both"/>
        <w:rPr>
          <w:rFonts w:ascii="Times New Roman" w:hAnsi="Times New Roman" w:cs="Times New Roman"/>
          <w:i/>
          <w:iCs/>
          <w:sz w:val="20"/>
          <w:szCs w:val="20"/>
        </w:rPr>
      </w:pPr>
      <w:r w:rsidRPr="00626239">
        <w:rPr>
          <w:rFonts w:ascii="Times New Roman" w:hAnsi="Times New Roman" w:cs="Times New Roman"/>
          <w:i/>
          <w:iCs/>
          <w:sz w:val="20"/>
          <w:szCs w:val="20"/>
        </w:rPr>
        <w:t xml:space="preserve">3. No mesmo dia 15 de Junho de 1989, por escritura celebrada no também 6.ºCartório Notarial de Lisboa, cuja cópia foi junta como documento n.º 2 com a oposição, a </w:t>
      </w:r>
      <w:proofErr w:type="spellStart"/>
      <w:r w:rsidRPr="00626239">
        <w:rPr>
          <w:rFonts w:ascii="Times New Roman" w:hAnsi="Times New Roman" w:cs="Times New Roman"/>
          <w:i/>
          <w:iCs/>
          <w:sz w:val="20"/>
          <w:szCs w:val="20"/>
        </w:rPr>
        <w:t>Procomer</w:t>
      </w:r>
      <w:proofErr w:type="spellEnd"/>
      <w:r w:rsidRPr="00626239">
        <w:rPr>
          <w:rFonts w:ascii="Times New Roman" w:hAnsi="Times New Roman" w:cs="Times New Roman"/>
          <w:i/>
          <w:iCs/>
          <w:sz w:val="20"/>
          <w:szCs w:val="20"/>
        </w:rPr>
        <w:t xml:space="preserve"> - Sociedade de Representação e Promoção de Vendas, Limitada cedeu a sua posição no contrato referido em 1. à ora Requerida.</w:t>
      </w:r>
    </w:p>
    <w:p w14:paraId="4463E5A2" w14:textId="77777777" w:rsidR="000E578D" w:rsidRPr="00626239" w:rsidRDefault="000E578D" w:rsidP="003C019A">
      <w:pPr>
        <w:spacing w:line="240" w:lineRule="auto"/>
        <w:contextualSpacing/>
        <w:jc w:val="both"/>
        <w:rPr>
          <w:rFonts w:ascii="Times New Roman" w:hAnsi="Times New Roman" w:cs="Times New Roman"/>
          <w:i/>
          <w:iCs/>
          <w:sz w:val="20"/>
          <w:szCs w:val="20"/>
        </w:rPr>
      </w:pPr>
      <w:r w:rsidRPr="00626239">
        <w:rPr>
          <w:rFonts w:ascii="Times New Roman" w:hAnsi="Times New Roman" w:cs="Times New Roman"/>
          <w:i/>
          <w:iCs/>
          <w:sz w:val="20"/>
          <w:szCs w:val="20"/>
        </w:rPr>
        <w:t xml:space="preserve">4. No dia 19 de Dezembro de 1997, no 24.º Cartório Notarial de Lisboa, conforme cópia da escritura junta com o requerimento inicial como documento n.º 1 e que se dá aqui por reproduzida, a sociedade comercial holandesa </w:t>
      </w:r>
      <w:proofErr w:type="spellStart"/>
      <w:r w:rsidRPr="00626239">
        <w:rPr>
          <w:rFonts w:ascii="Times New Roman" w:hAnsi="Times New Roman" w:cs="Times New Roman"/>
          <w:i/>
          <w:iCs/>
          <w:sz w:val="20"/>
          <w:szCs w:val="20"/>
        </w:rPr>
        <w:t>Asmto</w:t>
      </w:r>
      <w:proofErr w:type="spellEnd"/>
      <w:r w:rsidRPr="00626239">
        <w:rPr>
          <w:rFonts w:ascii="Times New Roman" w:hAnsi="Times New Roman" w:cs="Times New Roman"/>
          <w:i/>
          <w:iCs/>
          <w:sz w:val="20"/>
          <w:szCs w:val="20"/>
        </w:rPr>
        <w:t xml:space="preserve"> Holding, BV., à data proprietária e senhoria do prédio urbano situado em Lisboa, na Rua Rodrigo da Fonseca, números 51 a 53 e 53-A, freguesia de Santo António (anterior freguesia de São Mamede), concelho de Lisboa, inscrito na </w:t>
      </w:r>
      <w:proofErr w:type="spellStart"/>
      <w:r w:rsidRPr="00626239">
        <w:rPr>
          <w:rFonts w:ascii="Times New Roman" w:hAnsi="Times New Roman" w:cs="Times New Roman"/>
          <w:i/>
          <w:iCs/>
          <w:sz w:val="20"/>
          <w:szCs w:val="20"/>
        </w:rPr>
        <w:t>respectiva</w:t>
      </w:r>
      <w:proofErr w:type="spellEnd"/>
      <w:r w:rsidRPr="00626239">
        <w:rPr>
          <w:rFonts w:ascii="Times New Roman" w:hAnsi="Times New Roman" w:cs="Times New Roman"/>
          <w:i/>
          <w:iCs/>
          <w:sz w:val="20"/>
          <w:szCs w:val="20"/>
        </w:rPr>
        <w:t xml:space="preserve"> matriz urbana sob o artigo 904 que proveio do anterior artigo 532, através dos seus representantes, na qualidade de primeiros outorgantes, e os representantes da requerida, em representação desta, na qualidade de segundos outorgantes, declararam perante notário o seguinte: a primeira dar de arrendamento à segunda “uma área determinada, com a zona de cento e noventa e sete metros quadrados no rés-do-chão” do prédio referido em 1. e “uma vaga de garagem na cave”, pelo prazo de “doze meses, com início no dia um de Janeiro de mil novecentos e noventa e oito, pela renda mensal de duzentos e trinta e três mil e quinhentos escudos, nos termos e cláusulas constantes do documento complementar”; e os segundos, em representação da requerida, declararam aceitar o arrendamento nos termos exarados.</w:t>
      </w:r>
    </w:p>
    <w:p w14:paraId="476D4780" w14:textId="77777777" w:rsidR="000E578D" w:rsidRPr="00626239" w:rsidRDefault="000E578D" w:rsidP="003C019A">
      <w:pPr>
        <w:spacing w:line="240" w:lineRule="auto"/>
        <w:contextualSpacing/>
        <w:jc w:val="both"/>
        <w:rPr>
          <w:rFonts w:ascii="Times New Roman" w:hAnsi="Times New Roman" w:cs="Times New Roman"/>
          <w:i/>
          <w:iCs/>
          <w:sz w:val="20"/>
          <w:szCs w:val="20"/>
        </w:rPr>
      </w:pPr>
      <w:r w:rsidRPr="00626239">
        <w:rPr>
          <w:rFonts w:ascii="Times New Roman" w:hAnsi="Times New Roman" w:cs="Times New Roman"/>
          <w:i/>
          <w:iCs/>
          <w:sz w:val="20"/>
          <w:szCs w:val="20"/>
        </w:rPr>
        <w:t xml:space="preserve">5. Da cláusula segunda do documento complementar mencionado em 4. consta: “O presente contrato é feito, pelo prazo de um ano, tendo o seu início em um de Janeiro de mil novecentos e noventa e oito e termo a trinta e um de Dezembro de mil novecentos e noventa e oito, supondo-se sucessiva e automaticamente renovado por períodos de um ano se a segunda outorgante não o denunciar, por carta registada e com aviso de </w:t>
      </w:r>
      <w:proofErr w:type="spellStart"/>
      <w:r w:rsidRPr="00626239">
        <w:rPr>
          <w:rFonts w:ascii="Times New Roman" w:hAnsi="Times New Roman" w:cs="Times New Roman"/>
          <w:i/>
          <w:iCs/>
          <w:sz w:val="20"/>
          <w:szCs w:val="20"/>
        </w:rPr>
        <w:t>recepção</w:t>
      </w:r>
      <w:proofErr w:type="spellEnd"/>
      <w:r w:rsidRPr="00626239">
        <w:rPr>
          <w:rFonts w:ascii="Times New Roman" w:hAnsi="Times New Roman" w:cs="Times New Roman"/>
          <w:i/>
          <w:iCs/>
          <w:sz w:val="20"/>
          <w:szCs w:val="20"/>
        </w:rPr>
        <w:t xml:space="preserve">, até noventa dias antes do termo do prazo ou do termo de qualquer uma das renovações”. </w:t>
      </w:r>
    </w:p>
    <w:p w14:paraId="53A1A059" w14:textId="77777777" w:rsidR="000E578D" w:rsidRPr="00626239" w:rsidRDefault="000E578D" w:rsidP="003C019A">
      <w:pPr>
        <w:spacing w:line="240" w:lineRule="auto"/>
        <w:contextualSpacing/>
        <w:jc w:val="both"/>
        <w:rPr>
          <w:rFonts w:ascii="Times New Roman" w:hAnsi="Times New Roman" w:cs="Times New Roman"/>
          <w:i/>
          <w:iCs/>
          <w:sz w:val="20"/>
          <w:szCs w:val="20"/>
        </w:rPr>
      </w:pPr>
      <w:r w:rsidRPr="00626239">
        <w:rPr>
          <w:rFonts w:ascii="Times New Roman" w:hAnsi="Times New Roman" w:cs="Times New Roman"/>
          <w:i/>
          <w:iCs/>
          <w:sz w:val="20"/>
          <w:szCs w:val="20"/>
        </w:rPr>
        <w:t xml:space="preserve">6. No dia 29 de Dezembro de 1997, por escritura pública de compra e venda, a sociedade </w:t>
      </w:r>
      <w:proofErr w:type="spellStart"/>
      <w:r w:rsidRPr="00626239">
        <w:rPr>
          <w:rFonts w:ascii="Times New Roman" w:hAnsi="Times New Roman" w:cs="Times New Roman"/>
          <w:i/>
          <w:iCs/>
          <w:sz w:val="20"/>
          <w:szCs w:val="20"/>
        </w:rPr>
        <w:t>Asmto</w:t>
      </w:r>
      <w:proofErr w:type="spellEnd"/>
      <w:r w:rsidRPr="00626239">
        <w:rPr>
          <w:rFonts w:ascii="Times New Roman" w:hAnsi="Times New Roman" w:cs="Times New Roman"/>
          <w:i/>
          <w:iCs/>
          <w:sz w:val="20"/>
          <w:szCs w:val="20"/>
        </w:rPr>
        <w:t xml:space="preserve"> Holding, BV., vendeu ao IMOVEST – Fundo de Investimentos Imobiliários o prédio urbano descrito em 1.</w:t>
      </w:r>
    </w:p>
    <w:p w14:paraId="7A915B08" w14:textId="77777777" w:rsidR="000E578D" w:rsidRPr="00626239" w:rsidRDefault="000E578D" w:rsidP="003C019A">
      <w:pPr>
        <w:spacing w:line="240" w:lineRule="auto"/>
        <w:contextualSpacing/>
        <w:jc w:val="both"/>
        <w:rPr>
          <w:rFonts w:ascii="Times New Roman" w:hAnsi="Times New Roman" w:cs="Times New Roman"/>
          <w:i/>
          <w:iCs/>
          <w:sz w:val="20"/>
          <w:szCs w:val="20"/>
        </w:rPr>
      </w:pPr>
      <w:r w:rsidRPr="00626239">
        <w:rPr>
          <w:rFonts w:ascii="Times New Roman" w:hAnsi="Times New Roman" w:cs="Times New Roman"/>
          <w:i/>
          <w:iCs/>
          <w:sz w:val="20"/>
          <w:szCs w:val="20"/>
        </w:rPr>
        <w:t>7. O IMOVEST – Fundo de Investimentos Imobiliários foi objecto de operação de fusão, por incorporação no NOVIMOVEST – Fundo de Investimento Imobiliário, com transferência integral do património e consequente extinção do Fundo incorporado, com efeitos a partir de 19 de Março de 2010.</w:t>
      </w:r>
    </w:p>
    <w:p w14:paraId="355E46E8" w14:textId="77777777" w:rsidR="000E578D" w:rsidRPr="00626239" w:rsidRDefault="000E578D" w:rsidP="003C019A">
      <w:pPr>
        <w:spacing w:line="240" w:lineRule="auto"/>
        <w:contextualSpacing/>
        <w:jc w:val="both"/>
        <w:rPr>
          <w:rFonts w:ascii="Times New Roman" w:hAnsi="Times New Roman" w:cs="Times New Roman"/>
          <w:i/>
          <w:iCs/>
          <w:sz w:val="20"/>
          <w:szCs w:val="20"/>
        </w:rPr>
      </w:pPr>
      <w:r w:rsidRPr="00626239">
        <w:rPr>
          <w:rFonts w:ascii="Times New Roman" w:hAnsi="Times New Roman" w:cs="Times New Roman"/>
          <w:i/>
          <w:iCs/>
          <w:sz w:val="20"/>
          <w:szCs w:val="20"/>
        </w:rPr>
        <w:t>8. No dia 29 de Maio de 2015, por escritura pública de compra e venda, mútuo com hipoteca e consignação de rendimentos, o NOVIMOVEST – Fundo de Investimento Imobiliário vendeu à Requerente o prédio urbano referido em 1.</w:t>
      </w:r>
    </w:p>
    <w:p w14:paraId="7CD2F5A3" w14:textId="77777777" w:rsidR="000E578D" w:rsidRPr="00626239" w:rsidRDefault="000E578D" w:rsidP="003C019A">
      <w:pPr>
        <w:spacing w:line="240" w:lineRule="auto"/>
        <w:contextualSpacing/>
        <w:jc w:val="both"/>
        <w:rPr>
          <w:rFonts w:ascii="Times New Roman" w:hAnsi="Times New Roman" w:cs="Times New Roman"/>
          <w:i/>
          <w:iCs/>
          <w:sz w:val="20"/>
          <w:szCs w:val="20"/>
        </w:rPr>
      </w:pPr>
      <w:r w:rsidRPr="00626239">
        <w:rPr>
          <w:rFonts w:ascii="Times New Roman" w:hAnsi="Times New Roman" w:cs="Times New Roman"/>
          <w:i/>
          <w:iCs/>
          <w:sz w:val="20"/>
          <w:szCs w:val="20"/>
        </w:rPr>
        <w:t xml:space="preserve">9. A Requerida e a Requerente outorgaram, em 1 de Fevereiro de 2017, a “Adenda ao Contrato de Arrendamento para Fins Não Habitacionais celebrado em 19/12/1997”, junta com o articulado de resposta às </w:t>
      </w:r>
      <w:proofErr w:type="spellStart"/>
      <w:r w:rsidRPr="00626239">
        <w:rPr>
          <w:rFonts w:ascii="Times New Roman" w:hAnsi="Times New Roman" w:cs="Times New Roman"/>
          <w:i/>
          <w:iCs/>
          <w:sz w:val="20"/>
          <w:szCs w:val="20"/>
        </w:rPr>
        <w:t>excepções</w:t>
      </w:r>
      <w:proofErr w:type="spellEnd"/>
      <w:r w:rsidRPr="00626239">
        <w:rPr>
          <w:rFonts w:ascii="Times New Roman" w:hAnsi="Times New Roman" w:cs="Times New Roman"/>
          <w:i/>
          <w:iCs/>
          <w:sz w:val="20"/>
          <w:szCs w:val="20"/>
        </w:rPr>
        <w:t xml:space="preserve"> como documento n.º4, cujo teor se dá aqui por reproduzido.</w:t>
      </w:r>
    </w:p>
    <w:p w14:paraId="442679BB" w14:textId="77777777" w:rsidR="000E578D" w:rsidRPr="00626239" w:rsidRDefault="000E578D" w:rsidP="003C019A">
      <w:pPr>
        <w:spacing w:line="240" w:lineRule="auto"/>
        <w:contextualSpacing/>
        <w:jc w:val="both"/>
        <w:rPr>
          <w:rFonts w:ascii="Times New Roman" w:hAnsi="Times New Roman" w:cs="Times New Roman"/>
          <w:i/>
          <w:iCs/>
          <w:sz w:val="20"/>
          <w:szCs w:val="20"/>
        </w:rPr>
      </w:pPr>
      <w:r w:rsidRPr="00626239">
        <w:rPr>
          <w:rFonts w:ascii="Times New Roman" w:hAnsi="Times New Roman" w:cs="Times New Roman"/>
          <w:i/>
          <w:iCs/>
          <w:sz w:val="20"/>
          <w:szCs w:val="20"/>
        </w:rPr>
        <w:t xml:space="preserve">10. Mediante carta registada, com aviso de </w:t>
      </w:r>
      <w:proofErr w:type="spellStart"/>
      <w:r w:rsidRPr="00626239">
        <w:rPr>
          <w:rFonts w:ascii="Times New Roman" w:hAnsi="Times New Roman" w:cs="Times New Roman"/>
          <w:i/>
          <w:iCs/>
          <w:sz w:val="20"/>
          <w:szCs w:val="20"/>
        </w:rPr>
        <w:t>recepção</w:t>
      </w:r>
      <w:proofErr w:type="spellEnd"/>
      <w:r w:rsidRPr="00626239">
        <w:rPr>
          <w:rFonts w:ascii="Times New Roman" w:hAnsi="Times New Roman" w:cs="Times New Roman"/>
          <w:i/>
          <w:iCs/>
          <w:sz w:val="20"/>
          <w:szCs w:val="20"/>
        </w:rPr>
        <w:t xml:space="preserve">, datada de 26 de Junho de 2017, junta com o requerimento inicial como documento n.º 5 e cujo teor se dá aqui como reproduzido, a Requerente comunicou a sua intenção de se opor à renovação do referido contrato de arrendamento, com efeitos a partir de 31 de Dezembro de 2019, tendo a requerida </w:t>
      </w:r>
      <w:proofErr w:type="spellStart"/>
      <w:r w:rsidRPr="00626239">
        <w:rPr>
          <w:rFonts w:ascii="Times New Roman" w:hAnsi="Times New Roman" w:cs="Times New Roman"/>
          <w:i/>
          <w:iCs/>
          <w:sz w:val="20"/>
          <w:szCs w:val="20"/>
        </w:rPr>
        <w:t>recepcionado</w:t>
      </w:r>
      <w:proofErr w:type="spellEnd"/>
      <w:r w:rsidRPr="00626239">
        <w:rPr>
          <w:rFonts w:ascii="Times New Roman" w:hAnsi="Times New Roman" w:cs="Times New Roman"/>
          <w:i/>
          <w:iCs/>
          <w:sz w:val="20"/>
          <w:szCs w:val="20"/>
        </w:rPr>
        <w:t xml:space="preserve"> a carta a 29 de Junho de 2017.</w:t>
      </w:r>
    </w:p>
    <w:p w14:paraId="1318DD2B" w14:textId="691315B2" w:rsidR="000E578D" w:rsidRPr="000E578D" w:rsidRDefault="000E578D" w:rsidP="003C019A">
      <w:pPr>
        <w:spacing w:line="240" w:lineRule="auto"/>
        <w:contextualSpacing/>
        <w:jc w:val="both"/>
        <w:rPr>
          <w:rFonts w:ascii="Times New Roman" w:hAnsi="Times New Roman" w:cs="Times New Roman"/>
          <w:sz w:val="24"/>
          <w:szCs w:val="24"/>
        </w:rPr>
      </w:pPr>
      <w:r w:rsidRPr="00626239">
        <w:rPr>
          <w:rFonts w:ascii="Times New Roman" w:hAnsi="Times New Roman" w:cs="Times New Roman"/>
          <w:i/>
          <w:iCs/>
          <w:sz w:val="20"/>
          <w:szCs w:val="20"/>
        </w:rPr>
        <w:t xml:space="preserve">11. Por carta registada, com aviso de </w:t>
      </w:r>
      <w:proofErr w:type="spellStart"/>
      <w:r w:rsidRPr="00626239">
        <w:rPr>
          <w:rFonts w:ascii="Times New Roman" w:hAnsi="Times New Roman" w:cs="Times New Roman"/>
          <w:i/>
          <w:iCs/>
          <w:sz w:val="20"/>
          <w:szCs w:val="20"/>
        </w:rPr>
        <w:t>recepção</w:t>
      </w:r>
      <w:proofErr w:type="spellEnd"/>
      <w:r w:rsidRPr="00626239">
        <w:rPr>
          <w:rFonts w:ascii="Times New Roman" w:hAnsi="Times New Roman" w:cs="Times New Roman"/>
          <w:i/>
          <w:iCs/>
          <w:sz w:val="20"/>
          <w:szCs w:val="20"/>
        </w:rPr>
        <w:t>, datada de 16 de Abril de 2019, enviada pela requerente à requerida aquela reiterou a sua intenção de se opor à renovação do contrato.</w:t>
      </w:r>
      <w:r w:rsidR="00E660AB">
        <w:rPr>
          <w:rFonts w:ascii="Times New Roman" w:hAnsi="Times New Roman" w:cs="Times New Roman"/>
          <w:sz w:val="24"/>
          <w:szCs w:val="24"/>
        </w:rPr>
        <w:t>”</w:t>
      </w:r>
    </w:p>
    <w:p w14:paraId="5B1A3859" w14:textId="40AECD73" w:rsidR="000E578D" w:rsidRPr="00626239" w:rsidRDefault="00626239" w:rsidP="000E578D">
      <w:pPr>
        <w:spacing w:line="360" w:lineRule="auto"/>
        <w:rPr>
          <w:rFonts w:ascii="Times New Roman" w:hAnsi="Times New Roman" w:cs="Times New Roman"/>
          <w:b/>
          <w:bCs/>
          <w:sz w:val="24"/>
          <w:szCs w:val="24"/>
        </w:rPr>
      </w:pPr>
      <w:r w:rsidRPr="00626239">
        <w:rPr>
          <w:rFonts w:ascii="Times New Roman" w:hAnsi="Times New Roman" w:cs="Times New Roman"/>
          <w:b/>
          <w:bCs/>
          <w:sz w:val="24"/>
          <w:szCs w:val="24"/>
        </w:rPr>
        <w:t>B) De Direito</w:t>
      </w:r>
    </w:p>
    <w:p w14:paraId="0C013DF5" w14:textId="77777777" w:rsidR="00FD6C8C" w:rsidRDefault="00FD6C8C" w:rsidP="00FD6C8C">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Das nulidades</w:t>
      </w:r>
    </w:p>
    <w:p w14:paraId="1B8859CA" w14:textId="77777777" w:rsidR="00D82EEB" w:rsidRDefault="00FD6C8C" w:rsidP="00D82EEB">
      <w:pPr>
        <w:pStyle w:val="PargrafodaLista"/>
        <w:numPr>
          <w:ilvl w:val="0"/>
          <w:numId w:val="15"/>
        </w:numPr>
        <w:spacing w:after="0" w:line="360" w:lineRule="auto"/>
        <w:ind w:left="357" w:firstLine="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Importa</w:t>
      </w:r>
      <w:r w:rsidR="00D82EEB">
        <w:rPr>
          <w:rFonts w:ascii="Times New Roman" w:eastAsia="Times New Roman" w:hAnsi="Times New Roman" w:cs="Times New Roman"/>
          <w:color w:val="000000"/>
          <w:sz w:val="24"/>
          <w:szCs w:val="24"/>
        </w:rPr>
        <w:t>, nesta sede,</w:t>
      </w:r>
      <w:r>
        <w:rPr>
          <w:rFonts w:ascii="Times New Roman" w:eastAsia="Times New Roman" w:hAnsi="Times New Roman" w:cs="Times New Roman"/>
          <w:color w:val="000000"/>
          <w:sz w:val="24"/>
          <w:szCs w:val="24"/>
        </w:rPr>
        <w:t xml:space="preserve"> recordar a distinção entre causas de invalidade do acórdão recorrido (</w:t>
      </w:r>
      <w:proofErr w:type="spellStart"/>
      <w:r w:rsidRPr="00E64755">
        <w:rPr>
          <w:rFonts w:ascii="Times New Roman" w:eastAsia="Times New Roman" w:hAnsi="Times New Roman" w:cs="Times New Roman"/>
          <w:color w:val="000000"/>
          <w:sz w:val="24"/>
          <w:szCs w:val="24"/>
        </w:rPr>
        <w:t>arts</w:t>
      </w:r>
      <w:proofErr w:type="spellEnd"/>
      <w:r w:rsidRPr="00E64755">
        <w:rPr>
          <w:rFonts w:ascii="Times New Roman" w:eastAsia="Times New Roman" w:hAnsi="Times New Roman" w:cs="Times New Roman"/>
          <w:color w:val="000000"/>
          <w:sz w:val="24"/>
          <w:szCs w:val="24"/>
        </w:rPr>
        <w:t>. 615.º, 666.º, e 674.º, n.º 1, al. c), do CPC</w:t>
      </w:r>
      <w:r>
        <w:rPr>
          <w:rFonts w:ascii="Times New Roman" w:eastAsia="Times New Roman" w:hAnsi="Times New Roman" w:cs="Times New Roman"/>
          <w:color w:val="000000"/>
          <w:sz w:val="24"/>
          <w:szCs w:val="24"/>
        </w:rPr>
        <w:t>)</w:t>
      </w:r>
      <w:r w:rsidRPr="00E6475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de um lado e, de outro, </w:t>
      </w:r>
      <w:r w:rsidRPr="00E64755">
        <w:rPr>
          <w:rFonts w:ascii="Times New Roman" w:eastAsia="Times New Roman" w:hAnsi="Times New Roman" w:cs="Times New Roman"/>
          <w:color w:val="000000"/>
          <w:sz w:val="24"/>
          <w:szCs w:val="24"/>
        </w:rPr>
        <w:t>erro de julgamento da matéria de facto</w:t>
      </w:r>
      <w:r>
        <w:rPr>
          <w:rFonts w:ascii="Times New Roman" w:eastAsia="Times New Roman" w:hAnsi="Times New Roman" w:cs="Times New Roman"/>
          <w:color w:val="000000"/>
          <w:sz w:val="24"/>
          <w:szCs w:val="24"/>
        </w:rPr>
        <w:t xml:space="preserve"> (</w:t>
      </w:r>
      <w:proofErr w:type="spellStart"/>
      <w:r w:rsidRPr="00E64755">
        <w:rPr>
          <w:rFonts w:ascii="Times New Roman" w:eastAsia="Times New Roman" w:hAnsi="Times New Roman" w:cs="Times New Roman"/>
          <w:color w:val="000000"/>
          <w:sz w:val="24"/>
          <w:szCs w:val="24"/>
        </w:rPr>
        <w:t>art</w:t>
      </w:r>
      <w:proofErr w:type="spellEnd"/>
      <w:r w:rsidRPr="00E64755">
        <w:rPr>
          <w:rFonts w:ascii="Times New Roman" w:eastAsia="Times New Roman" w:hAnsi="Times New Roman" w:cs="Times New Roman"/>
          <w:color w:val="000000"/>
          <w:sz w:val="24"/>
          <w:szCs w:val="24"/>
        </w:rPr>
        <w:t>. 662.º do CPC</w:t>
      </w:r>
      <w:r>
        <w:rPr>
          <w:rFonts w:ascii="Times New Roman" w:eastAsia="Times New Roman" w:hAnsi="Times New Roman" w:cs="Times New Roman"/>
          <w:color w:val="000000"/>
          <w:sz w:val="24"/>
          <w:szCs w:val="24"/>
        </w:rPr>
        <w:t>)</w:t>
      </w:r>
      <w:r w:rsidRPr="00E6475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que apenas é sindicável pelo Supremo Tribunal de Justiça nos termos do </w:t>
      </w:r>
      <w:proofErr w:type="spellStart"/>
      <w:r w:rsidRPr="00E64755">
        <w:rPr>
          <w:rFonts w:ascii="Times New Roman" w:eastAsia="Times New Roman" w:hAnsi="Times New Roman" w:cs="Times New Roman"/>
          <w:color w:val="000000"/>
          <w:sz w:val="24"/>
          <w:szCs w:val="24"/>
        </w:rPr>
        <w:t>art</w:t>
      </w:r>
      <w:proofErr w:type="spellEnd"/>
      <w:r w:rsidRPr="00E64755">
        <w:rPr>
          <w:rFonts w:ascii="Times New Roman" w:eastAsia="Times New Roman" w:hAnsi="Times New Roman" w:cs="Times New Roman"/>
          <w:color w:val="000000"/>
          <w:sz w:val="24"/>
          <w:szCs w:val="24"/>
        </w:rPr>
        <w:t>. 674.º, n.º 3, do CPC, e erro de julgamento na apreciação do direito, amplamente sindicável p</w:t>
      </w:r>
      <w:r>
        <w:rPr>
          <w:rFonts w:ascii="Times New Roman" w:eastAsia="Times New Roman" w:hAnsi="Times New Roman" w:cs="Times New Roman"/>
          <w:color w:val="000000"/>
          <w:sz w:val="24"/>
          <w:szCs w:val="24"/>
        </w:rPr>
        <w:t xml:space="preserve">or este </w:t>
      </w:r>
      <w:r w:rsidRPr="00E64755">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ribunal</w:t>
      </w:r>
      <w:r w:rsidRPr="00E64755">
        <w:rPr>
          <w:rFonts w:ascii="Times New Roman" w:eastAsia="Times New Roman" w:hAnsi="Times New Roman" w:cs="Times New Roman"/>
          <w:color w:val="000000"/>
          <w:sz w:val="24"/>
          <w:szCs w:val="24"/>
        </w:rPr>
        <w:t xml:space="preserve">, nos termos do </w:t>
      </w:r>
      <w:proofErr w:type="spellStart"/>
      <w:r w:rsidRPr="00E64755">
        <w:rPr>
          <w:rFonts w:ascii="Times New Roman" w:eastAsia="Times New Roman" w:hAnsi="Times New Roman" w:cs="Times New Roman"/>
          <w:color w:val="000000"/>
          <w:sz w:val="24"/>
          <w:szCs w:val="24"/>
        </w:rPr>
        <w:t>art</w:t>
      </w:r>
      <w:proofErr w:type="spellEnd"/>
      <w:r w:rsidRPr="00E64755">
        <w:rPr>
          <w:rFonts w:ascii="Times New Roman" w:eastAsia="Times New Roman" w:hAnsi="Times New Roman" w:cs="Times New Roman"/>
          <w:color w:val="000000"/>
          <w:sz w:val="24"/>
          <w:szCs w:val="24"/>
        </w:rPr>
        <w:t>. 674.º n.º 1</w:t>
      </w:r>
      <w:r>
        <w:rPr>
          <w:rFonts w:ascii="Times New Roman" w:eastAsia="Times New Roman" w:hAnsi="Times New Roman" w:cs="Times New Roman"/>
          <w:color w:val="000000"/>
          <w:sz w:val="24"/>
          <w:szCs w:val="24"/>
        </w:rPr>
        <w:t>,</w:t>
      </w:r>
      <w:r w:rsidRPr="00E64755">
        <w:rPr>
          <w:rFonts w:ascii="Times New Roman" w:eastAsia="Times New Roman" w:hAnsi="Times New Roman" w:cs="Times New Roman"/>
          <w:color w:val="000000"/>
          <w:sz w:val="24"/>
          <w:szCs w:val="24"/>
        </w:rPr>
        <w:t xml:space="preserve"> al. a)</w:t>
      </w:r>
      <w:r>
        <w:rPr>
          <w:rFonts w:ascii="Times New Roman" w:eastAsia="Times New Roman" w:hAnsi="Times New Roman" w:cs="Times New Roman"/>
          <w:color w:val="000000"/>
          <w:sz w:val="24"/>
          <w:szCs w:val="24"/>
        </w:rPr>
        <w:t>,</w:t>
      </w:r>
      <w:r w:rsidRPr="00E64755">
        <w:rPr>
          <w:rFonts w:ascii="Times New Roman" w:eastAsia="Times New Roman" w:hAnsi="Times New Roman" w:cs="Times New Roman"/>
          <w:color w:val="000000"/>
          <w:sz w:val="24"/>
          <w:szCs w:val="24"/>
        </w:rPr>
        <w:t xml:space="preserve"> do CPC.</w:t>
      </w:r>
    </w:p>
    <w:p w14:paraId="76A7CF91" w14:textId="54CD1D3E" w:rsidR="00D82EEB" w:rsidRDefault="00FD6C8C" w:rsidP="00D82EEB">
      <w:pPr>
        <w:pStyle w:val="PargrafodaLista"/>
        <w:numPr>
          <w:ilvl w:val="0"/>
          <w:numId w:val="15"/>
        </w:numPr>
        <w:spacing w:after="0" w:line="360" w:lineRule="auto"/>
        <w:ind w:left="357" w:firstLine="357"/>
        <w:jc w:val="both"/>
        <w:rPr>
          <w:rFonts w:ascii="Times New Roman" w:eastAsia="Times New Roman" w:hAnsi="Times New Roman" w:cs="Times New Roman"/>
          <w:color w:val="000000"/>
          <w:sz w:val="24"/>
          <w:szCs w:val="24"/>
        </w:rPr>
      </w:pPr>
      <w:r w:rsidRPr="00D82EEB">
        <w:rPr>
          <w:rFonts w:ascii="Times New Roman" w:eastAsia="Times New Roman" w:hAnsi="Times New Roman" w:cs="Times New Roman"/>
          <w:color w:val="000000"/>
          <w:sz w:val="24"/>
          <w:szCs w:val="24"/>
        </w:rPr>
        <w:t xml:space="preserve">Enquanto a consequência de erro de julgamento dos factos e/ou de direito das decisões judicias é a </w:t>
      </w:r>
      <w:r w:rsidR="00712DF9">
        <w:rPr>
          <w:rFonts w:ascii="Times New Roman" w:eastAsia="Times New Roman" w:hAnsi="Times New Roman" w:cs="Times New Roman"/>
          <w:color w:val="000000"/>
          <w:sz w:val="24"/>
          <w:szCs w:val="24"/>
        </w:rPr>
        <w:t xml:space="preserve">sua </w:t>
      </w:r>
      <w:r w:rsidRPr="00D82EEB">
        <w:rPr>
          <w:rFonts w:ascii="Times New Roman" w:eastAsia="Times New Roman" w:hAnsi="Times New Roman" w:cs="Times New Roman"/>
          <w:color w:val="000000"/>
          <w:sz w:val="24"/>
          <w:szCs w:val="24"/>
        </w:rPr>
        <w:t>revogação, a da violação de regras próprias da sua elaboração e/ou estruturação, ou daquelas que delimitam o conteúdo e/ou estabelecem os limites do poder ao abrigo do qual são decretadas, é a da nulidade (</w:t>
      </w:r>
      <w:proofErr w:type="spellStart"/>
      <w:r w:rsidRPr="00D82EEB">
        <w:rPr>
          <w:rFonts w:ascii="Times New Roman" w:eastAsia="Times New Roman" w:hAnsi="Times New Roman" w:cs="Times New Roman"/>
          <w:color w:val="000000"/>
          <w:sz w:val="24"/>
          <w:szCs w:val="24"/>
        </w:rPr>
        <w:t>art</w:t>
      </w:r>
      <w:proofErr w:type="spellEnd"/>
      <w:r w:rsidRPr="00D82EEB">
        <w:rPr>
          <w:rFonts w:ascii="Times New Roman" w:eastAsia="Times New Roman" w:hAnsi="Times New Roman" w:cs="Times New Roman"/>
          <w:color w:val="000000"/>
          <w:sz w:val="24"/>
          <w:szCs w:val="24"/>
        </w:rPr>
        <w:t xml:space="preserve">. 615.º do CPC). </w:t>
      </w:r>
    </w:p>
    <w:p w14:paraId="5CB36E96" w14:textId="77777777" w:rsidR="00D82EEB" w:rsidRPr="00D82EEB" w:rsidRDefault="00FD6C8C" w:rsidP="00D82EEB">
      <w:pPr>
        <w:pStyle w:val="PargrafodaLista"/>
        <w:numPr>
          <w:ilvl w:val="0"/>
          <w:numId w:val="15"/>
        </w:numPr>
        <w:spacing w:after="0" w:line="360" w:lineRule="auto"/>
        <w:ind w:left="357" w:firstLine="357"/>
        <w:jc w:val="both"/>
        <w:rPr>
          <w:rFonts w:ascii="Times New Roman" w:eastAsia="Times New Roman" w:hAnsi="Times New Roman" w:cs="Times New Roman"/>
          <w:color w:val="000000"/>
          <w:sz w:val="24"/>
          <w:szCs w:val="24"/>
        </w:rPr>
      </w:pPr>
      <w:r w:rsidRPr="00D82EEB">
        <w:rPr>
          <w:rFonts w:ascii="Times New Roman" w:eastAsia="Times New Roman" w:hAnsi="Times New Roman" w:cs="Times New Roman"/>
          <w:color w:val="000000"/>
          <w:sz w:val="24"/>
          <w:szCs w:val="24"/>
        </w:rPr>
        <w:t xml:space="preserve">Na primeira hipótese, </w:t>
      </w:r>
      <w:r w:rsidRPr="00D82EEB">
        <w:rPr>
          <w:rFonts w:ascii="Times New Roman" w:hAnsi="Times New Roman" w:cs="Times New Roman"/>
          <w:sz w:val="24"/>
          <w:szCs w:val="24"/>
        </w:rPr>
        <w:t>diferentemente da segunda, trata-se de erro de julgamento (</w:t>
      </w:r>
      <w:r w:rsidRPr="00D82EEB">
        <w:rPr>
          <w:rFonts w:ascii="Times New Roman" w:hAnsi="Times New Roman" w:cs="Times New Roman"/>
          <w:i/>
          <w:iCs/>
          <w:sz w:val="24"/>
          <w:szCs w:val="24"/>
        </w:rPr>
        <w:t xml:space="preserve">error in </w:t>
      </w:r>
      <w:proofErr w:type="spellStart"/>
      <w:r w:rsidRPr="00D82EEB">
        <w:rPr>
          <w:rFonts w:ascii="Times New Roman" w:hAnsi="Times New Roman" w:cs="Times New Roman"/>
          <w:i/>
          <w:iCs/>
          <w:sz w:val="24"/>
          <w:szCs w:val="24"/>
        </w:rPr>
        <w:t>judicando</w:t>
      </w:r>
      <w:proofErr w:type="spellEnd"/>
      <w:r w:rsidRPr="00D82EEB">
        <w:rPr>
          <w:rFonts w:ascii="Times New Roman" w:hAnsi="Times New Roman" w:cs="Times New Roman"/>
          <w:sz w:val="24"/>
          <w:szCs w:val="24"/>
        </w:rPr>
        <w:t xml:space="preserve">), que se traduz em vício no julgamento da matéria de facto ou da decisão de mérito. Esse vício resulta de distorção, por parte do julgador, da realidade factual julgada provada e/ou não provada, em virtude de a prova produzida impor julgamento de facto diverso do realizado pelo tribunal </w:t>
      </w:r>
      <w:r w:rsidRPr="00D82EEB">
        <w:rPr>
          <w:rFonts w:ascii="Times New Roman" w:hAnsi="Times New Roman" w:cs="Times New Roman"/>
          <w:i/>
          <w:iCs/>
          <w:sz w:val="24"/>
          <w:szCs w:val="24"/>
        </w:rPr>
        <w:t>a quo</w:t>
      </w:r>
      <w:r w:rsidRPr="00D82EEB">
        <w:rPr>
          <w:rFonts w:ascii="Times New Roman" w:hAnsi="Times New Roman" w:cs="Times New Roman"/>
          <w:sz w:val="24"/>
          <w:szCs w:val="24"/>
        </w:rPr>
        <w:t xml:space="preserve"> (</w:t>
      </w:r>
      <w:r w:rsidRPr="00D82EEB">
        <w:rPr>
          <w:rFonts w:ascii="Times New Roman" w:hAnsi="Times New Roman" w:cs="Times New Roman"/>
          <w:i/>
          <w:iCs/>
          <w:sz w:val="24"/>
          <w:szCs w:val="24"/>
        </w:rPr>
        <w:t xml:space="preserve">error </w:t>
      </w:r>
      <w:proofErr w:type="spellStart"/>
      <w:r w:rsidRPr="00D82EEB">
        <w:rPr>
          <w:rFonts w:ascii="Times New Roman" w:hAnsi="Times New Roman" w:cs="Times New Roman"/>
          <w:i/>
          <w:iCs/>
          <w:sz w:val="24"/>
          <w:szCs w:val="24"/>
        </w:rPr>
        <w:t>facti</w:t>
      </w:r>
      <w:proofErr w:type="spellEnd"/>
      <w:r w:rsidRPr="00D82EEB">
        <w:rPr>
          <w:rFonts w:ascii="Times New Roman" w:hAnsi="Times New Roman" w:cs="Times New Roman"/>
          <w:sz w:val="24"/>
          <w:szCs w:val="24"/>
        </w:rPr>
        <w:t>) e/ou de erro na aplicação do direito (</w:t>
      </w:r>
      <w:r w:rsidRPr="00D82EEB">
        <w:rPr>
          <w:rFonts w:ascii="Times New Roman" w:hAnsi="Times New Roman" w:cs="Times New Roman"/>
          <w:i/>
          <w:iCs/>
          <w:sz w:val="24"/>
          <w:szCs w:val="24"/>
        </w:rPr>
        <w:t xml:space="preserve">error </w:t>
      </w:r>
      <w:proofErr w:type="spellStart"/>
      <w:r w:rsidRPr="00D82EEB">
        <w:rPr>
          <w:rFonts w:ascii="Times New Roman" w:hAnsi="Times New Roman" w:cs="Times New Roman"/>
          <w:i/>
          <w:iCs/>
          <w:sz w:val="24"/>
          <w:szCs w:val="24"/>
        </w:rPr>
        <w:t>juris</w:t>
      </w:r>
      <w:proofErr w:type="spellEnd"/>
      <w:r w:rsidRPr="00D82EEB">
        <w:rPr>
          <w:rFonts w:ascii="Times New Roman" w:hAnsi="Times New Roman" w:cs="Times New Roman"/>
          <w:sz w:val="24"/>
          <w:szCs w:val="24"/>
        </w:rPr>
        <w:t>).</w:t>
      </w:r>
    </w:p>
    <w:p w14:paraId="0DFD6A9A" w14:textId="7B993176" w:rsidR="00D82EEB" w:rsidRPr="00D82EEB" w:rsidRDefault="00FD6C8C" w:rsidP="00D82EEB">
      <w:pPr>
        <w:pStyle w:val="PargrafodaLista"/>
        <w:numPr>
          <w:ilvl w:val="0"/>
          <w:numId w:val="15"/>
        </w:numPr>
        <w:spacing w:after="0" w:line="360" w:lineRule="auto"/>
        <w:ind w:left="357" w:firstLine="357"/>
        <w:jc w:val="both"/>
        <w:rPr>
          <w:rFonts w:ascii="Times New Roman" w:eastAsia="Times New Roman" w:hAnsi="Times New Roman" w:cs="Times New Roman"/>
          <w:color w:val="000000"/>
          <w:sz w:val="24"/>
          <w:szCs w:val="24"/>
        </w:rPr>
      </w:pPr>
      <w:r w:rsidRPr="00D82EEB">
        <w:rPr>
          <w:rFonts w:ascii="Times New Roman" w:hAnsi="Times New Roman" w:cs="Times New Roman"/>
          <w:sz w:val="24"/>
          <w:szCs w:val="24"/>
        </w:rPr>
        <w:t>No erro de julgamento assiste-se a uma deficiente análise crítica da prova produzida e/ou a uma deficiente enunciação e/ou interpretação/aplicação das normas jurídicas aos factos provados e não provados. Esse erro, por não respeitar a def</w:t>
      </w:r>
      <w:r w:rsidR="00DA6566">
        <w:rPr>
          <w:rFonts w:ascii="Times New Roman" w:hAnsi="Times New Roman" w:cs="Times New Roman"/>
          <w:sz w:val="24"/>
          <w:szCs w:val="24"/>
        </w:rPr>
        <w:t>iciências</w:t>
      </w:r>
      <w:r w:rsidRPr="00D82EEB">
        <w:rPr>
          <w:rFonts w:ascii="Times New Roman" w:hAnsi="Times New Roman" w:cs="Times New Roman"/>
          <w:sz w:val="24"/>
          <w:szCs w:val="24"/>
        </w:rPr>
        <w:t xml:space="preserve"> que afetam a própria estrutura da decisão em si mesma considerada (vícios formais), ou aos limites à luz dos quais é proferida, não a inquina de invalidade, mas sim de </w:t>
      </w:r>
      <w:r w:rsidRPr="00D82EEB">
        <w:rPr>
          <w:rFonts w:ascii="Times New Roman" w:hAnsi="Times New Roman" w:cs="Times New Roman"/>
          <w:i/>
          <w:iCs/>
          <w:sz w:val="24"/>
          <w:szCs w:val="24"/>
        </w:rPr>
        <w:t xml:space="preserve">error in </w:t>
      </w:r>
      <w:proofErr w:type="spellStart"/>
      <w:r w:rsidRPr="00D82EEB">
        <w:rPr>
          <w:rFonts w:ascii="Times New Roman" w:hAnsi="Times New Roman" w:cs="Times New Roman"/>
          <w:i/>
          <w:iCs/>
          <w:sz w:val="24"/>
          <w:szCs w:val="24"/>
        </w:rPr>
        <w:t>judicando</w:t>
      </w:r>
      <w:proofErr w:type="spellEnd"/>
      <w:r w:rsidRPr="00D82EEB">
        <w:rPr>
          <w:rFonts w:ascii="Times New Roman" w:hAnsi="Times New Roman" w:cs="Times New Roman"/>
          <w:sz w:val="24"/>
          <w:szCs w:val="24"/>
        </w:rPr>
        <w:t>, suscetível de ser invocado em sede de recurso.</w:t>
      </w:r>
    </w:p>
    <w:p w14:paraId="7AEB22D0" w14:textId="51E46FD8" w:rsidR="00FD6C8C" w:rsidRPr="00D82EEB" w:rsidRDefault="00FD6C8C" w:rsidP="00D82EEB">
      <w:pPr>
        <w:pStyle w:val="PargrafodaLista"/>
        <w:numPr>
          <w:ilvl w:val="0"/>
          <w:numId w:val="15"/>
        </w:numPr>
        <w:spacing w:after="0" w:line="360" w:lineRule="auto"/>
        <w:ind w:left="357" w:firstLine="357"/>
        <w:jc w:val="both"/>
        <w:rPr>
          <w:rFonts w:ascii="Times New Roman" w:eastAsia="Times New Roman" w:hAnsi="Times New Roman" w:cs="Times New Roman"/>
          <w:color w:val="000000"/>
          <w:sz w:val="24"/>
          <w:szCs w:val="24"/>
        </w:rPr>
      </w:pPr>
      <w:r w:rsidRPr="00D82EEB">
        <w:rPr>
          <w:rFonts w:ascii="Times New Roman" w:hAnsi="Times New Roman" w:cs="Times New Roman"/>
          <w:sz w:val="24"/>
          <w:szCs w:val="24"/>
        </w:rPr>
        <w:t xml:space="preserve">Por seu turno, na última hipótese, estão em causa </w:t>
      </w:r>
      <w:r w:rsidRPr="00D82EEB">
        <w:rPr>
          <w:rFonts w:ascii="Times New Roman" w:eastAsia="Times New Roman" w:hAnsi="Times New Roman" w:cs="Times New Roman"/>
          <w:color w:val="000000"/>
          <w:sz w:val="24"/>
          <w:szCs w:val="24"/>
        </w:rPr>
        <w:t>vícios formais que a</w:t>
      </w:r>
      <w:r w:rsidR="00DA6566">
        <w:rPr>
          <w:rFonts w:ascii="Times New Roman" w:eastAsia="Times New Roman" w:hAnsi="Times New Roman" w:cs="Times New Roman"/>
          <w:color w:val="000000"/>
          <w:sz w:val="24"/>
          <w:szCs w:val="24"/>
        </w:rPr>
        <w:t>tingem</w:t>
      </w:r>
      <w:r w:rsidRPr="00D82EEB">
        <w:rPr>
          <w:rFonts w:ascii="Times New Roman" w:eastAsia="Times New Roman" w:hAnsi="Times New Roman" w:cs="Times New Roman"/>
          <w:color w:val="000000"/>
          <w:sz w:val="24"/>
          <w:szCs w:val="24"/>
        </w:rPr>
        <w:t xml:space="preserve"> a própria validade  da decisão judicial.</w:t>
      </w:r>
    </w:p>
    <w:p w14:paraId="53647A2D" w14:textId="53CDA050" w:rsidR="00F03CE4" w:rsidRPr="00FD6C8C" w:rsidRDefault="00FD6C8C" w:rsidP="00FD6C8C">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 n</w:t>
      </w:r>
      <w:r w:rsidR="00F03CE4" w:rsidRPr="00FD6C8C">
        <w:rPr>
          <w:rFonts w:ascii="Times New Roman" w:eastAsia="Times New Roman" w:hAnsi="Times New Roman" w:cs="Times New Roman"/>
          <w:b/>
          <w:bCs/>
          <w:sz w:val="24"/>
          <w:szCs w:val="24"/>
        </w:rPr>
        <w:t xml:space="preserve">ulidade </w:t>
      </w:r>
      <w:r w:rsidR="00DA6566">
        <w:rPr>
          <w:rFonts w:ascii="Times New Roman" w:eastAsia="Times New Roman" w:hAnsi="Times New Roman" w:cs="Times New Roman"/>
          <w:b/>
          <w:bCs/>
          <w:sz w:val="24"/>
          <w:szCs w:val="24"/>
        </w:rPr>
        <w:t xml:space="preserve">– ou não, </w:t>
      </w:r>
      <w:r w:rsidR="00F03CE4" w:rsidRPr="00FD6C8C">
        <w:rPr>
          <w:rFonts w:ascii="Times New Roman" w:eastAsia="Times New Roman" w:hAnsi="Times New Roman" w:cs="Times New Roman"/>
          <w:b/>
          <w:bCs/>
          <w:sz w:val="24"/>
          <w:szCs w:val="24"/>
        </w:rPr>
        <w:t xml:space="preserve">do acórdão </w:t>
      </w:r>
      <w:r w:rsidR="00DA6566">
        <w:rPr>
          <w:rFonts w:ascii="Times New Roman" w:eastAsia="Times New Roman" w:hAnsi="Times New Roman" w:cs="Times New Roman"/>
          <w:b/>
          <w:bCs/>
          <w:sz w:val="24"/>
          <w:szCs w:val="24"/>
        </w:rPr>
        <w:t xml:space="preserve">recorrido </w:t>
      </w:r>
      <w:r w:rsidR="00F03CE4" w:rsidRPr="00FD6C8C">
        <w:rPr>
          <w:rFonts w:ascii="Times New Roman" w:eastAsia="Times New Roman" w:hAnsi="Times New Roman" w:cs="Times New Roman"/>
          <w:b/>
          <w:bCs/>
          <w:sz w:val="24"/>
          <w:szCs w:val="24"/>
        </w:rPr>
        <w:t>por oposição entre os fundamentos e a decisão (</w:t>
      </w:r>
      <w:proofErr w:type="spellStart"/>
      <w:r w:rsidR="00F03CE4" w:rsidRPr="00FD6C8C">
        <w:rPr>
          <w:rFonts w:ascii="Times New Roman" w:eastAsia="Times New Roman" w:hAnsi="Times New Roman" w:cs="Times New Roman"/>
          <w:b/>
          <w:bCs/>
          <w:sz w:val="24"/>
          <w:szCs w:val="24"/>
        </w:rPr>
        <w:t>art</w:t>
      </w:r>
      <w:proofErr w:type="spellEnd"/>
      <w:r w:rsidR="00F03CE4" w:rsidRPr="00FD6C8C">
        <w:rPr>
          <w:rFonts w:ascii="Times New Roman" w:eastAsia="Times New Roman" w:hAnsi="Times New Roman" w:cs="Times New Roman"/>
          <w:b/>
          <w:bCs/>
          <w:sz w:val="24"/>
          <w:szCs w:val="24"/>
        </w:rPr>
        <w:t>. 615.º, n.º 1, al. c),</w:t>
      </w:r>
      <w:r w:rsidR="00AE7C12">
        <w:rPr>
          <w:rFonts w:ascii="Times New Roman" w:eastAsia="Times New Roman" w:hAnsi="Times New Roman" w:cs="Times New Roman"/>
          <w:b/>
          <w:bCs/>
          <w:sz w:val="24"/>
          <w:szCs w:val="24"/>
        </w:rPr>
        <w:t xml:space="preserve"> 1.ª parte,</w:t>
      </w:r>
      <w:r w:rsidR="00F03CE4" w:rsidRPr="00FD6C8C">
        <w:rPr>
          <w:rFonts w:ascii="Times New Roman" w:eastAsia="Times New Roman" w:hAnsi="Times New Roman" w:cs="Times New Roman"/>
          <w:b/>
          <w:bCs/>
          <w:sz w:val="24"/>
          <w:szCs w:val="24"/>
        </w:rPr>
        <w:t xml:space="preserve"> </w:t>
      </w:r>
      <w:bookmarkStart w:id="1" w:name="_Hlk93344406"/>
      <w:proofErr w:type="spellStart"/>
      <w:r w:rsidR="00F03CE4" w:rsidRPr="00FD6C8C">
        <w:rPr>
          <w:rFonts w:ascii="Times New Roman" w:eastAsia="Times New Roman" w:hAnsi="Times New Roman" w:cs="Times New Roman"/>
          <w:b/>
          <w:bCs/>
          <w:i/>
          <w:sz w:val="24"/>
          <w:szCs w:val="24"/>
        </w:rPr>
        <w:t>ex</w:t>
      </w:r>
      <w:proofErr w:type="spellEnd"/>
      <w:r w:rsidR="00F03CE4" w:rsidRPr="00FD6C8C">
        <w:rPr>
          <w:rFonts w:ascii="Times New Roman" w:eastAsia="Times New Roman" w:hAnsi="Times New Roman" w:cs="Times New Roman"/>
          <w:b/>
          <w:bCs/>
          <w:i/>
          <w:sz w:val="24"/>
          <w:szCs w:val="24"/>
        </w:rPr>
        <w:t xml:space="preserve"> vi</w:t>
      </w:r>
      <w:r w:rsidR="00F03CE4" w:rsidRPr="00FD6C8C">
        <w:rPr>
          <w:rFonts w:ascii="Times New Roman" w:eastAsia="Times New Roman" w:hAnsi="Times New Roman" w:cs="Times New Roman"/>
          <w:b/>
          <w:bCs/>
          <w:sz w:val="24"/>
          <w:szCs w:val="24"/>
        </w:rPr>
        <w:t xml:space="preserve"> dos </w:t>
      </w:r>
      <w:proofErr w:type="spellStart"/>
      <w:r w:rsidR="00F03CE4" w:rsidRPr="00FD6C8C">
        <w:rPr>
          <w:rFonts w:ascii="Times New Roman" w:eastAsia="Times New Roman" w:hAnsi="Times New Roman" w:cs="Times New Roman"/>
          <w:b/>
          <w:bCs/>
          <w:sz w:val="24"/>
          <w:szCs w:val="24"/>
        </w:rPr>
        <w:t>arts</w:t>
      </w:r>
      <w:proofErr w:type="spellEnd"/>
      <w:r w:rsidR="00F03CE4" w:rsidRPr="00FD6C8C">
        <w:rPr>
          <w:rFonts w:ascii="Times New Roman" w:eastAsia="Times New Roman" w:hAnsi="Times New Roman" w:cs="Times New Roman"/>
          <w:b/>
          <w:bCs/>
          <w:sz w:val="24"/>
          <w:szCs w:val="24"/>
        </w:rPr>
        <w:t>. 666.º, 679.º e 685.º do CPC</w:t>
      </w:r>
      <w:bookmarkEnd w:id="1"/>
      <w:r w:rsidR="00F03CE4" w:rsidRPr="00FD6C8C">
        <w:rPr>
          <w:rFonts w:ascii="Times New Roman" w:eastAsia="Times New Roman" w:hAnsi="Times New Roman" w:cs="Times New Roman"/>
          <w:b/>
          <w:bCs/>
          <w:sz w:val="24"/>
          <w:szCs w:val="24"/>
        </w:rPr>
        <w:t>)</w:t>
      </w:r>
    </w:p>
    <w:p w14:paraId="26C3BA43" w14:textId="77777777" w:rsidR="00D82EEB" w:rsidRPr="00D82EEB" w:rsidRDefault="00F03CE4" w:rsidP="00D82EEB">
      <w:pPr>
        <w:pStyle w:val="PargrafodaLista"/>
        <w:numPr>
          <w:ilvl w:val="0"/>
          <w:numId w:val="13"/>
        </w:numPr>
        <w:spacing w:after="0" w:line="360" w:lineRule="auto"/>
        <w:ind w:left="74" w:firstLine="357"/>
        <w:jc w:val="both"/>
        <w:rPr>
          <w:rFonts w:ascii="Times New Roman" w:eastAsia="Times New Roman" w:hAnsi="Times New Roman" w:cs="Times New Roman"/>
          <w:sz w:val="24"/>
          <w:szCs w:val="24"/>
        </w:rPr>
      </w:pPr>
      <w:r w:rsidRPr="00F95407">
        <w:rPr>
          <w:rFonts w:ascii="Times New Roman" w:eastAsia="Times New Roman" w:hAnsi="Times New Roman" w:cs="Times New Roman"/>
          <w:sz w:val="24"/>
          <w:szCs w:val="24"/>
        </w:rPr>
        <w:lastRenderedPageBreak/>
        <w:t xml:space="preserve">Segundo </w:t>
      </w:r>
      <w:r>
        <w:rPr>
          <w:rFonts w:ascii="Times New Roman" w:eastAsia="Times New Roman" w:hAnsi="Times New Roman" w:cs="Times New Roman"/>
          <w:sz w:val="24"/>
          <w:szCs w:val="24"/>
        </w:rPr>
        <w:t xml:space="preserve">a </w:t>
      </w:r>
      <w:r w:rsidRPr="00C472DB">
        <w:rPr>
          <w:rFonts w:ascii="Times New Roman" w:eastAsia="Times New Roman" w:hAnsi="Times New Roman" w:cs="Times New Roman"/>
          <w:sz w:val="24"/>
          <w:szCs w:val="24"/>
        </w:rPr>
        <w:t>Recorrente</w:t>
      </w:r>
      <w:r w:rsidR="00AE2BAF">
        <w:rPr>
          <w:rFonts w:ascii="Times New Roman" w:eastAsia="Times New Roman" w:hAnsi="Times New Roman" w:cs="Times New Roman"/>
          <w:sz w:val="24"/>
          <w:szCs w:val="24"/>
        </w:rPr>
        <w:t>/Reclamante</w:t>
      </w:r>
      <w:r w:rsidR="00C472DB">
        <w:rPr>
          <w:rFonts w:ascii="Times New Roman" w:eastAsia="Times New Roman" w:hAnsi="Times New Roman" w:cs="Times New Roman"/>
          <w:sz w:val="24"/>
          <w:szCs w:val="24"/>
        </w:rPr>
        <w:t xml:space="preserve"> </w:t>
      </w:r>
      <w:proofErr w:type="spellStart"/>
      <w:r w:rsidR="00C472DB" w:rsidRPr="00586686">
        <w:rPr>
          <w:rFonts w:ascii="Times New Roman" w:hAnsi="Times New Roman" w:cs="Times New Roman"/>
          <w:b/>
          <w:bCs/>
          <w:smallCaps/>
          <w:sz w:val="24"/>
          <w:szCs w:val="24"/>
        </w:rPr>
        <w:t>Gerex</w:t>
      </w:r>
      <w:proofErr w:type="spellEnd"/>
      <w:r w:rsidR="00C472DB" w:rsidRPr="00586686">
        <w:rPr>
          <w:rFonts w:ascii="Times New Roman" w:hAnsi="Times New Roman" w:cs="Times New Roman"/>
          <w:b/>
          <w:bCs/>
          <w:smallCaps/>
          <w:sz w:val="24"/>
          <w:szCs w:val="24"/>
        </w:rPr>
        <w:t>- Gabinete de Gestão Industrial e Comercial, Lda.</w:t>
      </w:r>
      <w:r w:rsidR="00C472DB">
        <w:rPr>
          <w:rFonts w:ascii="Times New Roman" w:hAnsi="Times New Roman" w:cs="Times New Roman"/>
          <w:sz w:val="24"/>
          <w:szCs w:val="24"/>
        </w:rPr>
        <w:t>:</w:t>
      </w:r>
    </w:p>
    <w:p w14:paraId="6FFD449C" w14:textId="7214E5E0" w:rsidR="00D82EEB" w:rsidRPr="00D82EEB" w:rsidRDefault="00F03CE4" w:rsidP="00DA6566">
      <w:pPr>
        <w:pStyle w:val="PargrafodaLista"/>
        <w:spacing w:after="0" w:line="360" w:lineRule="auto"/>
        <w:ind w:left="431"/>
        <w:jc w:val="both"/>
        <w:rPr>
          <w:rFonts w:ascii="Times New Roman" w:eastAsia="Times New Roman" w:hAnsi="Times New Roman" w:cs="Times New Roman"/>
          <w:sz w:val="24"/>
          <w:szCs w:val="24"/>
        </w:rPr>
      </w:pPr>
      <w:r w:rsidRPr="00D82EEB">
        <w:rPr>
          <w:rFonts w:ascii="Times New Roman" w:eastAsia="Times New Roman" w:hAnsi="Times New Roman" w:cs="Times New Roman"/>
          <w:sz w:val="24"/>
          <w:szCs w:val="24"/>
        </w:rPr>
        <w:t>“</w:t>
      </w:r>
      <w:r w:rsidR="00D82EEB" w:rsidRPr="00D82EEB">
        <w:rPr>
          <w:rFonts w:ascii="Times New Roman" w:eastAsia="Times New Roman" w:hAnsi="Times New Roman" w:cs="Times New Roman"/>
          <w:sz w:val="24"/>
          <w:szCs w:val="24"/>
        </w:rPr>
        <w:t xml:space="preserve"> </w:t>
      </w:r>
      <w:r w:rsidR="00D82EEB" w:rsidRPr="00D82EEB">
        <w:rPr>
          <w:rFonts w:ascii="Times New Roman" w:eastAsia="Times New Roman" w:hAnsi="Times New Roman" w:cs="Times New Roman"/>
          <w:i/>
          <w:iCs/>
          <w:sz w:val="20"/>
          <w:szCs w:val="20"/>
        </w:rPr>
        <w:t>(…)</w:t>
      </w:r>
    </w:p>
    <w:p w14:paraId="7A8D5C5F" w14:textId="25E627E9" w:rsidR="00D82EEB" w:rsidRPr="00D82EEB" w:rsidRDefault="00D82EEB" w:rsidP="00D82EEB">
      <w:pPr>
        <w:pStyle w:val="PargrafodaLista"/>
        <w:spacing w:after="0" w:line="240" w:lineRule="auto"/>
        <w:ind w:left="434"/>
        <w:jc w:val="both"/>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 xml:space="preserve">3. </w:t>
      </w:r>
      <w:r w:rsidR="00F03CE4" w:rsidRPr="00D82EEB">
        <w:rPr>
          <w:rFonts w:ascii="Times New Roman" w:eastAsia="Times New Roman" w:hAnsi="Times New Roman" w:cs="Times New Roman"/>
          <w:i/>
          <w:iCs/>
          <w:sz w:val="20"/>
          <w:szCs w:val="20"/>
        </w:rPr>
        <w:t>Entende-se haver uma manifesta oposição entre os fundamentos e a decisão quando o Acórdão al</w:t>
      </w:r>
      <w:r w:rsidR="00F03CE4" w:rsidRPr="00F03CE4">
        <w:rPr>
          <w:rFonts w:ascii="Times New Roman" w:eastAsia="Times New Roman" w:hAnsi="Times New Roman" w:cs="Times New Roman"/>
          <w:i/>
          <w:iCs/>
          <w:sz w:val="20"/>
          <w:szCs w:val="20"/>
        </w:rPr>
        <w:t xml:space="preserve">ude às alegadas </w:t>
      </w:r>
      <w:r w:rsidR="00F03CE4" w:rsidRPr="00F03CE4">
        <w:rPr>
          <w:rFonts w:ascii="Times New Roman" w:eastAsia="Times New Roman" w:hAnsi="Times New Roman" w:cs="Times New Roman"/>
          <w:b/>
          <w:bCs/>
          <w:i/>
          <w:iCs/>
          <w:sz w:val="20"/>
          <w:szCs w:val="20"/>
        </w:rPr>
        <w:t>alterações substanciais</w:t>
      </w:r>
      <w:r w:rsidR="00F03CE4" w:rsidRPr="00F03CE4">
        <w:rPr>
          <w:rFonts w:ascii="Times New Roman" w:eastAsia="Times New Roman" w:hAnsi="Times New Roman" w:cs="Times New Roman"/>
          <w:i/>
          <w:iCs/>
          <w:sz w:val="20"/>
          <w:szCs w:val="20"/>
        </w:rPr>
        <w:t xml:space="preserve"> que considera terem sido introduzidas no contrato de 1997. 4. É que a qualificação das alterações como substanciais foi um elemento relevante para a decisão, porquanto no </w:t>
      </w:r>
      <w:r w:rsidR="00F03CE4" w:rsidRPr="00F03CE4">
        <w:rPr>
          <w:rFonts w:ascii="Times New Roman" w:eastAsia="Times New Roman" w:hAnsi="Times New Roman" w:cs="Times New Roman"/>
          <w:b/>
          <w:bCs/>
          <w:i/>
          <w:iCs/>
          <w:sz w:val="20"/>
          <w:szCs w:val="20"/>
        </w:rPr>
        <w:t>Ponto 23.</w:t>
      </w:r>
      <w:r w:rsidR="00F03CE4" w:rsidRPr="00F03CE4">
        <w:rPr>
          <w:rFonts w:ascii="Times New Roman" w:eastAsia="Times New Roman" w:hAnsi="Times New Roman" w:cs="Times New Roman"/>
          <w:i/>
          <w:iCs/>
          <w:sz w:val="20"/>
          <w:szCs w:val="20"/>
        </w:rPr>
        <w:t xml:space="preserve"> do Acórdão  se defende que “[L]</w:t>
      </w:r>
      <w:proofErr w:type="spellStart"/>
      <w:r w:rsidR="00F03CE4" w:rsidRPr="00F03CE4">
        <w:rPr>
          <w:rFonts w:ascii="Times New Roman" w:eastAsia="Times New Roman" w:hAnsi="Times New Roman" w:cs="Times New Roman"/>
          <w:i/>
          <w:iCs/>
          <w:sz w:val="20"/>
          <w:szCs w:val="20"/>
        </w:rPr>
        <w:t>evando</w:t>
      </w:r>
      <w:proofErr w:type="spellEnd"/>
      <w:r w:rsidR="00F03CE4" w:rsidRPr="00F03CE4">
        <w:rPr>
          <w:rFonts w:ascii="Times New Roman" w:eastAsia="Times New Roman" w:hAnsi="Times New Roman" w:cs="Times New Roman"/>
          <w:i/>
          <w:iCs/>
          <w:sz w:val="20"/>
          <w:szCs w:val="20"/>
        </w:rPr>
        <w:t xml:space="preserve"> as alterações substancias introduzidas no novo contrato de arrendamento, ainda que as partes não tenham expressamente revogado, por mútuo consenso, o primeiro contrato, sempre se afiguraria bastante discutível concluir no sentido da continuidade da relação contratual anterior. É que, em geral, no silêncio das partes qua</w:t>
      </w:r>
      <w:r w:rsidR="00F03CE4" w:rsidRPr="00D82EEB">
        <w:rPr>
          <w:rFonts w:ascii="Times New Roman" w:eastAsia="Times New Roman" w:hAnsi="Times New Roman" w:cs="Times New Roman"/>
          <w:i/>
          <w:iCs/>
          <w:sz w:val="20"/>
          <w:szCs w:val="20"/>
        </w:rPr>
        <w:t>nto à manutenção do contrato originário, no caso de as alterações não se limitarem a elementos acessórios, entende-se que as partes extinguiram o primitivo contrato e celebraram um novo contrato.</w:t>
      </w:r>
    </w:p>
    <w:p w14:paraId="50B00084" w14:textId="1B7B63AE" w:rsidR="00F03CE4" w:rsidRPr="00F95407" w:rsidRDefault="00D82EEB" w:rsidP="00D82EEB">
      <w:pPr>
        <w:pStyle w:val="PargrafodaLista"/>
        <w:spacing w:after="0" w:line="240" w:lineRule="auto"/>
        <w:ind w:left="434"/>
        <w:jc w:val="both"/>
        <w:rPr>
          <w:rFonts w:ascii="Times New Roman" w:eastAsia="Times New Roman" w:hAnsi="Times New Roman" w:cs="Times New Roman"/>
          <w:sz w:val="24"/>
          <w:szCs w:val="24"/>
        </w:rPr>
      </w:pPr>
      <w:r w:rsidRPr="00D82EEB">
        <w:rPr>
          <w:rFonts w:ascii="Times New Roman" w:eastAsia="Times New Roman" w:hAnsi="Times New Roman" w:cs="Times New Roman"/>
          <w:i/>
          <w:iCs/>
          <w:sz w:val="20"/>
          <w:szCs w:val="20"/>
        </w:rPr>
        <w:t>(…)</w:t>
      </w:r>
      <w:r w:rsidR="00F03CE4">
        <w:rPr>
          <w:rFonts w:ascii="Times New Roman" w:eastAsia="Times New Roman" w:hAnsi="Times New Roman" w:cs="Times New Roman"/>
          <w:sz w:val="24"/>
          <w:szCs w:val="24"/>
        </w:rPr>
        <w:t xml:space="preserve">” </w:t>
      </w:r>
    </w:p>
    <w:p w14:paraId="5F010F23" w14:textId="77777777" w:rsidR="00F03CE4" w:rsidRDefault="00F03CE4" w:rsidP="00F03CE4">
      <w:pPr>
        <w:pStyle w:val="PargrafodaLista"/>
        <w:numPr>
          <w:ilvl w:val="0"/>
          <w:numId w:val="13"/>
        </w:numPr>
        <w:spacing w:after="0" w:line="360" w:lineRule="auto"/>
        <w:ind w:left="74" w:firstLine="357"/>
        <w:jc w:val="both"/>
        <w:rPr>
          <w:rFonts w:ascii="Times New Roman" w:eastAsia="Times New Roman" w:hAnsi="Times New Roman" w:cs="Times New Roman"/>
          <w:sz w:val="24"/>
          <w:szCs w:val="24"/>
        </w:rPr>
      </w:pPr>
      <w:r w:rsidRPr="00F95407">
        <w:rPr>
          <w:rFonts w:ascii="Times New Roman" w:eastAsia="Times New Roman" w:hAnsi="Times New Roman" w:cs="Times New Roman"/>
          <w:sz w:val="24"/>
          <w:szCs w:val="24"/>
        </w:rPr>
        <w:t xml:space="preserve">Conforme o </w:t>
      </w:r>
      <w:proofErr w:type="spellStart"/>
      <w:r w:rsidRPr="00F95407">
        <w:rPr>
          <w:rFonts w:ascii="Times New Roman" w:eastAsia="Times New Roman" w:hAnsi="Times New Roman" w:cs="Times New Roman"/>
          <w:sz w:val="24"/>
          <w:szCs w:val="24"/>
        </w:rPr>
        <w:t>art</w:t>
      </w:r>
      <w:proofErr w:type="spellEnd"/>
      <w:r w:rsidRPr="00F95407">
        <w:rPr>
          <w:rFonts w:ascii="Times New Roman" w:eastAsia="Times New Roman" w:hAnsi="Times New Roman" w:cs="Times New Roman"/>
          <w:sz w:val="24"/>
          <w:szCs w:val="24"/>
        </w:rPr>
        <w:t>. 615.º, n.º 1, al. c), 1.ª parte, do CPC, “</w:t>
      </w:r>
      <w:r w:rsidRPr="00F03CE4">
        <w:rPr>
          <w:rFonts w:ascii="Times New Roman" w:eastAsia="Times New Roman" w:hAnsi="Times New Roman" w:cs="Times New Roman"/>
          <w:i/>
          <w:iCs/>
          <w:sz w:val="20"/>
          <w:szCs w:val="20"/>
        </w:rPr>
        <w:t>É nula a sentença quando os fundamentos estejam em oposição com a decisão</w:t>
      </w:r>
      <w:r w:rsidRPr="00F9540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40D47E8" w14:textId="77777777" w:rsidR="00F03CE4" w:rsidRDefault="00F03CE4" w:rsidP="00F03CE4">
      <w:pPr>
        <w:pStyle w:val="PargrafodaLista"/>
        <w:numPr>
          <w:ilvl w:val="0"/>
          <w:numId w:val="13"/>
        </w:numPr>
        <w:spacing w:after="0" w:line="360" w:lineRule="auto"/>
        <w:ind w:left="74" w:firstLine="357"/>
        <w:jc w:val="both"/>
        <w:rPr>
          <w:rFonts w:ascii="Times New Roman" w:eastAsia="Times New Roman" w:hAnsi="Times New Roman" w:cs="Times New Roman"/>
          <w:sz w:val="24"/>
          <w:szCs w:val="24"/>
        </w:rPr>
      </w:pPr>
      <w:r w:rsidRPr="00F03CE4">
        <w:rPr>
          <w:rFonts w:ascii="Times New Roman" w:eastAsia="Times New Roman" w:hAnsi="Times New Roman" w:cs="Times New Roman"/>
          <w:sz w:val="24"/>
          <w:szCs w:val="24"/>
        </w:rPr>
        <w:t>Entre os fundamentos e a decisão não pode haver contradição lógica. Se, na fundamentação, o julgador segue determinado percurso de raciocínio, apontando para determinada conclusão e, apesar dela, decide noutro sentido, oposto ou divergente, a contradição é causa de nulidade da decisão</w:t>
      </w:r>
      <w:r w:rsidRPr="00F95407">
        <w:rPr>
          <w:rStyle w:val="Refdenotaderodap"/>
          <w:rFonts w:ascii="Times New Roman" w:eastAsia="Times New Roman" w:hAnsi="Times New Roman" w:cs="Times New Roman"/>
          <w:sz w:val="24"/>
          <w:szCs w:val="24"/>
        </w:rPr>
        <w:footnoteReference w:id="1"/>
      </w:r>
      <w:r w:rsidRPr="00F03CE4">
        <w:rPr>
          <w:rFonts w:ascii="Times New Roman" w:eastAsia="Times New Roman" w:hAnsi="Times New Roman" w:cs="Times New Roman"/>
          <w:sz w:val="24"/>
          <w:szCs w:val="24"/>
        </w:rPr>
        <w:t>.</w:t>
      </w:r>
    </w:p>
    <w:p w14:paraId="41EFD1DF" w14:textId="77777777" w:rsidR="00F03CE4" w:rsidRDefault="00F03CE4" w:rsidP="00F03CE4">
      <w:pPr>
        <w:pStyle w:val="PargrafodaLista"/>
        <w:numPr>
          <w:ilvl w:val="0"/>
          <w:numId w:val="13"/>
        </w:numPr>
        <w:spacing w:after="0" w:line="360" w:lineRule="auto"/>
        <w:ind w:left="74" w:firstLine="357"/>
        <w:jc w:val="both"/>
        <w:rPr>
          <w:rFonts w:ascii="Times New Roman" w:eastAsia="Times New Roman" w:hAnsi="Times New Roman" w:cs="Times New Roman"/>
          <w:sz w:val="24"/>
          <w:szCs w:val="24"/>
        </w:rPr>
      </w:pPr>
      <w:r w:rsidRPr="00F03CE4">
        <w:rPr>
          <w:rFonts w:ascii="Times New Roman" w:eastAsia="Times New Roman" w:hAnsi="Times New Roman" w:cs="Times New Roman"/>
          <w:sz w:val="24"/>
          <w:szCs w:val="24"/>
        </w:rPr>
        <w:t xml:space="preserve">A nulidade baseada na contradição entre os fundamentos e </w:t>
      </w:r>
      <w:r>
        <w:rPr>
          <w:rFonts w:ascii="Times New Roman" w:eastAsia="Times New Roman" w:hAnsi="Times New Roman" w:cs="Times New Roman"/>
          <w:sz w:val="24"/>
          <w:szCs w:val="24"/>
        </w:rPr>
        <w:t xml:space="preserve">a </w:t>
      </w:r>
      <w:r w:rsidRPr="00F03CE4">
        <w:rPr>
          <w:rFonts w:ascii="Times New Roman" w:eastAsia="Times New Roman" w:hAnsi="Times New Roman" w:cs="Times New Roman"/>
          <w:sz w:val="24"/>
          <w:szCs w:val="24"/>
        </w:rPr>
        <w:t>decisão pressupõe, pois, um erro ou vício lógico na argumentação jurídica, retirando conclusão inesperada e oposta à linha de raciocínio adotada. Apenas se verifica quando os fundamentos invocados pelo Tribunal deviam logicamente conduzir a resultado oposto ou divergente do adotado no dispositivo do acórdão: “</w:t>
      </w:r>
      <w:r w:rsidRPr="00F03CE4">
        <w:rPr>
          <w:rFonts w:ascii="Times New Roman" w:eastAsia="Times New Roman" w:hAnsi="Times New Roman" w:cs="Times New Roman"/>
          <w:i/>
          <w:iCs/>
          <w:sz w:val="20"/>
          <w:szCs w:val="20"/>
        </w:rPr>
        <w:t>os fundamentos invocados pelo juiz conduziriam logicamente não ao resultado expresso na decisão mas a resultado oposto</w:t>
      </w:r>
      <w:r w:rsidRPr="00F03CE4">
        <w:rPr>
          <w:rFonts w:ascii="Times New Roman" w:eastAsia="Times New Roman" w:hAnsi="Times New Roman" w:cs="Times New Roman"/>
          <w:sz w:val="24"/>
          <w:szCs w:val="24"/>
        </w:rPr>
        <w:t>”</w:t>
      </w:r>
      <w:r w:rsidRPr="00F95407">
        <w:rPr>
          <w:rStyle w:val="Refdenotaderodap"/>
          <w:rFonts w:ascii="Times New Roman" w:eastAsia="Times New Roman" w:hAnsi="Times New Roman" w:cs="Times New Roman"/>
          <w:sz w:val="24"/>
          <w:szCs w:val="24"/>
        </w:rPr>
        <w:footnoteReference w:id="2"/>
      </w:r>
      <w:r w:rsidRPr="00F03CE4">
        <w:rPr>
          <w:rFonts w:ascii="Times New Roman" w:eastAsia="Times New Roman" w:hAnsi="Times New Roman" w:cs="Times New Roman"/>
          <w:sz w:val="24"/>
          <w:szCs w:val="24"/>
        </w:rPr>
        <w:t>.</w:t>
      </w:r>
    </w:p>
    <w:p w14:paraId="7059C60D" w14:textId="41BE391F" w:rsidR="00F03CE4" w:rsidRDefault="00F03CE4" w:rsidP="00F03CE4">
      <w:pPr>
        <w:pStyle w:val="PargrafodaLista"/>
        <w:numPr>
          <w:ilvl w:val="0"/>
          <w:numId w:val="13"/>
        </w:numPr>
        <w:spacing w:after="0" w:line="360" w:lineRule="auto"/>
        <w:ind w:left="74" w:firstLine="357"/>
        <w:jc w:val="both"/>
        <w:rPr>
          <w:rFonts w:ascii="Times New Roman" w:eastAsia="Times New Roman" w:hAnsi="Times New Roman" w:cs="Times New Roman"/>
          <w:sz w:val="24"/>
          <w:szCs w:val="24"/>
        </w:rPr>
      </w:pPr>
      <w:r w:rsidRPr="00F03CE4">
        <w:rPr>
          <w:rFonts w:ascii="Times New Roman" w:eastAsia="Times New Roman" w:hAnsi="Times New Roman" w:cs="Times New Roman"/>
          <w:sz w:val="24"/>
          <w:szCs w:val="24"/>
        </w:rPr>
        <w:t xml:space="preserve">A referida oposição não se confunde com o erro na subsunção dos factos à norma jurídica ou com o erro na interpretação da regra jurídica. No caso de o julgador, embora mal, entender que dos factos apurados resulta determinada consequência jurídica e esta sua compreensão se encontrar expressa na fundamentação, ou dela decorrer, verifica-se a existência de erro de julgamento e não a oposição enquanto causa de nulidade da decisão. Por seu turno, na hipótese de o raciocínio constante da fundamentação apontar </w:t>
      </w:r>
      <w:r w:rsidRPr="00F03CE4">
        <w:rPr>
          <w:rFonts w:ascii="Times New Roman" w:eastAsia="Times New Roman" w:hAnsi="Times New Roman" w:cs="Times New Roman"/>
          <w:sz w:val="24"/>
          <w:szCs w:val="24"/>
        </w:rPr>
        <w:lastRenderedPageBreak/>
        <w:t>para determinada consequência jurídica e na conclusão surgir outr</w:t>
      </w:r>
      <w:r w:rsidR="00540B6C">
        <w:rPr>
          <w:rFonts w:ascii="Times New Roman" w:eastAsia="Times New Roman" w:hAnsi="Times New Roman" w:cs="Times New Roman"/>
          <w:sz w:val="24"/>
          <w:szCs w:val="24"/>
        </w:rPr>
        <w:t>o resultado</w:t>
      </w:r>
      <w:r w:rsidRPr="00F03CE4">
        <w:rPr>
          <w:rFonts w:ascii="Times New Roman" w:eastAsia="Times New Roman" w:hAnsi="Times New Roman" w:cs="Times New Roman"/>
          <w:sz w:val="24"/>
          <w:szCs w:val="24"/>
        </w:rPr>
        <w:t>, ainda que est</w:t>
      </w:r>
      <w:r w:rsidR="00540B6C">
        <w:rPr>
          <w:rFonts w:ascii="Times New Roman" w:eastAsia="Times New Roman" w:hAnsi="Times New Roman" w:cs="Times New Roman"/>
          <w:sz w:val="24"/>
          <w:szCs w:val="24"/>
        </w:rPr>
        <w:t>e</w:t>
      </w:r>
      <w:r w:rsidRPr="00F03CE4">
        <w:rPr>
          <w:rFonts w:ascii="Times New Roman" w:eastAsia="Times New Roman" w:hAnsi="Times New Roman" w:cs="Times New Roman"/>
          <w:sz w:val="24"/>
          <w:szCs w:val="24"/>
        </w:rPr>
        <w:t xml:space="preserve"> seja aquel</w:t>
      </w:r>
      <w:r w:rsidR="00540B6C">
        <w:rPr>
          <w:rFonts w:ascii="Times New Roman" w:eastAsia="Times New Roman" w:hAnsi="Times New Roman" w:cs="Times New Roman"/>
          <w:sz w:val="24"/>
          <w:szCs w:val="24"/>
        </w:rPr>
        <w:t>e</w:t>
      </w:r>
      <w:r w:rsidRPr="00F03CE4">
        <w:rPr>
          <w:rFonts w:ascii="Times New Roman" w:eastAsia="Times New Roman" w:hAnsi="Times New Roman" w:cs="Times New Roman"/>
          <w:sz w:val="24"/>
          <w:szCs w:val="24"/>
        </w:rPr>
        <w:t xml:space="preserve"> que é juridicamente corret</w:t>
      </w:r>
      <w:r w:rsidR="00540B6C">
        <w:rPr>
          <w:rFonts w:ascii="Times New Roman" w:eastAsia="Times New Roman" w:hAnsi="Times New Roman" w:cs="Times New Roman"/>
          <w:sz w:val="24"/>
          <w:szCs w:val="24"/>
        </w:rPr>
        <w:t>o</w:t>
      </w:r>
      <w:r w:rsidRPr="00F03CE4">
        <w:rPr>
          <w:rFonts w:ascii="Times New Roman" w:eastAsia="Times New Roman" w:hAnsi="Times New Roman" w:cs="Times New Roman"/>
          <w:sz w:val="24"/>
          <w:szCs w:val="24"/>
        </w:rPr>
        <w:t>, existe nulidade</w:t>
      </w:r>
      <w:r w:rsidRPr="00F95407">
        <w:rPr>
          <w:rStyle w:val="Refdenotaderodap"/>
          <w:rFonts w:ascii="Times New Roman" w:eastAsia="Times New Roman" w:hAnsi="Times New Roman" w:cs="Times New Roman"/>
          <w:sz w:val="24"/>
          <w:szCs w:val="24"/>
        </w:rPr>
        <w:footnoteReference w:id="3"/>
      </w:r>
      <w:r w:rsidRPr="00F03CE4">
        <w:rPr>
          <w:rFonts w:ascii="Times New Roman" w:eastAsia="Times New Roman" w:hAnsi="Times New Roman" w:cs="Times New Roman"/>
          <w:sz w:val="24"/>
          <w:szCs w:val="24"/>
        </w:rPr>
        <w:t>.</w:t>
      </w:r>
    </w:p>
    <w:p w14:paraId="59ED0955" w14:textId="3F9E7EE4" w:rsidR="00F03CE4" w:rsidRDefault="00F03CE4" w:rsidP="00F03CE4">
      <w:pPr>
        <w:pStyle w:val="PargrafodaLista"/>
        <w:numPr>
          <w:ilvl w:val="0"/>
          <w:numId w:val="13"/>
        </w:numPr>
        <w:spacing w:after="0" w:line="360" w:lineRule="auto"/>
        <w:ind w:left="74"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Não se v</w:t>
      </w:r>
      <w:r w:rsidRPr="00F03CE4">
        <w:rPr>
          <w:rFonts w:ascii="Times New Roman" w:eastAsia="Times New Roman" w:hAnsi="Times New Roman" w:cs="Times New Roman"/>
          <w:sz w:val="24"/>
          <w:szCs w:val="24"/>
        </w:rPr>
        <w:t>erifica</w:t>
      </w:r>
      <w:r w:rsidR="00540B6C">
        <w:rPr>
          <w:rFonts w:ascii="Times New Roman" w:eastAsia="Times New Roman" w:hAnsi="Times New Roman" w:cs="Times New Roman"/>
          <w:sz w:val="24"/>
          <w:szCs w:val="24"/>
        </w:rPr>
        <w:t>, no caso dos autos,</w:t>
      </w:r>
      <w:r w:rsidRPr="00F03CE4">
        <w:rPr>
          <w:rFonts w:ascii="Times New Roman" w:eastAsia="Times New Roman" w:hAnsi="Times New Roman" w:cs="Times New Roman"/>
          <w:sz w:val="24"/>
          <w:szCs w:val="24"/>
        </w:rPr>
        <w:t xml:space="preserve"> a existência de oposição entre os fundamentos e a decisão, porquanto, no acórdão rec</w:t>
      </w:r>
      <w:r>
        <w:rPr>
          <w:rFonts w:ascii="Times New Roman" w:eastAsia="Times New Roman" w:hAnsi="Times New Roman" w:cs="Times New Roman"/>
          <w:sz w:val="24"/>
          <w:szCs w:val="24"/>
        </w:rPr>
        <w:t>lamado</w:t>
      </w:r>
      <w:r w:rsidRPr="00F03CE4">
        <w:rPr>
          <w:rFonts w:ascii="Times New Roman" w:eastAsia="Times New Roman" w:hAnsi="Times New Roman" w:cs="Times New Roman"/>
          <w:sz w:val="24"/>
          <w:szCs w:val="24"/>
        </w:rPr>
        <w:t xml:space="preserve">, o </w:t>
      </w:r>
      <w:r>
        <w:rPr>
          <w:rFonts w:ascii="Times New Roman" w:eastAsia="Times New Roman" w:hAnsi="Times New Roman" w:cs="Times New Roman"/>
          <w:sz w:val="24"/>
          <w:szCs w:val="24"/>
        </w:rPr>
        <w:t xml:space="preserve">Supremo </w:t>
      </w:r>
      <w:r w:rsidRPr="00F03CE4">
        <w:rPr>
          <w:rFonts w:ascii="Times New Roman" w:eastAsia="Times New Roman" w:hAnsi="Times New Roman" w:cs="Times New Roman"/>
          <w:sz w:val="24"/>
          <w:szCs w:val="24"/>
        </w:rPr>
        <w:t>Tribunal d</w:t>
      </w:r>
      <w:r>
        <w:rPr>
          <w:rFonts w:ascii="Times New Roman" w:eastAsia="Times New Roman" w:hAnsi="Times New Roman" w:cs="Times New Roman"/>
          <w:sz w:val="24"/>
          <w:szCs w:val="24"/>
        </w:rPr>
        <w:t xml:space="preserve">e Justiça, </w:t>
      </w:r>
      <w:r w:rsidRPr="00F03CE4">
        <w:rPr>
          <w:rFonts w:ascii="Times New Roman" w:eastAsia="Times New Roman" w:hAnsi="Times New Roman" w:cs="Times New Roman"/>
          <w:sz w:val="24"/>
          <w:szCs w:val="24"/>
        </w:rPr>
        <w:t>depois de analisar as circunstâncias</w:t>
      </w:r>
      <w:r w:rsidR="00AE2BAF">
        <w:rPr>
          <w:rFonts w:ascii="Times New Roman" w:eastAsia="Times New Roman" w:hAnsi="Times New Roman" w:cs="Times New Roman"/>
          <w:sz w:val="24"/>
          <w:szCs w:val="24"/>
        </w:rPr>
        <w:t xml:space="preserve"> do caso concreto</w:t>
      </w:r>
      <w:r w:rsidRPr="00F03CE4">
        <w:rPr>
          <w:rFonts w:ascii="Times New Roman" w:eastAsia="Times New Roman" w:hAnsi="Times New Roman" w:cs="Times New Roman"/>
          <w:sz w:val="24"/>
          <w:szCs w:val="24"/>
        </w:rPr>
        <w:t>, respondeu de modo adequado.</w:t>
      </w:r>
    </w:p>
    <w:p w14:paraId="5A3B6BB8" w14:textId="46A8713E" w:rsidR="00F03CE4" w:rsidRDefault="00F03CE4" w:rsidP="00F03CE4">
      <w:pPr>
        <w:pStyle w:val="PargrafodaLista"/>
        <w:numPr>
          <w:ilvl w:val="0"/>
          <w:numId w:val="13"/>
        </w:numPr>
        <w:spacing w:after="0" w:line="360" w:lineRule="auto"/>
        <w:ind w:left="74" w:firstLine="357"/>
        <w:jc w:val="both"/>
        <w:rPr>
          <w:rFonts w:ascii="Times New Roman" w:eastAsia="Times New Roman" w:hAnsi="Times New Roman" w:cs="Times New Roman"/>
          <w:sz w:val="24"/>
          <w:szCs w:val="24"/>
        </w:rPr>
      </w:pPr>
      <w:r w:rsidRPr="00F03CE4">
        <w:rPr>
          <w:rFonts w:ascii="Times New Roman" w:eastAsia="Times New Roman" w:hAnsi="Times New Roman" w:cs="Times New Roman"/>
          <w:sz w:val="24"/>
          <w:szCs w:val="24"/>
        </w:rPr>
        <w:t>Com efeito, no dispositivo do acórdão</w:t>
      </w:r>
      <w:r w:rsidR="00F80AEA">
        <w:rPr>
          <w:rFonts w:ascii="Times New Roman" w:eastAsia="Times New Roman" w:hAnsi="Times New Roman" w:cs="Times New Roman"/>
          <w:sz w:val="24"/>
          <w:szCs w:val="24"/>
        </w:rPr>
        <w:t xml:space="preserve"> de 30 de novembro de 2021</w:t>
      </w:r>
      <w:r w:rsidRPr="00F03CE4">
        <w:rPr>
          <w:rFonts w:ascii="Times New Roman" w:eastAsia="Times New Roman" w:hAnsi="Times New Roman" w:cs="Times New Roman"/>
          <w:sz w:val="24"/>
          <w:szCs w:val="24"/>
        </w:rPr>
        <w:t xml:space="preserve">, o </w:t>
      </w:r>
      <w:r>
        <w:rPr>
          <w:rFonts w:ascii="Times New Roman" w:eastAsia="Times New Roman" w:hAnsi="Times New Roman" w:cs="Times New Roman"/>
          <w:sz w:val="24"/>
          <w:szCs w:val="24"/>
        </w:rPr>
        <w:t xml:space="preserve">Supremo </w:t>
      </w:r>
      <w:r w:rsidRPr="00F03CE4">
        <w:rPr>
          <w:rFonts w:ascii="Times New Roman" w:eastAsia="Times New Roman" w:hAnsi="Times New Roman" w:cs="Times New Roman"/>
          <w:sz w:val="24"/>
          <w:szCs w:val="24"/>
        </w:rPr>
        <w:t>Tribunal d</w:t>
      </w:r>
      <w:r>
        <w:rPr>
          <w:rFonts w:ascii="Times New Roman" w:eastAsia="Times New Roman" w:hAnsi="Times New Roman" w:cs="Times New Roman"/>
          <w:sz w:val="24"/>
          <w:szCs w:val="24"/>
        </w:rPr>
        <w:t>e Justiça</w:t>
      </w:r>
      <w:r w:rsidR="00AE2BAF">
        <w:rPr>
          <w:rFonts w:ascii="Times New Roman" w:eastAsia="Times New Roman" w:hAnsi="Times New Roman" w:cs="Times New Roman"/>
          <w:sz w:val="24"/>
          <w:szCs w:val="24"/>
        </w:rPr>
        <w:t xml:space="preserve">, coerente e </w:t>
      </w:r>
      <w:proofErr w:type="spellStart"/>
      <w:r w:rsidR="00AE2BAF">
        <w:rPr>
          <w:rFonts w:ascii="Times New Roman" w:eastAsia="Times New Roman" w:hAnsi="Times New Roman" w:cs="Times New Roman"/>
          <w:sz w:val="24"/>
          <w:szCs w:val="24"/>
        </w:rPr>
        <w:t>convergentemente</w:t>
      </w:r>
      <w:proofErr w:type="spellEnd"/>
      <w:r w:rsidR="00AE2BAF">
        <w:rPr>
          <w:rFonts w:ascii="Times New Roman" w:eastAsia="Times New Roman" w:hAnsi="Times New Roman" w:cs="Times New Roman"/>
          <w:sz w:val="24"/>
          <w:szCs w:val="24"/>
        </w:rPr>
        <w:t xml:space="preserve"> </w:t>
      </w:r>
      <w:r w:rsidRPr="00F03CE4">
        <w:rPr>
          <w:rFonts w:ascii="Times New Roman" w:eastAsia="Times New Roman" w:hAnsi="Times New Roman" w:cs="Times New Roman"/>
          <w:sz w:val="24"/>
          <w:szCs w:val="24"/>
        </w:rPr>
        <w:t xml:space="preserve">com a correspondente fundamentação, </w:t>
      </w:r>
      <w:r w:rsidR="00AE2BAF">
        <w:rPr>
          <w:rFonts w:ascii="Times New Roman" w:eastAsia="Times New Roman" w:hAnsi="Times New Roman" w:cs="Times New Roman"/>
          <w:sz w:val="24"/>
          <w:szCs w:val="24"/>
        </w:rPr>
        <w:t xml:space="preserve">julgou que o negócio celebrado </w:t>
      </w:r>
      <w:r w:rsidR="00F80AEA">
        <w:rPr>
          <w:rFonts w:ascii="Times New Roman" w:eastAsia="Times New Roman" w:hAnsi="Times New Roman" w:cs="Times New Roman"/>
          <w:sz w:val="24"/>
          <w:szCs w:val="24"/>
        </w:rPr>
        <w:t xml:space="preserve">pelas partes em </w:t>
      </w:r>
      <w:r w:rsidR="00AE2BAF">
        <w:rPr>
          <w:rFonts w:ascii="Times New Roman" w:eastAsia="Times New Roman" w:hAnsi="Times New Roman" w:cs="Times New Roman"/>
          <w:sz w:val="24"/>
          <w:szCs w:val="24"/>
        </w:rPr>
        <w:t>1997 se consubstanciava num novo contrato de arrendamento e não num aditamento ou numa mera modificação ao contrato de 1989.</w:t>
      </w:r>
    </w:p>
    <w:p w14:paraId="616C5BF2" w14:textId="47CFEBD3" w:rsidR="00FD6C8C" w:rsidRDefault="00594608" w:rsidP="00FD6C8C">
      <w:pPr>
        <w:pStyle w:val="PargrafodaLista"/>
        <w:numPr>
          <w:ilvl w:val="0"/>
          <w:numId w:val="13"/>
        </w:numPr>
        <w:spacing w:after="0" w:line="360" w:lineRule="auto"/>
        <w:ind w:left="74"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verdade, a R</w:t>
      </w:r>
      <w:r w:rsidR="00AE2BAF">
        <w:rPr>
          <w:rFonts w:ascii="Times New Roman" w:eastAsia="Times New Roman" w:hAnsi="Times New Roman" w:cs="Times New Roman"/>
          <w:sz w:val="24"/>
          <w:szCs w:val="24"/>
        </w:rPr>
        <w:t>ecorrente/R</w:t>
      </w:r>
      <w:r>
        <w:rPr>
          <w:rFonts w:ascii="Times New Roman" w:eastAsia="Times New Roman" w:hAnsi="Times New Roman" w:cs="Times New Roman"/>
          <w:sz w:val="24"/>
          <w:szCs w:val="24"/>
        </w:rPr>
        <w:t xml:space="preserve">eclamante não </w:t>
      </w:r>
      <w:r w:rsidR="00EC6840">
        <w:rPr>
          <w:rFonts w:ascii="Times New Roman" w:eastAsia="Times New Roman" w:hAnsi="Times New Roman" w:cs="Times New Roman"/>
          <w:sz w:val="24"/>
          <w:szCs w:val="24"/>
        </w:rPr>
        <w:t xml:space="preserve">indica sequer, concretamente, </w:t>
      </w:r>
      <w:r>
        <w:rPr>
          <w:rFonts w:ascii="Times New Roman" w:eastAsia="Times New Roman" w:hAnsi="Times New Roman" w:cs="Times New Roman"/>
          <w:sz w:val="24"/>
          <w:szCs w:val="24"/>
        </w:rPr>
        <w:t>qualquer contradição entre a decisão e os fundamentos, porque ela não existe.</w:t>
      </w:r>
    </w:p>
    <w:p w14:paraId="7090DCC5" w14:textId="3E76BEE7" w:rsidR="00FD6C8C" w:rsidRDefault="00594608" w:rsidP="00FD6C8C">
      <w:pPr>
        <w:pStyle w:val="PargrafodaLista"/>
        <w:numPr>
          <w:ilvl w:val="0"/>
          <w:numId w:val="13"/>
        </w:numPr>
        <w:spacing w:after="0" w:line="360" w:lineRule="auto"/>
        <w:ind w:left="74" w:firstLine="357"/>
        <w:jc w:val="both"/>
        <w:rPr>
          <w:rFonts w:ascii="Times New Roman" w:eastAsia="Times New Roman" w:hAnsi="Times New Roman" w:cs="Times New Roman"/>
          <w:sz w:val="24"/>
          <w:szCs w:val="24"/>
        </w:rPr>
      </w:pPr>
      <w:r w:rsidRPr="00FD6C8C">
        <w:rPr>
          <w:rFonts w:ascii="Times New Roman" w:eastAsia="Times New Roman" w:hAnsi="Times New Roman" w:cs="Times New Roman"/>
          <w:sz w:val="24"/>
          <w:szCs w:val="24"/>
        </w:rPr>
        <w:t>Os pontos 16 (“</w:t>
      </w:r>
      <w:r w:rsidR="006F1BE4" w:rsidRPr="006F1BE4">
        <w:rPr>
          <w:rFonts w:ascii="Times New Roman" w:eastAsia="Times New Roman" w:hAnsi="Times New Roman" w:cs="Times New Roman"/>
          <w:i/>
          <w:iCs/>
          <w:sz w:val="20"/>
          <w:szCs w:val="20"/>
        </w:rPr>
        <w:t>As partes pretenderam celebrar um novo negócio jurídico, dotado de uma nova e diversa economia negocial, regulando de modo diferente os seus interesses.</w:t>
      </w:r>
      <w:r w:rsidRPr="00FD6C8C">
        <w:rPr>
          <w:rFonts w:ascii="Times New Roman" w:eastAsia="Times New Roman" w:hAnsi="Times New Roman" w:cs="Times New Roman"/>
          <w:sz w:val="24"/>
          <w:szCs w:val="24"/>
        </w:rPr>
        <w:t>”</w:t>
      </w:r>
      <w:r w:rsidRPr="00FD6C8C">
        <w:rPr>
          <w:rFonts w:ascii="Times New Roman" w:hAnsi="Times New Roman" w:cs="Times New Roman"/>
          <w:sz w:val="24"/>
          <w:szCs w:val="24"/>
        </w:rPr>
        <w:t>)</w:t>
      </w:r>
      <w:r w:rsidRPr="00FD6C8C">
        <w:rPr>
          <w:rFonts w:ascii="Times New Roman" w:eastAsia="Times New Roman" w:hAnsi="Times New Roman" w:cs="Times New Roman"/>
          <w:sz w:val="24"/>
          <w:szCs w:val="24"/>
        </w:rPr>
        <w:t>, 20 (</w:t>
      </w:r>
      <w:r w:rsidRPr="00FD6C8C">
        <w:rPr>
          <w:rFonts w:ascii="Times New Roman" w:eastAsia="Times New Roman" w:hAnsi="Times New Roman" w:cs="Times New Roman"/>
          <w:i/>
          <w:iCs/>
          <w:sz w:val="20"/>
          <w:szCs w:val="20"/>
        </w:rPr>
        <w:t>“</w:t>
      </w:r>
      <w:r w:rsidR="006F1BE4" w:rsidRPr="006F1BE4">
        <w:rPr>
          <w:rFonts w:ascii="Times New Roman" w:eastAsia="Times New Roman" w:hAnsi="Times New Roman" w:cs="Times New Roman"/>
          <w:i/>
          <w:iCs/>
          <w:sz w:val="20"/>
          <w:szCs w:val="20"/>
        </w:rPr>
        <w:t xml:space="preserve">Na verdade, as partes poderiam ter apenas introduzido variações no conteúdo do contrato de arrendamento inicialmente celebrado, sem tornar inútil a subsistência da disciplina contratual anteriormente estabelecida. Porém, não foi isso que fizeram. Também não renegociaram nem renovaram o contrato inicial. Não quiseram a manutenção da relação </w:t>
      </w:r>
      <w:proofErr w:type="spellStart"/>
      <w:r w:rsidR="006F1BE4" w:rsidRPr="006F1BE4">
        <w:rPr>
          <w:rFonts w:ascii="Times New Roman" w:eastAsia="Times New Roman" w:hAnsi="Times New Roman" w:cs="Times New Roman"/>
          <w:i/>
          <w:iCs/>
          <w:sz w:val="20"/>
          <w:szCs w:val="20"/>
        </w:rPr>
        <w:t>locatícia</w:t>
      </w:r>
      <w:proofErr w:type="spellEnd"/>
      <w:r w:rsidR="006F1BE4" w:rsidRPr="006F1BE4">
        <w:rPr>
          <w:rFonts w:ascii="Times New Roman" w:eastAsia="Times New Roman" w:hAnsi="Times New Roman" w:cs="Times New Roman"/>
          <w:i/>
          <w:iCs/>
          <w:sz w:val="20"/>
          <w:szCs w:val="20"/>
        </w:rPr>
        <w:t xml:space="preserve"> anterior, pois substituíram-na por outra.</w:t>
      </w:r>
      <w:r w:rsidRPr="00FD6C8C">
        <w:rPr>
          <w:rFonts w:ascii="Times New Roman" w:hAnsi="Times New Roman" w:cs="Times New Roman"/>
          <w:sz w:val="24"/>
          <w:szCs w:val="24"/>
        </w:rPr>
        <w:t xml:space="preserve">“), </w:t>
      </w:r>
      <w:r w:rsidRPr="00FD6C8C">
        <w:rPr>
          <w:rFonts w:ascii="Times New Roman" w:eastAsia="Times New Roman" w:hAnsi="Times New Roman" w:cs="Times New Roman"/>
          <w:sz w:val="24"/>
          <w:szCs w:val="24"/>
        </w:rPr>
        <w:t>21 (“</w:t>
      </w:r>
      <w:r w:rsidR="006F1BE4" w:rsidRPr="006F1BE4">
        <w:rPr>
          <w:rFonts w:ascii="Times New Roman" w:eastAsia="Times New Roman" w:hAnsi="Times New Roman" w:cs="Times New Roman"/>
          <w:i/>
          <w:iCs/>
          <w:sz w:val="20"/>
          <w:szCs w:val="20"/>
        </w:rPr>
        <w:t xml:space="preserve">A observância das regras hermenêuticas contidas nos </w:t>
      </w:r>
      <w:proofErr w:type="spellStart"/>
      <w:r w:rsidR="006F1BE4" w:rsidRPr="006F1BE4">
        <w:rPr>
          <w:rFonts w:ascii="Times New Roman" w:eastAsia="Times New Roman" w:hAnsi="Times New Roman" w:cs="Times New Roman"/>
          <w:i/>
          <w:iCs/>
          <w:sz w:val="20"/>
          <w:szCs w:val="20"/>
        </w:rPr>
        <w:t>arts</w:t>
      </w:r>
      <w:proofErr w:type="spellEnd"/>
      <w:r w:rsidR="006F1BE4" w:rsidRPr="006F1BE4">
        <w:rPr>
          <w:rFonts w:ascii="Times New Roman" w:eastAsia="Times New Roman" w:hAnsi="Times New Roman" w:cs="Times New Roman"/>
          <w:i/>
          <w:iCs/>
          <w:sz w:val="20"/>
          <w:szCs w:val="20"/>
        </w:rPr>
        <w:t xml:space="preserve">. 236.º e </w:t>
      </w:r>
      <w:proofErr w:type="spellStart"/>
      <w:r w:rsidR="006F1BE4" w:rsidRPr="006F1BE4">
        <w:rPr>
          <w:rFonts w:ascii="Times New Roman" w:eastAsia="Times New Roman" w:hAnsi="Times New Roman" w:cs="Times New Roman"/>
          <w:i/>
          <w:iCs/>
          <w:sz w:val="20"/>
          <w:szCs w:val="20"/>
        </w:rPr>
        <w:t>ss</w:t>
      </w:r>
      <w:proofErr w:type="spellEnd"/>
      <w:r w:rsidR="006F1BE4" w:rsidRPr="006F1BE4">
        <w:rPr>
          <w:rFonts w:ascii="Times New Roman" w:eastAsia="Times New Roman" w:hAnsi="Times New Roman" w:cs="Times New Roman"/>
          <w:i/>
          <w:iCs/>
          <w:sz w:val="20"/>
          <w:szCs w:val="20"/>
        </w:rPr>
        <w:t xml:space="preserve"> do CC conduz precisamente a esse resultado. A intenção das partes não se afigura compatível com a conservação, total ou parcial, da relação pré-existente. Não existe uma manifestação de vontade das partes dirigida a modificar a disciplina dos seus interesses estabelecida no acordo inicial, introduzindo-lhe mutações que não incidissem sobre a fisionomia originária da relação jurídica </w:t>
      </w:r>
      <w:proofErr w:type="spellStart"/>
      <w:r w:rsidR="006F1BE4" w:rsidRPr="006F1BE4">
        <w:rPr>
          <w:rFonts w:ascii="Times New Roman" w:eastAsia="Times New Roman" w:hAnsi="Times New Roman" w:cs="Times New Roman"/>
          <w:i/>
          <w:iCs/>
          <w:sz w:val="20"/>
          <w:szCs w:val="20"/>
        </w:rPr>
        <w:t>locatícia</w:t>
      </w:r>
      <w:proofErr w:type="spellEnd"/>
      <w:r w:rsidR="006F1BE4" w:rsidRPr="006F1BE4">
        <w:rPr>
          <w:rFonts w:ascii="Times New Roman" w:eastAsia="Times New Roman" w:hAnsi="Times New Roman" w:cs="Times New Roman"/>
          <w:i/>
          <w:iCs/>
          <w:sz w:val="20"/>
          <w:szCs w:val="20"/>
        </w:rPr>
        <w:t xml:space="preserve">, na qual funcionalmente se inseririam e que visariam regular, numa relação de complementaridade com o negócio primitivo. Está antes em causa uma regulamentação inovadora da relação jurídica que diz respeito à própria existência ou subsistência dessa mesma relação jurídica, não concernindo apenas e tão somente à sua disciplina. Não pode, por isso, afirmar-se que, no segundo contrato de arrendamento, as partes, apesar de terem reformulado a disciplina contratual, mantiveram o primeiro contrato de arrendamento e, assim, a relação </w:t>
      </w:r>
      <w:proofErr w:type="spellStart"/>
      <w:r w:rsidR="006F1BE4" w:rsidRPr="006F1BE4">
        <w:rPr>
          <w:rFonts w:ascii="Times New Roman" w:eastAsia="Times New Roman" w:hAnsi="Times New Roman" w:cs="Times New Roman"/>
          <w:i/>
          <w:iCs/>
          <w:sz w:val="20"/>
          <w:szCs w:val="20"/>
        </w:rPr>
        <w:t>locatícia</w:t>
      </w:r>
      <w:proofErr w:type="spellEnd"/>
      <w:r w:rsidR="006F1BE4" w:rsidRPr="006F1BE4">
        <w:rPr>
          <w:rFonts w:ascii="Times New Roman" w:eastAsia="Times New Roman" w:hAnsi="Times New Roman" w:cs="Times New Roman"/>
          <w:i/>
          <w:iCs/>
          <w:sz w:val="20"/>
          <w:szCs w:val="20"/>
        </w:rPr>
        <w:t xml:space="preserve"> anterior, ainda que sujeita a regras diferentes.</w:t>
      </w:r>
      <w:r w:rsidRPr="00FD6C8C">
        <w:rPr>
          <w:rFonts w:ascii="Times New Roman" w:hAnsi="Times New Roman" w:cs="Times New Roman"/>
          <w:sz w:val="24"/>
          <w:szCs w:val="24"/>
        </w:rPr>
        <w:t xml:space="preserve">”) </w:t>
      </w:r>
      <w:r w:rsidRPr="00FD6C8C">
        <w:rPr>
          <w:rFonts w:ascii="Times New Roman" w:eastAsia="Times New Roman" w:hAnsi="Times New Roman" w:cs="Times New Roman"/>
          <w:sz w:val="24"/>
          <w:szCs w:val="24"/>
        </w:rPr>
        <w:t>e 23 (“</w:t>
      </w:r>
      <w:r w:rsidR="006F1BE4" w:rsidRPr="006F1BE4">
        <w:rPr>
          <w:rFonts w:ascii="Times New Roman" w:eastAsia="Times New Roman" w:hAnsi="Times New Roman" w:cs="Times New Roman"/>
          <w:i/>
          <w:iCs/>
          <w:sz w:val="20"/>
          <w:szCs w:val="20"/>
        </w:rPr>
        <w:t xml:space="preserve">Levando em linha de conta as alterações substanciais introduzidas no novo contrato de arrendamento, ainda que as partes não tenham expressamente revogado, por mútuo consenso, o primeiro contrato, sempre se afiguraria bastante discutível concluir no sentido da continuidade da </w:t>
      </w:r>
      <w:r w:rsidR="006F1BE4" w:rsidRPr="006F1BE4">
        <w:rPr>
          <w:rFonts w:ascii="Times New Roman" w:eastAsia="Times New Roman" w:hAnsi="Times New Roman" w:cs="Times New Roman"/>
          <w:i/>
          <w:iCs/>
          <w:sz w:val="20"/>
          <w:szCs w:val="20"/>
        </w:rPr>
        <w:lastRenderedPageBreak/>
        <w:t>relação contratual anterior. É que, em geral, no silêncio das partes quanto à manutenção do contrato originário, no caso de as alterações não se limitarem a elementos acessórios, entende-se que as partes extinguiram o contrato primitivo e celebraram um novo contrato.</w:t>
      </w:r>
      <w:r w:rsidRPr="00FD6C8C">
        <w:rPr>
          <w:rFonts w:ascii="Times New Roman" w:hAnsi="Times New Roman" w:cs="Times New Roman"/>
          <w:sz w:val="24"/>
          <w:szCs w:val="24"/>
        </w:rPr>
        <w:t>”)</w:t>
      </w:r>
      <w:r w:rsidRPr="00FD6C8C">
        <w:rPr>
          <w:rFonts w:ascii="Times New Roman" w:eastAsia="Times New Roman" w:hAnsi="Times New Roman" w:cs="Times New Roman"/>
          <w:sz w:val="24"/>
          <w:szCs w:val="24"/>
        </w:rPr>
        <w:t>, da fundamentação do acórdão reclamado</w:t>
      </w:r>
      <w:r w:rsidR="00F80AEA">
        <w:rPr>
          <w:rFonts w:ascii="Times New Roman" w:eastAsia="Times New Roman" w:hAnsi="Times New Roman" w:cs="Times New Roman"/>
          <w:sz w:val="24"/>
          <w:szCs w:val="24"/>
        </w:rPr>
        <w:t>,</w:t>
      </w:r>
      <w:r w:rsidRPr="00FD6C8C">
        <w:rPr>
          <w:rFonts w:ascii="Times New Roman" w:eastAsia="Times New Roman" w:hAnsi="Times New Roman" w:cs="Times New Roman"/>
          <w:sz w:val="24"/>
          <w:szCs w:val="24"/>
        </w:rPr>
        <w:t xml:space="preserve"> elencados pela </w:t>
      </w:r>
      <w:r w:rsidR="00EC6840">
        <w:rPr>
          <w:rFonts w:ascii="Times New Roman" w:eastAsia="Times New Roman" w:hAnsi="Times New Roman" w:cs="Times New Roman"/>
          <w:sz w:val="24"/>
          <w:szCs w:val="24"/>
        </w:rPr>
        <w:t>Recorrente/</w:t>
      </w:r>
      <w:r w:rsidRPr="00FD6C8C">
        <w:rPr>
          <w:rFonts w:ascii="Times New Roman" w:eastAsia="Times New Roman" w:hAnsi="Times New Roman" w:cs="Times New Roman"/>
          <w:sz w:val="24"/>
          <w:szCs w:val="24"/>
        </w:rPr>
        <w:t>Reclamante, sustentando a celebração de um novo contrato de arrendamento em 1997</w:t>
      </w:r>
      <w:r w:rsidR="00EC6840">
        <w:rPr>
          <w:rFonts w:ascii="Times New Roman" w:eastAsia="Times New Roman" w:hAnsi="Times New Roman" w:cs="Times New Roman"/>
          <w:sz w:val="24"/>
          <w:szCs w:val="24"/>
        </w:rPr>
        <w:t xml:space="preserve"> (como resulta da interpretação da declaração negocial)</w:t>
      </w:r>
      <w:r w:rsidRPr="00FD6C8C">
        <w:rPr>
          <w:rFonts w:ascii="Times New Roman" w:eastAsia="Times New Roman" w:hAnsi="Times New Roman" w:cs="Times New Roman"/>
          <w:sz w:val="24"/>
          <w:szCs w:val="24"/>
        </w:rPr>
        <w:t>, conduzem necessariamente à decisão adotada pelo Supremo Tribunal de Justiça</w:t>
      </w:r>
      <w:r w:rsidR="006F1BE4">
        <w:rPr>
          <w:rFonts w:ascii="Times New Roman" w:eastAsia="Times New Roman" w:hAnsi="Times New Roman" w:cs="Times New Roman"/>
          <w:sz w:val="24"/>
          <w:szCs w:val="24"/>
        </w:rPr>
        <w:t xml:space="preserve"> de improcedência do recurso de revista</w:t>
      </w:r>
      <w:r w:rsidR="00EC6840">
        <w:rPr>
          <w:rFonts w:ascii="Times New Roman" w:eastAsia="Times New Roman" w:hAnsi="Times New Roman" w:cs="Times New Roman"/>
          <w:sz w:val="24"/>
          <w:szCs w:val="24"/>
        </w:rPr>
        <w:t>.</w:t>
      </w:r>
    </w:p>
    <w:p w14:paraId="34655C92" w14:textId="0D167C60" w:rsidR="00F03CE4" w:rsidRPr="00FD6C8C" w:rsidRDefault="00F03CE4" w:rsidP="00FD6C8C">
      <w:pPr>
        <w:pStyle w:val="PargrafodaLista"/>
        <w:numPr>
          <w:ilvl w:val="0"/>
          <w:numId w:val="13"/>
        </w:numPr>
        <w:spacing w:after="0" w:line="360" w:lineRule="auto"/>
        <w:ind w:left="74" w:firstLine="357"/>
        <w:jc w:val="both"/>
        <w:rPr>
          <w:rFonts w:ascii="Times New Roman" w:eastAsia="Times New Roman" w:hAnsi="Times New Roman" w:cs="Times New Roman"/>
          <w:sz w:val="24"/>
          <w:szCs w:val="24"/>
        </w:rPr>
      </w:pPr>
      <w:r w:rsidRPr="00FD6C8C">
        <w:rPr>
          <w:rFonts w:ascii="Times New Roman" w:eastAsia="Times New Roman" w:hAnsi="Times New Roman" w:cs="Times New Roman"/>
          <w:sz w:val="24"/>
          <w:szCs w:val="24"/>
        </w:rPr>
        <w:t>Não procede, assim, a arguição da referida nulidade pela Recorrente</w:t>
      </w:r>
      <w:r w:rsidR="00540B6C">
        <w:rPr>
          <w:rFonts w:ascii="Times New Roman" w:eastAsia="Times New Roman" w:hAnsi="Times New Roman" w:cs="Times New Roman"/>
          <w:sz w:val="24"/>
          <w:szCs w:val="24"/>
        </w:rPr>
        <w:t xml:space="preserve"> </w:t>
      </w:r>
      <w:proofErr w:type="spellStart"/>
      <w:r w:rsidR="00540B6C" w:rsidRPr="000E578D">
        <w:rPr>
          <w:rFonts w:ascii="Times New Roman" w:hAnsi="Times New Roman" w:cs="Times New Roman"/>
          <w:b/>
          <w:smallCaps/>
          <w:sz w:val="24"/>
          <w:szCs w:val="24"/>
        </w:rPr>
        <w:t>Gerex</w:t>
      </w:r>
      <w:proofErr w:type="spellEnd"/>
      <w:r w:rsidR="00540B6C" w:rsidRPr="000E578D">
        <w:rPr>
          <w:rFonts w:ascii="Times New Roman" w:hAnsi="Times New Roman" w:cs="Times New Roman"/>
          <w:b/>
          <w:smallCaps/>
          <w:sz w:val="24"/>
          <w:szCs w:val="24"/>
        </w:rPr>
        <w:t xml:space="preserve"> - Gabinete de Gestão Industrial e Comercial, Lda</w:t>
      </w:r>
      <w:r w:rsidR="00540B6C">
        <w:rPr>
          <w:rFonts w:ascii="Times New Roman" w:hAnsi="Times New Roman" w:cs="Times New Roman"/>
          <w:b/>
          <w:smallCaps/>
          <w:sz w:val="24"/>
          <w:szCs w:val="24"/>
        </w:rPr>
        <w:t>.</w:t>
      </w:r>
      <w:r w:rsidRPr="00FD6C8C">
        <w:rPr>
          <w:rFonts w:ascii="Times New Roman" w:eastAsia="Times New Roman" w:hAnsi="Times New Roman" w:cs="Times New Roman"/>
          <w:sz w:val="24"/>
          <w:szCs w:val="24"/>
        </w:rPr>
        <w:t>.</w:t>
      </w:r>
    </w:p>
    <w:p w14:paraId="00725A8C" w14:textId="627ED805" w:rsidR="00FD6C8C" w:rsidRDefault="00FD6C8C" w:rsidP="00FD6C8C">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Da nulidade </w:t>
      </w:r>
      <w:r w:rsidR="00540B6C">
        <w:rPr>
          <w:rFonts w:ascii="Times New Roman" w:eastAsia="Times New Roman" w:hAnsi="Times New Roman" w:cs="Times New Roman"/>
          <w:b/>
          <w:bCs/>
          <w:color w:val="000000"/>
          <w:sz w:val="24"/>
          <w:szCs w:val="24"/>
        </w:rPr>
        <w:t xml:space="preserve">– ou não - </w:t>
      </w:r>
      <w:r>
        <w:rPr>
          <w:rFonts w:ascii="Times New Roman" w:eastAsia="Times New Roman" w:hAnsi="Times New Roman" w:cs="Times New Roman"/>
          <w:b/>
          <w:bCs/>
          <w:color w:val="000000"/>
          <w:sz w:val="24"/>
          <w:szCs w:val="24"/>
        </w:rPr>
        <w:t xml:space="preserve">do acórdão </w:t>
      </w:r>
      <w:r w:rsidR="00540B6C">
        <w:rPr>
          <w:rFonts w:ascii="Times New Roman" w:eastAsia="Times New Roman" w:hAnsi="Times New Roman" w:cs="Times New Roman"/>
          <w:b/>
          <w:bCs/>
          <w:color w:val="000000"/>
          <w:sz w:val="24"/>
          <w:szCs w:val="24"/>
        </w:rPr>
        <w:t xml:space="preserve">recorrido </w:t>
      </w:r>
      <w:r>
        <w:rPr>
          <w:rFonts w:ascii="Times New Roman" w:eastAsia="Times New Roman" w:hAnsi="Times New Roman" w:cs="Times New Roman"/>
          <w:b/>
          <w:bCs/>
          <w:color w:val="000000"/>
          <w:sz w:val="24"/>
          <w:szCs w:val="24"/>
        </w:rPr>
        <w:t xml:space="preserve">por omissão de pronúncia </w:t>
      </w:r>
      <w:r w:rsidRPr="00FD6C8C">
        <w:rPr>
          <w:rFonts w:ascii="Times New Roman" w:eastAsia="Times New Roman" w:hAnsi="Times New Roman" w:cs="Times New Roman"/>
          <w:b/>
          <w:bCs/>
          <w:sz w:val="24"/>
          <w:szCs w:val="24"/>
        </w:rPr>
        <w:t>(</w:t>
      </w:r>
      <w:proofErr w:type="spellStart"/>
      <w:r w:rsidRPr="00FD6C8C">
        <w:rPr>
          <w:rFonts w:ascii="Times New Roman" w:eastAsia="Times New Roman" w:hAnsi="Times New Roman" w:cs="Times New Roman"/>
          <w:b/>
          <w:bCs/>
          <w:sz w:val="24"/>
          <w:szCs w:val="24"/>
        </w:rPr>
        <w:t>art</w:t>
      </w:r>
      <w:proofErr w:type="spellEnd"/>
      <w:r w:rsidRPr="00FD6C8C">
        <w:rPr>
          <w:rFonts w:ascii="Times New Roman" w:eastAsia="Times New Roman" w:hAnsi="Times New Roman" w:cs="Times New Roman"/>
          <w:b/>
          <w:bCs/>
          <w:sz w:val="24"/>
          <w:szCs w:val="24"/>
        </w:rPr>
        <w:t xml:space="preserve">. 615.º, n.º 1, al. </w:t>
      </w:r>
      <w:r>
        <w:rPr>
          <w:rFonts w:ascii="Times New Roman" w:eastAsia="Times New Roman" w:hAnsi="Times New Roman" w:cs="Times New Roman"/>
          <w:b/>
          <w:bCs/>
          <w:sz w:val="24"/>
          <w:szCs w:val="24"/>
        </w:rPr>
        <w:t>d</w:t>
      </w:r>
      <w:r w:rsidRPr="00FD6C8C">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00AE7C12">
        <w:rPr>
          <w:rFonts w:ascii="Times New Roman" w:eastAsia="Times New Roman" w:hAnsi="Times New Roman" w:cs="Times New Roman"/>
          <w:b/>
          <w:bCs/>
          <w:sz w:val="24"/>
          <w:szCs w:val="24"/>
        </w:rPr>
        <w:t>1,ª</w:t>
      </w:r>
      <w:r>
        <w:rPr>
          <w:rFonts w:ascii="Times New Roman" w:eastAsia="Times New Roman" w:hAnsi="Times New Roman" w:cs="Times New Roman"/>
          <w:b/>
          <w:bCs/>
          <w:sz w:val="24"/>
          <w:szCs w:val="24"/>
        </w:rPr>
        <w:t xml:space="preserve"> parte, </w:t>
      </w:r>
      <w:proofErr w:type="spellStart"/>
      <w:r w:rsidRPr="00FD6C8C">
        <w:rPr>
          <w:rFonts w:ascii="Times New Roman" w:eastAsia="Times New Roman" w:hAnsi="Times New Roman" w:cs="Times New Roman"/>
          <w:b/>
          <w:bCs/>
          <w:i/>
          <w:sz w:val="24"/>
          <w:szCs w:val="24"/>
        </w:rPr>
        <w:t>ex</w:t>
      </w:r>
      <w:proofErr w:type="spellEnd"/>
      <w:r w:rsidRPr="00FD6C8C">
        <w:rPr>
          <w:rFonts w:ascii="Times New Roman" w:eastAsia="Times New Roman" w:hAnsi="Times New Roman" w:cs="Times New Roman"/>
          <w:b/>
          <w:bCs/>
          <w:i/>
          <w:sz w:val="24"/>
          <w:szCs w:val="24"/>
        </w:rPr>
        <w:t xml:space="preserve"> vi</w:t>
      </w:r>
      <w:r w:rsidRPr="00FD6C8C">
        <w:rPr>
          <w:rFonts w:ascii="Times New Roman" w:eastAsia="Times New Roman" w:hAnsi="Times New Roman" w:cs="Times New Roman"/>
          <w:b/>
          <w:bCs/>
          <w:sz w:val="24"/>
          <w:szCs w:val="24"/>
        </w:rPr>
        <w:t xml:space="preserve"> dos </w:t>
      </w:r>
      <w:proofErr w:type="spellStart"/>
      <w:r w:rsidRPr="00FD6C8C">
        <w:rPr>
          <w:rFonts w:ascii="Times New Roman" w:eastAsia="Times New Roman" w:hAnsi="Times New Roman" w:cs="Times New Roman"/>
          <w:b/>
          <w:bCs/>
          <w:sz w:val="24"/>
          <w:szCs w:val="24"/>
        </w:rPr>
        <w:t>arts</w:t>
      </w:r>
      <w:proofErr w:type="spellEnd"/>
      <w:r w:rsidRPr="00FD6C8C">
        <w:rPr>
          <w:rFonts w:ascii="Times New Roman" w:eastAsia="Times New Roman" w:hAnsi="Times New Roman" w:cs="Times New Roman"/>
          <w:b/>
          <w:bCs/>
          <w:sz w:val="24"/>
          <w:szCs w:val="24"/>
        </w:rPr>
        <w:t>. 666.º, 679.º e 685.º do CPC)</w:t>
      </w:r>
    </w:p>
    <w:p w14:paraId="5268CE91" w14:textId="008A625C" w:rsidR="00EC6840" w:rsidRPr="00EC6840" w:rsidRDefault="00FD6C8C" w:rsidP="00EC6840">
      <w:pPr>
        <w:pStyle w:val="PargrafodaLista"/>
        <w:numPr>
          <w:ilvl w:val="0"/>
          <w:numId w:val="17"/>
        </w:numPr>
        <w:spacing w:after="0" w:line="360" w:lineRule="auto"/>
        <w:ind w:left="357" w:firstLine="357"/>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sz w:val="24"/>
          <w:szCs w:val="24"/>
        </w:rPr>
        <w:t xml:space="preserve">A </w:t>
      </w:r>
      <w:r w:rsidRPr="00B15F31">
        <w:rPr>
          <w:rFonts w:ascii="Times New Roman" w:eastAsia="Times New Roman" w:hAnsi="Times New Roman" w:cs="Times New Roman"/>
          <w:sz w:val="24"/>
          <w:szCs w:val="24"/>
        </w:rPr>
        <w:t>Recorrente</w:t>
      </w:r>
      <w:r w:rsidR="004142B4">
        <w:rPr>
          <w:rFonts w:ascii="Times New Roman" w:eastAsia="Times New Roman" w:hAnsi="Times New Roman" w:cs="Times New Roman"/>
          <w:sz w:val="24"/>
          <w:szCs w:val="24"/>
        </w:rPr>
        <w:t>/Reclamante</w:t>
      </w:r>
      <w:r w:rsidRPr="00B15F31">
        <w:rPr>
          <w:rFonts w:ascii="Times New Roman" w:eastAsia="Times New Roman" w:hAnsi="Times New Roman" w:cs="Times New Roman"/>
          <w:sz w:val="24"/>
          <w:szCs w:val="24"/>
        </w:rPr>
        <w:t xml:space="preserve"> invoca </w:t>
      </w:r>
      <w:r w:rsidR="004142B4">
        <w:rPr>
          <w:rFonts w:ascii="Times New Roman" w:eastAsia="Times New Roman" w:hAnsi="Times New Roman" w:cs="Times New Roman"/>
          <w:sz w:val="24"/>
          <w:szCs w:val="24"/>
        </w:rPr>
        <w:t xml:space="preserve">ainda </w:t>
      </w:r>
      <w:r w:rsidRPr="00B15F31">
        <w:rPr>
          <w:rFonts w:ascii="Times New Roman" w:eastAsia="Times New Roman" w:hAnsi="Times New Roman" w:cs="Times New Roman"/>
          <w:sz w:val="24"/>
          <w:szCs w:val="24"/>
        </w:rPr>
        <w:t xml:space="preserve">a nulidade do acórdão do Supremo Tribunal de Justiça por omissão de pronúncia em virtude de não ter </w:t>
      </w:r>
      <w:r w:rsidR="004A7F41">
        <w:rPr>
          <w:rFonts w:ascii="Times New Roman" w:eastAsia="Times New Roman" w:hAnsi="Times New Roman" w:cs="Times New Roman"/>
          <w:sz w:val="24"/>
          <w:szCs w:val="24"/>
        </w:rPr>
        <w:t>apreciado devidamente</w:t>
      </w:r>
      <w:r>
        <w:rPr>
          <w:rFonts w:ascii="Times New Roman" w:eastAsia="Times New Roman" w:hAnsi="Times New Roman" w:cs="Times New Roman"/>
          <w:sz w:val="24"/>
          <w:szCs w:val="24"/>
        </w:rPr>
        <w:t xml:space="preserve">, no caso concreto, a distinção entre </w:t>
      </w:r>
      <w:r w:rsidR="004A7F41">
        <w:rPr>
          <w:rFonts w:ascii="Times New Roman" w:eastAsia="Times New Roman" w:hAnsi="Times New Roman" w:cs="Times New Roman"/>
          <w:sz w:val="24"/>
          <w:szCs w:val="24"/>
        </w:rPr>
        <w:t>“</w:t>
      </w:r>
      <w:r w:rsidR="004A7F41" w:rsidRPr="004A7F41">
        <w:rPr>
          <w:rFonts w:ascii="Times New Roman" w:eastAsia="Times New Roman" w:hAnsi="Times New Roman" w:cs="Times New Roman"/>
          <w:i/>
          <w:iCs/>
          <w:sz w:val="24"/>
          <w:szCs w:val="24"/>
        </w:rPr>
        <w:t>alterações substanciais</w:t>
      </w:r>
      <w:r w:rsidR="004A7F41">
        <w:rPr>
          <w:rFonts w:ascii="Times New Roman" w:eastAsia="Times New Roman" w:hAnsi="Times New Roman" w:cs="Times New Roman"/>
          <w:sz w:val="24"/>
          <w:szCs w:val="24"/>
        </w:rPr>
        <w:t>” e “</w:t>
      </w:r>
      <w:r w:rsidRPr="004A7F41">
        <w:rPr>
          <w:rFonts w:ascii="Times New Roman" w:eastAsia="Times New Roman" w:hAnsi="Times New Roman" w:cs="Times New Roman"/>
          <w:i/>
          <w:iCs/>
          <w:sz w:val="24"/>
          <w:szCs w:val="24"/>
        </w:rPr>
        <w:t>elementos acessórios</w:t>
      </w:r>
      <w:r w:rsidR="004A7F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do contrato</w:t>
      </w:r>
      <w:r w:rsidR="00EC6840">
        <w:rPr>
          <w:rFonts w:ascii="Times New Roman" w:eastAsia="Times New Roman" w:hAnsi="Times New Roman" w:cs="Times New Roman"/>
          <w:sz w:val="24"/>
          <w:szCs w:val="24"/>
        </w:rPr>
        <w:t>. Assim:</w:t>
      </w:r>
    </w:p>
    <w:p w14:paraId="6C875CF3" w14:textId="599EF1D3" w:rsidR="00EC6840" w:rsidRDefault="00FD6C8C" w:rsidP="00EC6840">
      <w:pPr>
        <w:pStyle w:val="PargrafodaLista"/>
        <w:spacing w:after="0" w:line="240" w:lineRule="auto"/>
        <w:ind w:left="714"/>
        <w:jc w:val="both"/>
        <w:rPr>
          <w:rFonts w:ascii="Times New Roman" w:eastAsia="Times New Roman" w:hAnsi="Times New Roman" w:cs="Times New Roman"/>
          <w:i/>
          <w:iCs/>
          <w:sz w:val="20"/>
          <w:szCs w:val="20"/>
        </w:rPr>
      </w:pPr>
      <w:r w:rsidRPr="003C019A">
        <w:rPr>
          <w:rFonts w:ascii="Times New Roman" w:eastAsia="Times New Roman" w:hAnsi="Times New Roman" w:cs="Times New Roman"/>
          <w:i/>
          <w:iCs/>
          <w:sz w:val="20"/>
          <w:szCs w:val="20"/>
        </w:rPr>
        <w:t>“</w:t>
      </w:r>
      <w:r w:rsidR="00EC6840">
        <w:rPr>
          <w:rFonts w:ascii="Times New Roman" w:eastAsia="Times New Roman" w:hAnsi="Times New Roman" w:cs="Times New Roman"/>
          <w:i/>
          <w:iCs/>
          <w:sz w:val="20"/>
          <w:szCs w:val="20"/>
        </w:rPr>
        <w:t>(…)</w:t>
      </w:r>
    </w:p>
    <w:p w14:paraId="732D7501" w14:textId="78F866A9" w:rsidR="00EC6840" w:rsidRDefault="00FD6C8C" w:rsidP="00EC6840">
      <w:pPr>
        <w:pStyle w:val="PargrafodaLista"/>
        <w:spacing w:after="0" w:line="240" w:lineRule="auto"/>
        <w:ind w:left="714"/>
        <w:jc w:val="both"/>
        <w:rPr>
          <w:rFonts w:ascii="Times New Roman" w:eastAsia="Times New Roman" w:hAnsi="Times New Roman" w:cs="Times New Roman"/>
          <w:i/>
          <w:iCs/>
          <w:sz w:val="20"/>
          <w:szCs w:val="20"/>
        </w:rPr>
      </w:pPr>
      <w:r w:rsidRPr="003C019A">
        <w:rPr>
          <w:rFonts w:ascii="Times New Roman" w:eastAsia="Times New Roman" w:hAnsi="Times New Roman" w:cs="Times New Roman"/>
          <w:i/>
          <w:iCs/>
          <w:sz w:val="20"/>
          <w:szCs w:val="20"/>
        </w:rPr>
        <w:t xml:space="preserve">6. O Acórdão considera relevante a distinção entre alterações substanciais e elementos acessórios do contrato. </w:t>
      </w:r>
    </w:p>
    <w:p w14:paraId="70C3FA4F" w14:textId="77777777" w:rsidR="00EC6840" w:rsidRDefault="00FD6C8C" w:rsidP="00EC6840">
      <w:pPr>
        <w:pStyle w:val="PargrafodaLista"/>
        <w:spacing w:after="0" w:line="240" w:lineRule="auto"/>
        <w:ind w:left="714"/>
        <w:jc w:val="both"/>
        <w:rPr>
          <w:rFonts w:ascii="Times New Roman" w:eastAsia="Times New Roman" w:hAnsi="Times New Roman" w:cs="Times New Roman"/>
          <w:i/>
          <w:iCs/>
          <w:sz w:val="20"/>
          <w:szCs w:val="20"/>
        </w:rPr>
      </w:pPr>
      <w:r w:rsidRPr="003C019A">
        <w:rPr>
          <w:rFonts w:ascii="Times New Roman" w:eastAsia="Times New Roman" w:hAnsi="Times New Roman" w:cs="Times New Roman"/>
          <w:i/>
          <w:iCs/>
          <w:sz w:val="20"/>
          <w:szCs w:val="20"/>
        </w:rPr>
        <w:t>7. Decorre do entendimento subjacente ao Acórdão que as alterações introduzidas em 1997 não se limitarem a elementos acessórios, porquanto se tais alterações fossem apenas acessórias já a conclusão seria de que as partes não haviam extinguido o contrato primitivo, tendo-se limitado a modificá-lo.</w:t>
      </w:r>
    </w:p>
    <w:p w14:paraId="5E2628CF" w14:textId="77777777" w:rsidR="00EC6840" w:rsidRDefault="00FD6C8C" w:rsidP="00EC6840">
      <w:pPr>
        <w:pStyle w:val="PargrafodaLista"/>
        <w:spacing w:after="0" w:line="240" w:lineRule="auto"/>
        <w:ind w:left="714"/>
        <w:jc w:val="both"/>
        <w:rPr>
          <w:rFonts w:ascii="Times New Roman" w:eastAsia="Times New Roman" w:hAnsi="Times New Roman" w:cs="Times New Roman"/>
          <w:i/>
          <w:iCs/>
          <w:sz w:val="20"/>
          <w:szCs w:val="20"/>
        </w:rPr>
      </w:pPr>
      <w:r w:rsidRPr="003C019A">
        <w:rPr>
          <w:rFonts w:ascii="Times New Roman" w:eastAsia="Times New Roman" w:hAnsi="Times New Roman" w:cs="Times New Roman"/>
          <w:i/>
          <w:iCs/>
          <w:sz w:val="20"/>
          <w:szCs w:val="20"/>
        </w:rPr>
        <w:t xml:space="preserve">8. Sendo esta uma parte da decisão, deveria o Acórdão ter-se pronunciado sobre as alterações introduzidas em 1997 e explanado o seu entendimento sobre o motivo pelo qual tais alterações integram o núcleo essencial do contrato, e não constituem apenas elementos acidentais ou acessórios do mesmo. </w:t>
      </w:r>
    </w:p>
    <w:p w14:paraId="1ADD8CC8" w14:textId="5E352DD1" w:rsidR="00EC6840" w:rsidRDefault="00EC6840" w:rsidP="00EC6840">
      <w:pPr>
        <w:pStyle w:val="PargrafodaLista"/>
        <w:spacing w:after="0" w:line="240" w:lineRule="auto"/>
        <w:ind w:left="714"/>
        <w:jc w:val="both"/>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w:t>
      </w:r>
    </w:p>
    <w:p w14:paraId="54F5F752" w14:textId="77777777" w:rsidR="00EC6840" w:rsidRDefault="00FD6C8C" w:rsidP="00EC6840">
      <w:pPr>
        <w:pStyle w:val="PargrafodaLista"/>
        <w:spacing w:after="0" w:line="240" w:lineRule="auto"/>
        <w:ind w:left="714"/>
        <w:jc w:val="both"/>
        <w:rPr>
          <w:rFonts w:ascii="Times New Roman" w:hAnsi="Times New Roman" w:cs="Times New Roman"/>
          <w:i/>
          <w:iCs/>
          <w:sz w:val="20"/>
          <w:szCs w:val="20"/>
        </w:rPr>
      </w:pPr>
      <w:r w:rsidRPr="003C019A">
        <w:rPr>
          <w:rFonts w:ascii="Times New Roman" w:eastAsia="Times New Roman" w:hAnsi="Times New Roman" w:cs="Times New Roman"/>
          <w:i/>
          <w:iCs/>
          <w:sz w:val="20"/>
          <w:szCs w:val="20"/>
        </w:rPr>
        <w:t>11. A omissão a que se alude é fundamental uma vez que no entendimento do Acórdão “</w:t>
      </w:r>
      <w:r w:rsidRPr="003C019A">
        <w:rPr>
          <w:rFonts w:ascii="Times New Roman" w:hAnsi="Times New Roman" w:cs="Times New Roman"/>
          <w:i/>
          <w:iCs/>
          <w:sz w:val="20"/>
          <w:szCs w:val="20"/>
        </w:rPr>
        <w:t>As partes quiseram celebrar um novo negócio jurídico, dotado de uma nova e diversa economia negocial, regulando de modo diferente os seus interesses” (</w:t>
      </w:r>
      <w:proofErr w:type="spellStart"/>
      <w:r w:rsidRPr="003C019A">
        <w:rPr>
          <w:rFonts w:ascii="Times New Roman" w:hAnsi="Times New Roman" w:cs="Times New Roman"/>
          <w:i/>
          <w:iCs/>
          <w:sz w:val="20"/>
          <w:szCs w:val="20"/>
        </w:rPr>
        <w:t>Cfr</w:t>
      </w:r>
      <w:proofErr w:type="spellEnd"/>
      <w:r w:rsidRPr="003C019A">
        <w:rPr>
          <w:rFonts w:ascii="Times New Roman" w:hAnsi="Times New Roman" w:cs="Times New Roman"/>
          <w:i/>
          <w:iCs/>
          <w:sz w:val="20"/>
          <w:szCs w:val="20"/>
        </w:rPr>
        <w:t xml:space="preserve">. </w:t>
      </w:r>
      <w:r w:rsidRPr="003C019A">
        <w:rPr>
          <w:rFonts w:ascii="Times New Roman" w:hAnsi="Times New Roman" w:cs="Times New Roman"/>
          <w:b/>
          <w:bCs/>
          <w:i/>
          <w:iCs/>
          <w:sz w:val="20"/>
          <w:szCs w:val="20"/>
        </w:rPr>
        <w:t>Ponto 16</w:t>
      </w:r>
      <w:r w:rsidR="003C019A" w:rsidRPr="003C019A">
        <w:rPr>
          <w:rFonts w:ascii="Times New Roman" w:hAnsi="Times New Roman" w:cs="Times New Roman"/>
          <w:b/>
          <w:bCs/>
          <w:i/>
          <w:iCs/>
          <w:sz w:val="20"/>
          <w:szCs w:val="20"/>
        </w:rPr>
        <w:t>.</w:t>
      </w:r>
      <w:r w:rsidRPr="003C019A">
        <w:rPr>
          <w:rFonts w:ascii="Times New Roman" w:hAnsi="Times New Roman" w:cs="Times New Roman"/>
          <w:i/>
          <w:iCs/>
          <w:sz w:val="20"/>
          <w:szCs w:val="20"/>
        </w:rPr>
        <w:t xml:space="preserve">), o mesmo é dizer que o novo contrato se apresenta, de acordo com o Acórdão, economicamente como uma relação completamente diferente da anterior. </w:t>
      </w:r>
    </w:p>
    <w:p w14:paraId="474851C0" w14:textId="77777777" w:rsidR="00EC6840" w:rsidRDefault="00FD6C8C" w:rsidP="00EC6840">
      <w:pPr>
        <w:pStyle w:val="PargrafodaLista"/>
        <w:spacing w:after="0" w:line="240" w:lineRule="auto"/>
        <w:ind w:left="714"/>
        <w:jc w:val="both"/>
        <w:rPr>
          <w:rFonts w:ascii="Times New Roman" w:eastAsia="Times New Roman" w:hAnsi="Times New Roman" w:cs="Times New Roman"/>
          <w:i/>
          <w:iCs/>
          <w:sz w:val="20"/>
          <w:szCs w:val="20"/>
        </w:rPr>
      </w:pPr>
      <w:r w:rsidRPr="003C019A">
        <w:rPr>
          <w:rFonts w:ascii="Times New Roman" w:hAnsi="Times New Roman" w:cs="Times New Roman"/>
          <w:i/>
          <w:iCs/>
          <w:sz w:val="20"/>
          <w:szCs w:val="20"/>
        </w:rPr>
        <w:t>12. Salvo melhor opinião,</w:t>
      </w:r>
      <w:r w:rsidRPr="003C019A">
        <w:rPr>
          <w:rFonts w:ascii="Times New Roman" w:eastAsia="Times New Roman" w:hAnsi="Times New Roman" w:cs="Times New Roman"/>
          <w:i/>
          <w:iCs/>
          <w:sz w:val="20"/>
          <w:szCs w:val="20"/>
        </w:rPr>
        <w:t xml:space="preserve"> </w:t>
      </w:r>
      <w:r w:rsidR="003C019A" w:rsidRPr="003C019A">
        <w:rPr>
          <w:rFonts w:ascii="Times New Roman" w:eastAsia="Times New Roman" w:hAnsi="Times New Roman" w:cs="Times New Roman"/>
          <w:i/>
          <w:iCs/>
          <w:sz w:val="20"/>
          <w:szCs w:val="20"/>
        </w:rPr>
        <w:t xml:space="preserve">de forma a justificar essa conclusão, importa esclarecer por que motivo a alteração de dois elementos – que a Recorrente entende serem meramente acessórios e não integrarem o núcleo essencial do contrato – correspondem à celebração de “um novo negócio jurídico dotado de uma nova e diversa economia negocial” e a uma regulação diferente dos “interesses” das partes. </w:t>
      </w:r>
    </w:p>
    <w:p w14:paraId="71EF48D6" w14:textId="77777777" w:rsidR="00EC6840" w:rsidRDefault="003C019A" w:rsidP="00EC6840">
      <w:pPr>
        <w:pStyle w:val="PargrafodaLista"/>
        <w:spacing w:after="0" w:line="240" w:lineRule="auto"/>
        <w:ind w:left="714"/>
        <w:jc w:val="both"/>
        <w:rPr>
          <w:rFonts w:ascii="Times New Roman" w:eastAsia="Times New Roman" w:hAnsi="Times New Roman" w:cs="Times New Roman"/>
          <w:i/>
          <w:iCs/>
          <w:sz w:val="20"/>
          <w:szCs w:val="20"/>
        </w:rPr>
      </w:pPr>
      <w:r w:rsidRPr="003C019A">
        <w:rPr>
          <w:rFonts w:ascii="Times New Roman" w:eastAsia="Times New Roman" w:hAnsi="Times New Roman" w:cs="Times New Roman"/>
          <w:i/>
          <w:iCs/>
          <w:sz w:val="20"/>
          <w:szCs w:val="20"/>
        </w:rPr>
        <w:t xml:space="preserve">13. Os fundamentos de facto que constituem as alterações introduzidas pelo contrato de 1997 em relação ao regime que já vinha da relação </w:t>
      </w:r>
      <w:proofErr w:type="spellStart"/>
      <w:r w:rsidRPr="003C019A">
        <w:rPr>
          <w:rFonts w:ascii="Times New Roman" w:eastAsia="Times New Roman" w:hAnsi="Times New Roman" w:cs="Times New Roman"/>
          <w:i/>
          <w:iCs/>
          <w:sz w:val="20"/>
          <w:szCs w:val="20"/>
        </w:rPr>
        <w:t>locatícia</w:t>
      </w:r>
      <w:proofErr w:type="spellEnd"/>
      <w:r w:rsidRPr="003C019A">
        <w:rPr>
          <w:rFonts w:ascii="Times New Roman" w:eastAsia="Times New Roman" w:hAnsi="Times New Roman" w:cs="Times New Roman"/>
          <w:i/>
          <w:iCs/>
          <w:sz w:val="20"/>
          <w:szCs w:val="20"/>
        </w:rPr>
        <w:t xml:space="preserve"> anterior contradizem, além do mais, a afirmação constante do </w:t>
      </w:r>
      <w:r w:rsidRPr="003C019A">
        <w:rPr>
          <w:rFonts w:ascii="Times New Roman" w:eastAsia="Times New Roman" w:hAnsi="Times New Roman" w:cs="Times New Roman"/>
          <w:b/>
          <w:bCs/>
          <w:i/>
          <w:iCs/>
          <w:sz w:val="20"/>
          <w:szCs w:val="20"/>
        </w:rPr>
        <w:t>Ponto 20.</w:t>
      </w:r>
      <w:r w:rsidRPr="003C019A">
        <w:rPr>
          <w:rFonts w:ascii="Times New Roman" w:eastAsia="Times New Roman" w:hAnsi="Times New Roman" w:cs="Times New Roman"/>
          <w:i/>
          <w:iCs/>
          <w:sz w:val="20"/>
          <w:szCs w:val="20"/>
        </w:rPr>
        <w:t xml:space="preserve"> do Acórdão de que …”</w:t>
      </w:r>
      <w:r w:rsidRPr="003C019A">
        <w:rPr>
          <w:rFonts w:ascii="Times New Roman" w:hAnsi="Times New Roman" w:cs="Times New Roman"/>
          <w:i/>
          <w:iCs/>
          <w:sz w:val="20"/>
          <w:szCs w:val="20"/>
        </w:rPr>
        <w:t xml:space="preserve"> poderiam ter apenas introduzido variações no conteúdo do contrato de arrendamento inicialmente celebrado, sem tornar inútil a subsistência da disciplina contratual anteriormente estabelecida. Porém, não foi isso que fizeram.”</w:t>
      </w:r>
      <w:r w:rsidRPr="003C019A">
        <w:rPr>
          <w:rFonts w:ascii="Times New Roman" w:eastAsia="Times New Roman" w:hAnsi="Times New Roman" w:cs="Times New Roman"/>
          <w:i/>
          <w:iCs/>
          <w:sz w:val="20"/>
          <w:szCs w:val="20"/>
        </w:rPr>
        <w:t xml:space="preserve"> No entendimento da Recorrente, foi precisamente isso que as parte</w:t>
      </w:r>
      <w:r>
        <w:rPr>
          <w:rFonts w:ascii="Times New Roman" w:eastAsia="Times New Roman" w:hAnsi="Times New Roman" w:cs="Times New Roman"/>
          <w:i/>
          <w:iCs/>
          <w:sz w:val="20"/>
          <w:szCs w:val="20"/>
        </w:rPr>
        <w:t>s</w:t>
      </w:r>
      <w:r w:rsidRPr="003C019A">
        <w:rPr>
          <w:rFonts w:ascii="Times New Roman" w:eastAsia="Times New Roman" w:hAnsi="Times New Roman" w:cs="Times New Roman"/>
          <w:i/>
          <w:iCs/>
          <w:sz w:val="20"/>
          <w:szCs w:val="20"/>
        </w:rPr>
        <w:t xml:space="preserve"> fizeram, razão pela </w:t>
      </w:r>
      <w:r w:rsidRPr="003C019A">
        <w:rPr>
          <w:rFonts w:ascii="Times New Roman" w:eastAsia="Times New Roman" w:hAnsi="Times New Roman" w:cs="Times New Roman"/>
          <w:i/>
          <w:iCs/>
          <w:sz w:val="20"/>
          <w:szCs w:val="20"/>
        </w:rPr>
        <w:lastRenderedPageBreak/>
        <w:t xml:space="preserve">qual a disciplina do contrato se manteve praticamente igual, salvo duas modificações que não podem deixar de ser qualificadas como acessórias, e que não integram o núcleo fundamental da relação </w:t>
      </w:r>
      <w:proofErr w:type="spellStart"/>
      <w:r w:rsidRPr="003C019A">
        <w:rPr>
          <w:rFonts w:ascii="Times New Roman" w:eastAsia="Times New Roman" w:hAnsi="Times New Roman" w:cs="Times New Roman"/>
          <w:i/>
          <w:iCs/>
          <w:sz w:val="20"/>
          <w:szCs w:val="20"/>
        </w:rPr>
        <w:t>locatícia</w:t>
      </w:r>
      <w:proofErr w:type="spellEnd"/>
      <w:r w:rsidRPr="003C019A">
        <w:rPr>
          <w:rFonts w:ascii="Times New Roman" w:eastAsia="Times New Roman" w:hAnsi="Times New Roman" w:cs="Times New Roman"/>
          <w:i/>
          <w:iCs/>
          <w:sz w:val="20"/>
          <w:szCs w:val="20"/>
        </w:rPr>
        <w:t>.</w:t>
      </w:r>
    </w:p>
    <w:p w14:paraId="3E084C68" w14:textId="7258077A" w:rsidR="00FD6C8C" w:rsidRPr="003C019A" w:rsidRDefault="00EC6840" w:rsidP="00EC6840">
      <w:pPr>
        <w:pStyle w:val="PargrafodaLista"/>
        <w:spacing w:after="0" w:line="240" w:lineRule="auto"/>
        <w:ind w:left="714"/>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i/>
          <w:iCs/>
          <w:sz w:val="20"/>
          <w:szCs w:val="20"/>
        </w:rPr>
        <w:t>(…)</w:t>
      </w:r>
      <w:r w:rsidR="003C019A">
        <w:rPr>
          <w:rFonts w:ascii="Times New Roman" w:eastAsia="Times New Roman" w:hAnsi="Times New Roman" w:cs="Times New Roman"/>
          <w:sz w:val="24"/>
          <w:szCs w:val="24"/>
        </w:rPr>
        <w:t>”</w:t>
      </w:r>
    </w:p>
    <w:p w14:paraId="47746045" w14:textId="037C36A9" w:rsidR="003C019A" w:rsidRDefault="003C019A" w:rsidP="009E7484">
      <w:pPr>
        <w:pStyle w:val="PargrafodaLista"/>
        <w:numPr>
          <w:ilvl w:val="0"/>
          <w:numId w:val="17"/>
        </w:numPr>
        <w:spacing w:line="360" w:lineRule="auto"/>
        <w:ind w:left="357" w:firstLine="357"/>
        <w:jc w:val="both"/>
        <w:rPr>
          <w:rFonts w:ascii="Times New Roman" w:hAnsi="Times New Roman" w:cs="Times New Roman"/>
          <w:sz w:val="24"/>
          <w:szCs w:val="24"/>
        </w:rPr>
      </w:pPr>
      <w:r w:rsidRPr="005B1A51">
        <w:rPr>
          <w:rFonts w:ascii="Times New Roman" w:hAnsi="Times New Roman" w:cs="Times New Roman"/>
          <w:sz w:val="24"/>
          <w:szCs w:val="24"/>
        </w:rPr>
        <w:t xml:space="preserve">As </w:t>
      </w:r>
      <w:r>
        <w:rPr>
          <w:rFonts w:ascii="Times New Roman" w:hAnsi="Times New Roman" w:cs="Times New Roman"/>
          <w:sz w:val="24"/>
          <w:szCs w:val="24"/>
        </w:rPr>
        <w:t>I</w:t>
      </w:r>
      <w:r w:rsidRPr="005B1A51">
        <w:rPr>
          <w:rFonts w:ascii="Times New Roman" w:hAnsi="Times New Roman" w:cs="Times New Roman"/>
          <w:sz w:val="24"/>
          <w:szCs w:val="24"/>
        </w:rPr>
        <w:t xml:space="preserve">nstâncias convergiram no entendimento de que o </w:t>
      </w:r>
      <w:r>
        <w:rPr>
          <w:rFonts w:ascii="Times New Roman" w:hAnsi="Times New Roman" w:cs="Times New Roman"/>
          <w:sz w:val="24"/>
          <w:szCs w:val="24"/>
        </w:rPr>
        <w:t>acordo</w:t>
      </w:r>
      <w:r w:rsidRPr="005B1A51">
        <w:rPr>
          <w:rFonts w:ascii="Times New Roman" w:hAnsi="Times New Roman" w:cs="Times New Roman"/>
          <w:sz w:val="24"/>
          <w:szCs w:val="24"/>
        </w:rPr>
        <w:t xml:space="preserve"> celebrado pelas partes em 1997 constituía um </w:t>
      </w:r>
      <w:r w:rsidR="009E7484">
        <w:rPr>
          <w:rFonts w:ascii="Times New Roman" w:hAnsi="Times New Roman" w:cs="Times New Roman"/>
          <w:sz w:val="24"/>
          <w:szCs w:val="24"/>
        </w:rPr>
        <w:t xml:space="preserve">novo </w:t>
      </w:r>
      <w:r w:rsidRPr="005B1A51">
        <w:rPr>
          <w:rFonts w:ascii="Times New Roman" w:hAnsi="Times New Roman" w:cs="Times New Roman"/>
          <w:sz w:val="24"/>
          <w:szCs w:val="24"/>
        </w:rPr>
        <w:t>contrato</w:t>
      </w:r>
      <w:r w:rsidR="008E3070">
        <w:rPr>
          <w:rFonts w:ascii="Times New Roman" w:hAnsi="Times New Roman" w:cs="Times New Roman"/>
          <w:sz w:val="24"/>
          <w:szCs w:val="24"/>
        </w:rPr>
        <w:t xml:space="preserve"> de arrendamento e não uma mera modificação daquele de 1989</w:t>
      </w:r>
      <w:r w:rsidRPr="005B1A51">
        <w:rPr>
          <w:rFonts w:ascii="Times New Roman" w:hAnsi="Times New Roman" w:cs="Times New Roman"/>
          <w:sz w:val="24"/>
          <w:szCs w:val="24"/>
        </w:rPr>
        <w:t xml:space="preserve">. </w:t>
      </w:r>
    </w:p>
    <w:p w14:paraId="0951A214" w14:textId="4C912F22" w:rsidR="003C019A" w:rsidRDefault="003C019A" w:rsidP="003C019A">
      <w:pPr>
        <w:pStyle w:val="PargrafodaLista"/>
        <w:numPr>
          <w:ilvl w:val="0"/>
          <w:numId w:val="17"/>
        </w:numPr>
        <w:spacing w:line="360" w:lineRule="auto"/>
        <w:ind w:left="357" w:firstLine="357"/>
        <w:rPr>
          <w:rFonts w:ascii="Times New Roman" w:hAnsi="Times New Roman" w:cs="Times New Roman"/>
          <w:sz w:val="24"/>
          <w:szCs w:val="24"/>
        </w:rPr>
      </w:pPr>
      <w:r w:rsidRPr="003C019A">
        <w:rPr>
          <w:rFonts w:ascii="Times New Roman" w:hAnsi="Times New Roman" w:cs="Times New Roman"/>
          <w:sz w:val="24"/>
          <w:szCs w:val="24"/>
        </w:rPr>
        <w:t>Na decisão do Tribunal de Instância, entendeu-se que</w:t>
      </w:r>
      <w:r w:rsidR="008E3070">
        <w:rPr>
          <w:rFonts w:ascii="Times New Roman" w:hAnsi="Times New Roman" w:cs="Times New Roman"/>
          <w:sz w:val="24"/>
          <w:szCs w:val="24"/>
        </w:rPr>
        <w:t>:</w:t>
      </w:r>
    </w:p>
    <w:p w14:paraId="612EA607" w14:textId="77777777" w:rsidR="003C019A" w:rsidRDefault="003C019A" w:rsidP="003C019A">
      <w:pPr>
        <w:pStyle w:val="PargrafodaLista"/>
        <w:spacing w:line="240" w:lineRule="auto"/>
        <w:ind w:left="714"/>
        <w:jc w:val="both"/>
        <w:rPr>
          <w:rFonts w:ascii="Times New Roman" w:hAnsi="Times New Roman" w:cs="Times New Roman"/>
          <w:i/>
          <w:iCs/>
          <w:sz w:val="20"/>
          <w:szCs w:val="20"/>
        </w:rPr>
      </w:pPr>
      <w:r w:rsidRPr="003C019A">
        <w:rPr>
          <w:rFonts w:ascii="Times New Roman" w:hAnsi="Times New Roman" w:cs="Times New Roman"/>
          <w:sz w:val="24"/>
          <w:szCs w:val="24"/>
        </w:rPr>
        <w:t xml:space="preserve"> “</w:t>
      </w:r>
      <w:r w:rsidRPr="003C019A">
        <w:rPr>
          <w:rFonts w:ascii="Times New Roman" w:hAnsi="Times New Roman" w:cs="Times New Roman"/>
          <w:i/>
          <w:iCs/>
          <w:sz w:val="20"/>
          <w:szCs w:val="20"/>
        </w:rPr>
        <w:t>de acordo com as regras de hermenêutica negocial, recorrendo, em primeira linha, à chamada teoria da impressão do destinatário, tal como consagrada no artigo 236.º, n.º 1 do Código Civil, julga-se não ter um mínimo de correspondência com o texto do escrito em apreciação, de acordo com o artigo 238.º do Código Civil, a interpretação de que as partes não quiseram, em 1997, celebrar um novo contrato, mas apenas alterar o contrato anteriormente celebrado.</w:t>
      </w:r>
    </w:p>
    <w:p w14:paraId="4535C8EC" w14:textId="77777777" w:rsidR="003C019A" w:rsidRDefault="003C019A" w:rsidP="003C019A">
      <w:pPr>
        <w:pStyle w:val="PargrafodaLista"/>
        <w:spacing w:line="240" w:lineRule="auto"/>
        <w:ind w:left="714"/>
        <w:jc w:val="both"/>
        <w:rPr>
          <w:rFonts w:ascii="Times New Roman" w:hAnsi="Times New Roman" w:cs="Times New Roman"/>
          <w:i/>
          <w:iCs/>
          <w:sz w:val="20"/>
          <w:szCs w:val="20"/>
        </w:rPr>
      </w:pPr>
      <w:r w:rsidRPr="005B1A51">
        <w:rPr>
          <w:rFonts w:ascii="Times New Roman" w:hAnsi="Times New Roman" w:cs="Times New Roman"/>
          <w:i/>
          <w:iCs/>
          <w:sz w:val="20"/>
          <w:szCs w:val="20"/>
        </w:rPr>
        <w:t>Com efeito, da escritura mencionada em 4., resulta que as partes nada referem sobre o contrato de arrendamento anteriormente celebrado, estabeleceram todas as regras aplicáveis ao contrato de arrendamento, que não são integralmente coincidentes com as estabelecidas no contrato anterior – veja-se v.g. que no primeiro o lugar de garagem é cedido gratuitamente e no segundo integra o objecto da locação, assim como no primeiro não se estabelece regras para as benfeitorias -, sendo que se estabelece no segundo contrato uma data de início de vigência para futuro, não pressupondo a existência e manutenção do contrato anterior.</w:t>
      </w:r>
    </w:p>
    <w:p w14:paraId="4F4C3AC2" w14:textId="1A3D8576" w:rsidR="003C019A" w:rsidRPr="009B0C76" w:rsidRDefault="003C019A" w:rsidP="003C019A">
      <w:pPr>
        <w:pStyle w:val="PargrafodaLista"/>
        <w:spacing w:line="240" w:lineRule="auto"/>
        <w:ind w:left="714"/>
        <w:jc w:val="both"/>
        <w:rPr>
          <w:rFonts w:ascii="Times New Roman" w:hAnsi="Times New Roman" w:cs="Times New Roman"/>
          <w:sz w:val="24"/>
          <w:szCs w:val="24"/>
        </w:rPr>
      </w:pPr>
      <w:r w:rsidRPr="005B1A51">
        <w:rPr>
          <w:rFonts w:ascii="Times New Roman" w:hAnsi="Times New Roman" w:cs="Times New Roman"/>
          <w:i/>
          <w:iCs/>
          <w:sz w:val="20"/>
          <w:szCs w:val="20"/>
        </w:rPr>
        <w:t>Deste modo, de acordo com as mencionadas normas e atendendo ao estipulado pelas partes no contrato de 1997, impõe-se concluir que o contrato apresentado com o requerimento inicial é um novo contrato de arrendamento e não uma mera alteração do contrato anterior.</w:t>
      </w:r>
      <w:r w:rsidRPr="009B0C76">
        <w:rPr>
          <w:rFonts w:ascii="Times New Roman" w:hAnsi="Times New Roman" w:cs="Times New Roman"/>
          <w:sz w:val="24"/>
          <w:szCs w:val="24"/>
        </w:rPr>
        <w:t>”</w:t>
      </w:r>
    </w:p>
    <w:p w14:paraId="53D93852" w14:textId="746F8396" w:rsidR="003C019A" w:rsidRDefault="008E3070" w:rsidP="003C019A">
      <w:pPr>
        <w:pStyle w:val="PargrafodaLista"/>
        <w:numPr>
          <w:ilvl w:val="0"/>
          <w:numId w:val="17"/>
        </w:numPr>
        <w:spacing w:line="360" w:lineRule="auto"/>
        <w:ind w:left="357" w:firstLine="357"/>
        <w:jc w:val="both"/>
        <w:rPr>
          <w:rFonts w:ascii="Times New Roman" w:hAnsi="Times New Roman" w:cs="Times New Roman"/>
          <w:sz w:val="24"/>
          <w:szCs w:val="24"/>
        </w:rPr>
      </w:pPr>
      <w:r>
        <w:rPr>
          <w:rFonts w:ascii="Times New Roman" w:hAnsi="Times New Roman" w:cs="Times New Roman"/>
          <w:sz w:val="24"/>
          <w:szCs w:val="24"/>
        </w:rPr>
        <w:t>Por seu turno, o</w:t>
      </w:r>
      <w:r w:rsidR="003C019A" w:rsidRPr="005B1A51">
        <w:rPr>
          <w:rFonts w:ascii="Times New Roman" w:hAnsi="Times New Roman" w:cs="Times New Roman"/>
          <w:sz w:val="24"/>
          <w:szCs w:val="24"/>
        </w:rPr>
        <w:t xml:space="preserve"> Tribunal da Relação de Lisboa sufragou idêntico entendimento, acrescentando que</w:t>
      </w:r>
      <w:r>
        <w:rPr>
          <w:rFonts w:ascii="Times New Roman" w:hAnsi="Times New Roman" w:cs="Times New Roman"/>
          <w:sz w:val="24"/>
          <w:szCs w:val="24"/>
        </w:rPr>
        <w:t>:</w:t>
      </w:r>
    </w:p>
    <w:p w14:paraId="3A771744" w14:textId="10A2E288" w:rsidR="003C019A" w:rsidRDefault="003C019A" w:rsidP="003C019A">
      <w:pPr>
        <w:pStyle w:val="PargrafodaLista"/>
        <w:spacing w:line="240" w:lineRule="auto"/>
        <w:ind w:left="714"/>
        <w:jc w:val="both"/>
        <w:rPr>
          <w:rFonts w:ascii="Times New Roman" w:hAnsi="Times New Roman" w:cs="Times New Roman"/>
          <w:sz w:val="24"/>
          <w:szCs w:val="24"/>
        </w:rPr>
      </w:pPr>
      <w:r w:rsidRPr="005B1A51">
        <w:rPr>
          <w:rFonts w:ascii="Times New Roman" w:hAnsi="Times New Roman" w:cs="Times New Roman"/>
          <w:sz w:val="24"/>
          <w:szCs w:val="24"/>
        </w:rPr>
        <w:t xml:space="preserve"> “</w:t>
      </w:r>
      <w:r w:rsidRPr="005B1A51">
        <w:rPr>
          <w:rFonts w:ascii="Times New Roman" w:hAnsi="Times New Roman" w:cs="Times New Roman"/>
          <w:i/>
          <w:iCs/>
          <w:sz w:val="20"/>
          <w:szCs w:val="20"/>
        </w:rPr>
        <w:t>nada permite concluir que este contrato de 1997 constitua uma alteração ao contrato anterior. Não é feita qualquer menção a esse contrato e este contrato tem em si todos os elementos necessários para se considerar um verdadeiro contrato de arrendamento</w:t>
      </w:r>
      <w:r w:rsidRPr="005B1A51">
        <w:rPr>
          <w:rFonts w:ascii="Times New Roman" w:hAnsi="Times New Roman" w:cs="Times New Roman"/>
          <w:sz w:val="24"/>
          <w:szCs w:val="24"/>
        </w:rPr>
        <w:t>.”.</w:t>
      </w:r>
    </w:p>
    <w:p w14:paraId="1F3D19AA" w14:textId="1EA7D81D" w:rsidR="008E3070" w:rsidRDefault="008E3070" w:rsidP="008E3070">
      <w:pPr>
        <w:pStyle w:val="PargrafodaLista"/>
        <w:numPr>
          <w:ilvl w:val="0"/>
          <w:numId w:val="17"/>
        </w:numPr>
        <w:spacing w:after="0" w:line="360" w:lineRule="auto"/>
        <w:ind w:left="357"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Supremo Tribunal de Justiça, por sua vez, acolheu a posição adota</w:t>
      </w:r>
      <w:r w:rsidR="00021574">
        <w:rPr>
          <w:rFonts w:ascii="Times New Roman" w:eastAsia="Times New Roman" w:hAnsi="Times New Roman" w:cs="Times New Roman"/>
          <w:sz w:val="24"/>
          <w:szCs w:val="24"/>
        </w:rPr>
        <w:t>d</w:t>
      </w:r>
      <w:r>
        <w:rPr>
          <w:rFonts w:ascii="Times New Roman" w:eastAsia="Times New Roman" w:hAnsi="Times New Roman" w:cs="Times New Roman"/>
          <w:sz w:val="24"/>
          <w:szCs w:val="24"/>
        </w:rPr>
        <w:t>a pelas Instâncias.</w:t>
      </w:r>
    </w:p>
    <w:p w14:paraId="03A9B95B" w14:textId="281A9878" w:rsidR="004142B4" w:rsidRDefault="008E3070" w:rsidP="004142B4">
      <w:pPr>
        <w:pStyle w:val="PargrafodaLista"/>
        <w:numPr>
          <w:ilvl w:val="0"/>
          <w:numId w:val="17"/>
        </w:numPr>
        <w:spacing w:after="0" w:line="360" w:lineRule="auto"/>
        <w:ind w:left="357" w:firstLine="357"/>
        <w:jc w:val="both"/>
        <w:rPr>
          <w:rFonts w:ascii="Times New Roman" w:eastAsia="Times New Roman" w:hAnsi="Times New Roman" w:cs="Times New Roman"/>
          <w:sz w:val="24"/>
          <w:szCs w:val="24"/>
        </w:rPr>
      </w:pPr>
      <w:r w:rsidRPr="00B15F31">
        <w:rPr>
          <w:rFonts w:ascii="Times New Roman" w:eastAsia="Times New Roman" w:hAnsi="Times New Roman" w:cs="Times New Roman"/>
          <w:sz w:val="24"/>
          <w:szCs w:val="24"/>
        </w:rPr>
        <w:t xml:space="preserve">De acordo com o </w:t>
      </w:r>
      <w:proofErr w:type="spellStart"/>
      <w:r w:rsidRPr="00B15F31">
        <w:rPr>
          <w:rFonts w:ascii="Times New Roman" w:eastAsia="Times New Roman" w:hAnsi="Times New Roman" w:cs="Times New Roman"/>
          <w:sz w:val="24"/>
          <w:szCs w:val="24"/>
        </w:rPr>
        <w:t>art</w:t>
      </w:r>
      <w:proofErr w:type="spellEnd"/>
      <w:r w:rsidRPr="00B15F31">
        <w:rPr>
          <w:rFonts w:ascii="Times New Roman" w:eastAsia="Times New Roman" w:hAnsi="Times New Roman" w:cs="Times New Roman"/>
          <w:sz w:val="24"/>
          <w:szCs w:val="24"/>
        </w:rPr>
        <w:t>. 615.º, n.º 1, al. d), 1.ª parte, do CPC, “</w:t>
      </w:r>
      <w:r w:rsidRPr="00B15F31">
        <w:rPr>
          <w:rFonts w:ascii="Times New Roman" w:eastAsia="Times New Roman" w:hAnsi="Times New Roman" w:cs="Times New Roman"/>
          <w:i/>
          <w:iCs/>
          <w:sz w:val="20"/>
          <w:szCs w:val="20"/>
        </w:rPr>
        <w:t>é nula a sentença quando: (…) d) o juiz deixe de pronunciar-se sobre questões que devesse apreciar</w:t>
      </w:r>
      <w:r w:rsidRPr="00B15F31">
        <w:rPr>
          <w:rFonts w:ascii="Times New Roman" w:eastAsia="Times New Roman" w:hAnsi="Times New Roman" w:cs="Times New Roman"/>
          <w:sz w:val="24"/>
          <w:szCs w:val="24"/>
        </w:rPr>
        <w:t xml:space="preserve">”. Esta nulidade decorre do </w:t>
      </w:r>
      <w:proofErr w:type="spellStart"/>
      <w:r w:rsidRPr="00B15F31">
        <w:rPr>
          <w:rFonts w:ascii="Times New Roman" w:eastAsia="Times New Roman" w:hAnsi="Times New Roman" w:cs="Times New Roman"/>
          <w:sz w:val="24"/>
          <w:szCs w:val="24"/>
        </w:rPr>
        <w:t>art</w:t>
      </w:r>
      <w:proofErr w:type="spellEnd"/>
      <w:r w:rsidRPr="00B15F31">
        <w:rPr>
          <w:rFonts w:ascii="Times New Roman" w:eastAsia="Times New Roman" w:hAnsi="Times New Roman" w:cs="Times New Roman"/>
          <w:sz w:val="24"/>
          <w:szCs w:val="24"/>
        </w:rPr>
        <w:t>. 608.º, n.º 2 do CPC, segundo o qual “</w:t>
      </w:r>
      <w:r w:rsidRPr="00B15F31">
        <w:rPr>
          <w:rFonts w:ascii="Times New Roman" w:eastAsia="Times New Roman" w:hAnsi="Times New Roman" w:cs="Times New Roman"/>
          <w:i/>
          <w:iCs/>
          <w:sz w:val="20"/>
          <w:szCs w:val="20"/>
        </w:rPr>
        <w:t>o juiz deve resolver todas as questões que as partes tenham submetido à sua apreciação, excetuadas aquelas cuja decisão esteja prejudicada pela solução dada a outras; não pode ocupar-se senão das questões suscitadas pelas partes, salvo se a lei lhe permitir ou impuser o conhecimento oficioso de outras.</w:t>
      </w:r>
      <w:r w:rsidRPr="00B15F31">
        <w:rPr>
          <w:rFonts w:ascii="Times New Roman" w:eastAsia="Times New Roman" w:hAnsi="Times New Roman" w:cs="Times New Roman"/>
          <w:sz w:val="24"/>
          <w:szCs w:val="24"/>
        </w:rPr>
        <w:t>”</w:t>
      </w:r>
    </w:p>
    <w:p w14:paraId="371EA731" w14:textId="77777777" w:rsidR="00021574" w:rsidRDefault="00021574" w:rsidP="00021574">
      <w:pPr>
        <w:pStyle w:val="PargrafodaLista"/>
        <w:numPr>
          <w:ilvl w:val="0"/>
          <w:numId w:val="17"/>
        </w:numPr>
        <w:spacing w:after="0" w:line="360" w:lineRule="auto"/>
        <w:ind w:left="357"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 aferição da nulidade por omissão de pronúncia deverá levar-se em consideração o </w:t>
      </w:r>
      <w:r w:rsidRPr="00021574">
        <w:rPr>
          <w:rFonts w:ascii="Times New Roman" w:eastAsia="Times New Roman" w:hAnsi="Times New Roman" w:cs="Times New Roman"/>
          <w:sz w:val="24"/>
          <w:szCs w:val="24"/>
        </w:rPr>
        <w:t xml:space="preserve">disposto no </w:t>
      </w:r>
      <w:proofErr w:type="spellStart"/>
      <w:r w:rsidRPr="00021574">
        <w:rPr>
          <w:rFonts w:ascii="Times New Roman" w:eastAsia="Times New Roman" w:hAnsi="Times New Roman" w:cs="Times New Roman"/>
          <w:sz w:val="24"/>
          <w:szCs w:val="24"/>
        </w:rPr>
        <w:t>art</w:t>
      </w:r>
      <w:proofErr w:type="spellEnd"/>
      <w:r>
        <w:rPr>
          <w:rFonts w:ascii="Times New Roman" w:eastAsia="Times New Roman" w:hAnsi="Times New Roman" w:cs="Times New Roman"/>
          <w:sz w:val="24"/>
          <w:szCs w:val="24"/>
        </w:rPr>
        <w:t>.</w:t>
      </w:r>
      <w:r w:rsidRPr="00021574">
        <w:rPr>
          <w:rFonts w:ascii="Times New Roman" w:eastAsia="Times New Roman" w:hAnsi="Times New Roman" w:cs="Times New Roman"/>
          <w:sz w:val="24"/>
          <w:szCs w:val="24"/>
        </w:rPr>
        <w:t xml:space="preserve"> 608</w:t>
      </w:r>
      <w:r>
        <w:rPr>
          <w:rFonts w:ascii="Times New Roman" w:eastAsia="Times New Roman" w:hAnsi="Times New Roman" w:cs="Times New Roman"/>
          <w:sz w:val="24"/>
          <w:szCs w:val="24"/>
        </w:rPr>
        <w:t>.</w:t>
      </w:r>
      <w:r w:rsidRPr="00021574">
        <w:rPr>
          <w:rFonts w:ascii="Times New Roman" w:eastAsia="Times New Roman" w:hAnsi="Times New Roman" w:cs="Times New Roman"/>
          <w:sz w:val="24"/>
          <w:szCs w:val="24"/>
        </w:rPr>
        <w:t>º, n</w:t>
      </w:r>
      <w:r>
        <w:rPr>
          <w:rFonts w:ascii="Times New Roman" w:eastAsia="Times New Roman" w:hAnsi="Times New Roman" w:cs="Times New Roman"/>
          <w:sz w:val="24"/>
          <w:szCs w:val="24"/>
        </w:rPr>
        <w:t>.</w:t>
      </w:r>
      <w:r w:rsidRPr="00021574">
        <w:rPr>
          <w:rFonts w:ascii="Times New Roman" w:eastAsia="Times New Roman" w:hAnsi="Times New Roman" w:cs="Times New Roman"/>
          <w:sz w:val="24"/>
          <w:szCs w:val="24"/>
        </w:rPr>
        <w:t>º 2</w:t>
      </w:r>
      <w:r>
        <w:rPr>
          <w:rFonts w:ascii="Times New Roman" w:eastAsia="Times New Roman" w:hAnsi="Times New Roman" w:cs="Times New Roman"/>
          <w:sz w:val="24"/>
          <w:szCs w:val="24"/>
        </w:rPr>
        <w:t>,</w:t>
      </w:r>
      <w:r w:rsidRPr="00021574">
        <w:rPr>
          <w:rFonts w:ascii="Times New Roman" w:eastAsia="Times New Roman" w:hAnsi="Times New Roman" w:cs="Times New Roman"/>
          <w:sz w:val="24"/>
          <w:szCs w:val="24"/>
        </w:rPr>
        <w:t xml:space="preserve"> do CPC</w:t>
      </w:r>
      <w:r>
        <w:rPr>
          <w:rFonts w:ascii="Times New Roman" w:eastAsia="Times New Roman" w:hAnsi="Times New Roman" w:cs="Times New Roman"/>
          <w:sz w:val="24"/>
          <w:szCs w:val="24"/>
        </w:rPr>
        <w:t xml:space="preserve">, segundo o qual </w:t>
      </w:r>
      <w:r w:rsidRPr="00021574">
        <w:rPr>
          <w:rFonts w:ascii="Times New Roman" w:eastAsia="Times New Roman" w:hAnsi="Times New Roman" w:cs="Times New Roman"/>
          <w:sz w:val="24"/>
          <w:szCs w:val="24"/>
        </w:rPr>
        <w:t>o Juiz deve resolver todas as questões que as partes tenham submetido à sua apreciação, excet</w:t>
      </w:r>
      <w:r>
        <w:rPr>
          <w:rFonts w:ascii="Times New Roman" w:eastAsia="Times New Roman" w:hAnsi="Times New Roman" w:cs="Times New Roman"/>
          <w:sz w:val="24"/>
          <w:szCs w:val="24"/>
        </w:rPr>
        <w:t>o</w:t>
      </w:r>
      <w:r w:rsidRPr="00021574">
        <w:rPr>
          <w:rFonts w:ascii="Times New Roman" w:eastAsia="Times New Roman" w:hAnsi="Times New Roman" w:cs="Times New Roman"/>
          <w:sz w:val="24"/>
          <w:szCs w:val="24"/>
        </w:rPr>
        <w:t xml:space="preserve"> aquelas cuja decisão esteja prejudicada pela solução dada a outras, não podendo </w:t>
      </w:r>
      <w:r w:rsidRPr="00021574">
        <w:rPr>
          <w:rFonts w:ascii="Times New Roman" w:eastAsia="Times New Roman" w:hAnsi="Times New Roman" w:cs="Times New Roman"/>
          <w:sz w:val="24"/>
          <w:szCs w:val="24"/>
        </w:rPr>
        <w:lastRenderedPageBreak/>
        <w:t>ocupar-se senão de questões suscitadas pelas partes, salvo se a lei lhe permitir ou impuser o conhecimento oficioso de outras.</w:t>
      </w:r>
    </w:p>
    <w:p w14:paraId="01E5179E" w14:textId="0BA82C44" w:rsidR="00CC5257" w:rsidRDefault="00021574" w:rsidP="00CC5257">
      <w:pPr>
        <w:pStyle w:val="PargrafodaLista"/>
        <w:numPr>
          <w:ilvl w:val="0"/>
          <w:numId w:val="17"/>
        </w:numPr>
        <w:spacing w:after="0" w:line="360" w:lineRule="auto"/>
        <w:ind w:left="357" w:firstLine="357"/>
        <w:jc w:val="both"/>
        <w:rPr>
          <w:rFonts w:ascii="Times New Roman" w:eastAsia="Times New Roman" w:hAnsi="Times New Roman" w:cs="Times New Roman"/>
          <w:sz w:val="24"/>
          <w:szCs w:val="24"/>
        </w:rPr>
      </w:pPr>
      <w:r w:rsidRPr="00021574">
        <w:rPr>
          <w:rFonts w:ascii="Times New Roman" w:eastAsia="Times New Roman" w:hAnsi="Times New Roman" w:cs="Times New Roman"/>
          <w:sz w:val="24"/>
          <w:szCs w:val="24"/>
        </w:rPr>
        <w:t xml:space="preserve">Por conseguinte, a nulidade </w:t>
      </w:r>
      <w:r>
        <w:rPr>
          <w:rFonts w:ascii="Times New Roman" w:eastAsia="Times New Roman" w:hAnsi="Times New Roman" w:cs="Times New Roman"/>
          <w:sz w:val="24"/>
          <w:szCs w:val="24"/>
        </w:rPr>
        <w:t>por omissão de pronúncia</w:t>
      </w:r>
      <w:r w:rsidRPr="00021574">
        <w:rPr>
          <w:rFonts w:ascii="Times New Roman" w:eastAsia="Times New Roman" w:hAnsi="Times New Roman" w:cs="Times New Roman"/>
          <w:sz w:val="24"/>
          <w:szCs w:val="24"/>
        </w:rPr>
        <w:t>, representa</w:t>
      </w:r>
      <w:r>
        <w:rPr>
          <w:rFonts w:ascii="Times New Roman" w:eastAsia="Times New Roman" w:hAnsi="Times New Roman" w:cs="Times New Roman"/>
          <w:sz w:val="24"/>
          <w:szCs w:val="24"/>
        </w:rPr>
        <w:t>n</w:t>
      </w:r>
      <w:r w:rsidRPr="00021574">
        <w:rPr>
          <w:rFonts w:ascii="Times New Roman" w:eastAsia="Times New Roman" w:hAnsi="Times New Roman" w:cs="Times New Roman"/>
          <w:sz w:val="24"/>
          <w:szCs w:val="24"/>
        </w:rPr>
        <w:t xml:space="preserve">do a sanção legal para a violação do </w:t>
      </w:r>
      <w:r>
        <w:rPr>
          <w:rFonts w:ascii="Times New Roman" w:eastAsia="Times New Roman" w:hAnsi="Times New Roman" w:cs="Times New Roman"/>
          <w:sz w:val="24"/>
          <w:szCs w:val="24"/>
        </w:rPr>
        <w:t xml:space="preserve">preceito do </w:t>
      </w:r>
      <w:proofErr w:type="spellStart"/>
      <w:r>
        <w:rPr>
          <w:rFonts w:ascii="Times New Roman" w:eastAsia="Times New Roman" w:hAnsi="Times New Roman" w:cs="Times New Roman"/>
          <w:sz w:val="24"/>
          <w:szCs w:val="24"/>
        </w:rPr>
        <w:t>art</w:t>
      </w:r>
      <w:proofErr w:type="spellEnd"/>
      <w:r>
        <w:rPr>
          <w:rFonts w:ascii="Times New Roman" w:eastAsia="Times New Roman" w:hAnsi="Times New Roman" w:cs="Times New Roman"/>
          <w:sz w:val="24"/>
          <w:szCs w:val="24"/>
        </w:rPr>
        <w:t xml:space="preserve">. 608.º, n.º 2, do </w:t>
      </w:r>
      <w:r w:rsidRPr="00021574">
        <w:rPr>
          <w:rFonts w:ascii="Times New Roman" w:eastAsia="Times New Roman" w:hAnsi="Times New Roman" w:cs="Times New Roman"/>
          <w:sz w:val="24"/>
          <w:szCs w:val="24"/>
        </w:rPr>
        <w:t xml:space="preserve">CPC, apenas se verifica quando o </w:t>
      </w:r>
      <w:r w:rsidR="00CC5257">
        <w:rPr>
          <w:rFonts w:ascii="Times New Roman" w:eastAsia="Times New Roman" w:hAnsi="Times New Roman" w:cs="Times New Roman"/>
          <w:sz w:val="24"/>
          <w:szCs w:val="24"/>
        </w:rPr>
        <w:t>J</w:t>
      </w:r>
      <w:r w:rsidRPr="00021574">
        <w:rPr>
          <w:rFonts w:ascii="Times New Roman" w:eastAsia="Times New Roman" w:hAnsi="Times New Roman" w:cs="Times New Roman"/>
          <w:sz w:val="24"/>
          <w:szCs w:val="24"/>
        </w:rPr>
        <w:t xml:space="preserve">uiz deixe de pronunciar-se sobre as </w:t>
      </w:r>
      <w:r>
        <w:rPr>
          <w:rFonts w:ascii="Times New Roman" w:eastAsia="Times New Roman" w:hAnsi="Times New Roman" w:cs="Times New Roman"/>
          <w:sz w:val="24"/>
          <w:szCs w:val="24"/>
        </w:rPr>
        <w:t>“</w:t>
      </w:r>
      <w:r w:rsidRPr="00021574">
        <w:rPr>
          <w:rFonts w:ascii="Times New Roman" w:eastAsia="Times New Roman" w:hAnsi="Times New Roman" w:cs="Times New Roman"/>
          <w:sz w:val="24"/>
          <w:szCs w:val="24"/>
        </w:rPr>
        <w:t>questões</w:t>
      </w:r>
      <w:r>
        <w:rPr>
          <w:rFonts w:ascii="Times New Roman" w:eastAsia="Times New Roman" w:hAnsi="Times New Roman" w:cs="Times New Roman"/>
          <w:sz w:val="24"/>
          <w:szCs w:val="24"/>
        </w:rPr>
        <w:t>”</w:t>
      </w:r>
      <w:r w:rsidRPr="00021574">
        <w:rPr>
          <w:rFonts w:ascii="Times New Roman" w:eastAsia="Times New Roman" w:hAnsi="Times New Roman" w:cs="Times New Roman"/>
          <w:sz w:val="24"/>
          <w:szCs w:val="24"/>
        </w:rPr>
        <w:t xml:space="preserve"> </w:t>
      </w:r>
      <w:r w:rsidR="00CC5257">
        <w:rPr>
          <w:rFonts w:ascii="Times New Roman" w:eastAsia="Times New Roman" w:hAnsi="Times New Roman" w:cs="Times New Roman"/>
          <w:sz w:val="24"/>
          <w:szCs w:val="24"/>
        </w:rPr>
        <w:t xml:space="preserve">submetidas </w:t>
      </w:r>
      <w:r w:rsidRPr="00021574">
        <w:rPr>
          <w:rFonts w:ascii="Times New Roman" w:eastAsia="Times New Roman" w:hAnsi="Times New Roman" w:cs="Times New Roman"/>
          <w:sz w:val="24"/>
          <w:szCs w:val="24"/>
        </w:rPr>
        <w:t>pelas partes ao seu escrutínio, ou de que deva conhecer oficiosamente, como tais se considerando as pretensões formuladas por aquelas</w:t>
      </w:r>
      <w:r w:rsidR="00CC5257">
        <w:rPr>
          <w:rFonts w:ascii="Times New Roman" w:eastAsia="Times New Roman" w:hAnsi="Times New Roman" w:cs="Times New Roman"/>
          <w:sz w:val="24"/>
          <w:szCs w:val="24"/>
        </w:rPr>
        <w:t xml:space="preserve">. Como é pacífico na jurisprudência e na doutrina, o Juiz não tem de apreciar </w:t>
      </w:r>
      <w:r w:rsidRPr="00021574">
        <w:rPr>
          <w:rFonts w:ascii="Times New Roman" w:eastAsia="Times New Roman" w:hAnsi="Times New Roman" w:cs="Times New Roman"/>
          <w:sz w:val="24"/>
          <w:szCs w:val="24"/>
        </w:rPr>
        <w:t>os argumentos</w:t>
      </w:r>
      <w:r w:rsidR="00CC5257">
        <w:rPr>
          <w:rFonts w:ascii="Times New Roman" w:eastAsia="Times New Roman" w:hAnsi="Times New Roman" w:cs="Times New Roman"/>
          <w:sz w:val="24"/>
          <w:szCs w:val="24"/>
        </w:rPr>
        <w:t xml:space="preserve">, razões ou juízos de valor </w:t>
      </w:r>
      <w:r w:rsidRPr="00021574">
        <w:rPr>
          <w:rFonts w:ascii="Times New Roman" w:eastAsia="Times New Roman" w:hAnsi="Times New Roman" w:cs="Times New Roman"/>
          <w:sz w:val="24"/>
          <w:szCs w:val="24"/>
        </w:rPr>
        <w:t xml:space="preserve">invocados, nem a mera qualificação jurídica </w:t>
      </w:r>
      <w:r w:rsidR="009E7484">
        <w:rPr>
          <w:rFonts w:ascii="Times New Roman" w:eastAsia="Times New Roman" w:hAnsi="Times New Roman" w:cs="Times New Roman"/>
          <w:sz w:val="24"/>
          <w:szCs w:val="24"/>
        </w:rPr>
        <w:t xml:space="preserve">dos factos </w:t>
      </w:r>
      <w:r w:rsidRPr="00021574">
        <w:rPr>
          <w:rFonts w:ascii="Times New Roman" w:eastAsia="Times New Roman" w:hAnsi="Times New Roman" w:cs="Times New Roman"/>
          <w:sz w:val="24"/>
          <w:szCs w:val="24"/>
        </w:rPr>
        <w:t>oferecida pelos litigantes</w:t>
      </w:r>
      <w:r w:rsidR="00CC5257">
        <w:rPr>
          <w:rFonts w:ascii="Times New Roman" w:eastAsia="Times New Roman" w:hAnsi="Times New Roman" w:cs="Times New Roman"/>
          <w:sz w:val="24"/>
          <w:szCs w:val="24"/>
        </w:rPr>
        <w:t>, a quem não tem de dar resposta individualizada</w:t>
      </w:r>
      <w:r w:rsidR="009E7484">
        <w:rPr>
          <w:rFonts w:ascii="Times New Roman" w:eastAsia="Times New Roman" w:hAnsi="Times New Roman" w:cs="Times New Roman"/>
          <w:sz w:val="24"/>
          <w:szCs w:val="24"/>
        </w:rPr>
        <w:t>mente a cada um desses argumentos, razões, etc.</w:t>
      </w:r>
      <w:r w:rsidRPr="00021574">
        <w:rPr>
          <w:rFonts w:ascii="Times New Roman" w:eastAsia="Times New Roman" w:hAnsi="Times New Roman" w:cs="Times New Roman"/>
          <w:sz w:val="24"/>
          <w:szCs w:val="24"/>
        </w:rPr>
        <w:t xml:space="preserve">. Essencial é que o </w:t>
      </w:r>
      <w:r w:rsidR="009E7484">
        <w:rPr>
          <w:rFonts w:ascii="Times New Roman" w:eastAsia="Times New Roman" w:hAnsi="Times New Roman" w:cs="Times New Roman"/>
          <w:sz w:val="24"/>
          <w:szCs w:val="24"/>
        </w:rPr>
        <w:t>T</w:t>
      </w:r>
      <w:r w:rsidRPr="00021574">
        <w:rPr>
          <w:rFonts w:ascii="Times New Roman" w:eastAsia="Times New Roman" w:hAnsi="Times New Roman" w:cs="Times New Roman"/>
          <w:sz w:val="24"/>
          <w:szCs w:val="24"/>
        </w:rPr>
        <w:t xml:space="preserve">ribunal se contenha no âmbito do objeto do recurso, delimitado pelas conclusões (cf. </w:t>
      </w:r>
      <w:proofErr w:type="spellStart"/>
      <w:r w:rsidRPr="00021574">
        <w:rPr>
          <w:rFonts w:ascii="Times New Roman" w:eastAsia="Times New Roman" w:hAnsi="Times New Roman" w:cs="Times New Roman"/>
          <w:sz w:val="24"/>
          <w:szCs w:val="24"/>
        </w:rPr>
        <w:t>arts</w:t>
      </w:r>
      <w:proofErr w:type="spellEnd"/>
      <w:r w:rsidRPr="00021574">
        <w:rPr>
          <w:rFonts w:ascii="Times New Roman" w:eastAsia="Times New Roman" w:hAnsi="Times New Roman" w:cs="Times New Roman"/>
          <w:sz w:val="24"/>
          <w:szCs w:val="24"/>
        </w:rPr>
        <w:t>. 608.º, n.º2, 635.º, nº4 e 639º, do CPC).</w:t>
      </w:r>
    </w:p>
    <w:p w14:paraId="6C059072" w14:textId="4990B869" w:rsidR="000E4ECD" w:rsidRDefault="000E4ECD" w:rsidP="00CC5257">
      <w:pPr>
        <w:pStyle w:val="PargrafodaLista"/>
        <w:numPr>
          <w:ilvl w:val="0"/>
          <w:numId w:val="17"/>
        </w:numPr>
        <w:spacing w:after="0" w:line="360" w:lineRule="auto"/>
        <w:ind w:left="357"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 efeito, </w:t>
      </w:r>
      <w:r w:rsidR="0010045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100451">
        <w:rPr>
          <w:rFonts w:ascii="Times New Roman" w:eastAsia="Times New Roman" w:hAnsi="Times New Roman" w:cs="Times New Roman"/>
          <w:i/>
          <w:iCs/>
          <w:sz w:val="20"/>
          <w:szCs w:val="20"/>
        </w:rPr>
        <w:t>Resolver todas as questões que as partes tenham submetido à sua apreciação” não significa considerar todos os argumentos que, segundo as várias vias, à part</w:t>
      </w:r>
      <w:r w:rsidR="00100451" w:rsidRPr="00100451">
        <w:rPr>
          <w:rFonts w:ascii="Times New Roman" w:eastAsia="Times New Roman" w:hAnsi="Times New Roman" w:cs="Times New Roman"/>
          <w:i/>
          <w:iCs/>
          <w:sz w:val="20"/>
          <w:szCs w:val="20"/>
        </w:rPr>
        <w:t>ida</w:t>
      </w:r>
      <w:r w:rsidRPr="00100451">
        <w:rPr>
          <w:rFonts w:ascii="Times New Roman" w:eastAsia="Times New Roman" w:hAnsi="Times New Roman" w:cs="Times New Roman"/>
          <w:i/>
          <w:iCs/>
          <w:sz w:val="20"/>
          <w:szCs w:val="20"/>
        </w:rPr>
        <w:t xml:space="preserve"> plausíveis</w:t>
      </w:r>
      <w:r w:rsidR="00100451" w:rsidRPr="00100451">
        <w:rPr>
          <w:rFonts w:ascii="Times New Roman" w:eastAsia="Times New Roman" w:hAnsi="Times New Roman" w:cs="Times New Roman"/>
          <w:i/>
          <w:iCs/>
          <w:sz w:val="20"/>
          <w:szCs w:val="20"/>
        </w:rPr>
        <w:t xml:space="preserve">, de solução do pleito, as partes tenham deduzido ou o próprio juiz possa inicialmente ter </w:t>
      </w:r>
      <w:proofErr w:type="spellStart"/>
      <w:r w:rsidR="00100451" w:rsidRPr="00100451">
        <w:rPr>
          <w:rFonts w:ascii="Times New Roman" w:eastAsia="Times New Roman" w:hAnsi="Times New Roman" w:cs="Times New Roman"/>
          <w:i/>
          <w:iCs/>
          <w:sz w:val="20"/>
          <w:szCs w:val="20"/>
        </w:rPr>
        <w:t>admitdo</w:t>
      </w:r>
      <w:proofErr w:type="spellEnd"/>
      <w:r w:rsidR="00100451" w:rsidRPr="00100451">
        <w:rPr>
          <w:rFonts w:ascii="Times New Roman" w:eastAsia="Times New Roman" w:hAnsi="Times New Roman" w:cs="Times New Roman"/>
          <w:i/>
          <w:iCs/>
          <w:sz w:val="20"/>
          <w:szCs w:val="20"/>
        </w:rPr>
        <w:t xml:space="preserve"> (…); por outro lado, o juiz não está sujeito às alegações das partes quanto à indagação, interpretação e aplicação das normas jurídicas (</w:t>
      </w:r>
      <w:proofErr w:type="spellStart"/>
      <w:r w:rsidR="00100451" w:rsidRPr="00100451">
        <w:rPr>
          <w:rFonts w:ascii="Times New Roman" w:eastAsia="Times New Roman" w:hAnsi="Times New Roman" w:cs="Times New Roman"/>
          <w:i/>
          <w:iCs/>
          <w:sz w:val="20"/>
          <w:szCs w:val="20"/>
        </w:rPr>
        <w:t>art</w:t>
      </w:r>
      <w:proofErr w:type="spellEnd"/>
      <w:r w:rsidR="00100451" w:rsidRPr="00100451">
        <w:rPr>
          <w:rFonts w:ascii="Times New Roman" w:eastAsia="Times New Roman" w:hAnsi="Times New Roman" w:cs="Times New Roman"/>
          <w:i/>
          <w:iCs/>
          <w:sz w:val="20"/>
          <w:szCs w:val="20"/>
        </w:rPr>
        <w:t xml:space="preserve">. 5-3) e, uma vez </w:t>
      </w:r>
      <w:proofErr w:type="spellStart"/>
      <w:r w:rsidR="00100451" w:rsidRPr="00100451">
        <w:rPr>
          <w:rFonts w:ascii="Times New Roman" w:eastAsia="Times New Roman" w:hAnsi="Times New Roman" w:cs="Times New Roman"/>
          <w:i/>
          <w:iCs/>
          <w:sz w:val="20"/>
          <w:szCs w:val="20"/>
        </w:rPr>
        <w:t>motivadamente</w:t>
      </w:r>
      <w:proofErr w:type="spellEnd"/>
      <w:r w:rsidR="00100451" w:rsidRPr="00100451">
        <w:rPr>
          <w:rFonts w:ascii="Times New Roman" w:eastAsia="Times New Roman" w:hAnsi="Times New Roman" w:cs="Times New Roman"/>
          <w:i/>
          <w:iCs/>
          <w:sz w:val="20"/>
          <w:szCs w:val="20"/>
        </w:rPr>
        <w:t xml:space="preserve"> tomada determinada orientação, as restantes que as partes hajam defendido, nomeadamente nas suas alegações de direito, não têm de ser separadamente analisadas</w:t>
      </w:r>
      <w:r w:rsidR="00100451">
        <w:rPr>
          <w:rFonts w:ascii="Times New Roman" w:eastAsia="Times New Roman" w:hAnsi="Times New Roman" w:cs="Times New Roman"/>
          <w:sz w:val="24"/>
          <w:szCs w:val="24"/>
        </w:rPr>
        <w:t>»</w:t>
      </w:r>
      <w:r w:rsidR="00100451">
        <w:rPr>
          <w:rStyle w:val="Refdenotaderodap"/>
          <w:rFonts w:ascii="Times New Roman" w:eastAsia="Times New Roman" w:hAnsi="Times New Roman" w:cs="Times New Roman"/>
          <w:sz w:val="24"/>
          <w:szCs w:val="24"/>
        </w:rPr>
        <w:footnoteReference w:id="4"/>
      </w:r>
      <w:r w:rsidR="00100451">
        <w:rPr>
          <w:rFonts w:ascii="Times New Roman" w:eastAsia="Times New Roman" w:hAnsi="Times New Roman" w:cs="Times New Roman"/>
          <w:sz w:val="24"/>
          <w:szCs w:val="24"/>
        </w:rPr>
        <w:t>.</w:t>
      </w:r>
    </w:p>
    <w:p w14:paraId="56A59D0E" w14:textId="3936E852" w:rsidR="00021574" w:rsidRPr="00CC5257" w:rsidRDefault="00021574" w:rsidP="00CC5257">
      <w:pPr>
        <w:pStyle w:val="PargrafodaLista"/>
        <w:numPr>
          <w:ilvl w:val="0"/>
          <w:numId w:val="17"/>
        </w:numPr>
        <w:spacing w:after="0" w:line="360" w:lineRule="auto"/>
        <w:ind w:left="357" w:firstLine="357"/>
        <w:jc w:val="both"/>
        <w:rPr>
          <w:rFonts w:ascii="Times New Roman" w:eastAsia="Times New Roman" w:hAnsi="Times New Roman" w:cs="Times New Roman"/>
          <w:sz w:val="24"/>
          <w:szCs w:val="24"/>
        </w:rPr>
      </w:pPr>
      <w:r w:rsidRPr="00CC5257">
        <w:rPr>
          <w:rFonts w:ascii="Times New Roman" w:eastAsia="Times New Roman" w:hAnsi="Times New Roman" w:cs="Times New Roman"/>
          <w:sz w:val="24"/>
          <w:szCs w:val="24"/>
        </w:rPr>
        <w:t xml:space="preserve">No caso em apreço, as questões de direito a </w:t>
      </w:r>
      <w:r w:rsidR="00686EB7">
        <w:rPr>
          <w:rFonts w:ascii="Times New Roman" w:eastAsia="Times New Roman" w:hAnsi="Times New Roman" w:cs="Times New Roman"/>
          <w:sz w:val="24"/>
          <w:szCs w:val="24"/>
        </w:rPr>
        <w:t>resolver</w:t>
      </w:r>
      <w:r w:rsidRPr="00CC5257">
        <w:rPr>
          <w:rFonts w:ascii="Times New Roman" w:eastAsia="Times New Roman" w:hAnsi="Times New Roman" w:cs="Times New Roman"/>
          <w:sz w:val="24"/>
          <w:szCs w:val="24"/>
        </w:rPr>
        <w:t xml:space="preserve"> no âmbito da revista consistiam (unicamente) em saber se:</w:t>
      </w:r>
    </w:p>
    <w:p w14:paraId="2A871567" w14:textId="65818C6E" w:rsidR="00021574" w:rsidRPr="00021574" w:rsidRDefault="00021574" w:rsidP="00CC5257">
      <w:pPr>
        <w:pStyle w:val="PargrafodaLista"/>
        <w:spacing w:after="0" w:line="360" w:lineRule="auto"/>
        <w:jc w:val="both"/>
        <w:rPr>
          <w:rFonts w:ascii="Times New Roman" w:eastAsia="Times New Roman" w:hAnsi="Times New Roman" w:cs="Times New Roman"/>
          <w:sz w:val="24"/>
          <w:szCs w:val="24"/>
        </w:rPr>
      </w:pPr>
      <w:r w:rsidRPr="00021574">
        <w:rPr>
          <w:rFonts w:ascii="Times New Roman" w:eastAsia="Times New Roman" w:hAnsi="Times New Roman" w:cs="Times New Roman"/>
          <w:sz w:val="24"/>
          <w:szCs w:val="24"/>
        </w:rPr>
        <w:t xml:space="preserve">- se o recurso interposto por </w:t>
      </w:r>
      <w:proofErr w:type="spellStart"/>
      <w:r w:rsidR="00CC5257" w:rsidRPr="00586686">
        <w:rPr>
          <w:rFonts w:ascii="Times New Roman" w:hAnsi="Times New Roman" w:cs="Times New Roman"/>
          <w:b/>
          <w:bCs/>
          <w:smallCaps/>
          <w:sz w:val="24"/>
          <w:szCs w:val="24"/>
        </w:rPr>
        <w:t>Gerex</w:t>
      </w:r>
      <w:proofErr w:type="spellEnd"/>
      <w:r w:rsidR="00CC5257" w:rsidRPr="00586686">
        <w:rPr>
          <w:rFonts w:ascii="Times New Roman" w:hAnsi="Times New Roman" w:cs="Times New Roman"/>
          <w:b/>
          <w:bCs/>
          <w:smallCaps/>
          <w:sz w:val="24"/>
          <w:szCs w:val="24"/>
        </w:rPr>
        <w:t>- Gabinete de Gestão Industrial e Comercial, Lda.</w:t>
      </w:r>
      <w:r w:rsidR="00CC5257">
        <w:rPr>
          <w:rFonts w:ascii="Times New Roman" w:hAnsi="Times New Roman" w:cs="Times New Roman"/>
          <w:b/>
          <w:bCs/>
          <w:smallCaps/>
          <w:sz w:val="24"/>
          <w:szCs w:val="24"/>
        </w:rPr>
        <w:t>,</w:t>
      </w:r>
      <w:r w:rsidRPr="00021574">
        <w:rPr>
          <w:rFonts w:ascii="Times New Roman" w:eastAsia="Times New Roman" w:hAnsi="Times New Roman" w:cs="Times New Roman"/>
          <w:sz w:val="24"/>
          <w:szCs w:val="24"/>
        </w:rPr>
        <w:t xml:space="preserve"> é ou não admissível;</w:t>
      </w:r>
    </w:p>
    <w:p w14:paraId="1B4CD8CD" w14:textId="77777777" w:rsidR="00021574" w:rsidRPr="00021574" w:rsidRDefault="00021574" w:rsidP="00CC5257">
      <w:pPr>
        <w:pStyle w:val="PargrafodaLista"/>
        <w:spacing w:after="0" w:line="360" w:lineRule="auto"/>
        <w:jc w:val="both"/>
        <w:rPr>
          <w:rFonts w:ascii="Times New Roman" w:eastAsia="Times New Roman" w:hAnsi="Times New Roman" w:cs="Times New Roman"/>
          <w:sz w:val="24"/>
          <w:szCs w:val="24"/>
        </w:rPr>
      </w:pPr>
      <w:r w:rsidRPr="00021574">
        <w:rPr>
          <w:rFonts w:ascii="Times New Roman" w:eastAsia="Times New Roman" w:hAnsi="Times New Roman" w:cs="Times New Roman"/>
          <w:sz w:val="24"/>
          <w:szCs w:val="24"/>
        </w:rPr>
        <w:t>- se o arrendamento outorgado pelas partes em 1997 se traduz num contrato novo ou antes numa alteração ao contrato anteriormente celebrado;</w:t>
      </w:r>
    </w:p>
    <w:p w14:paraId="6E25F5C7" w14:textId="77777777" w:rsidR="00021574" w:rsidRPr="00021574" w:rsidRDefault="00021574" w:rsidP="00CC5257">
      <w:pPr>
        <w:pStyle w:val="PargrafodaLista"/>
        <w:spacing w:after="0" w:line="360" w:lineRule="auto"/>
        <w:jc w:val="both"/>
        <w:rPr>
          <w:rFonts w:ascii="Times New Roman" w:eastAsia="Times New Roman" w:hAnsi="Times New Roman" w:cs="Times New Roman"/>
          <w:sz w:val="24"/>
          <w:szCs w:val="24"/>
        </w:rPr>
      </w:pPr>
      <w:r w:rsidRPr="00021574">
        <w:rPr>
          <w:rFonts w:ascii="Times New Roman" w:eastAsia="Times New Roman" w:hAnsi="Times New Roman" w:cs="Times New Roman"/>
          <w:sz w:val="24"/>
          <w:szCs w:val="24"/>
        </w:rPr>
        <w:t xml:space="preserve">- se o </w:t>
      </w:r>
      <w:proofErr w:type="spellStart"/>
      <w:r w:rsidRPr="00021574">
        <w:rPr>
          <w:rFonts w:ascii="Times New Roman" w:eastAsia="Times New Roman" w:hAnsi="Times New Roman" w:cs="Times New Roman"/>
          <w:sz w:val="24"/>
          <w:szCs w:val="24"/>
        </w:rPr>
        <w:t>art</w:t>
      </w:r>
      <w:proofErr w:type="spellEnd"/>
      <w:r w:rsidRPr="00021574">
        <w:rPr>
          <w:rFonts w:ascii="Times New Roman" w:eastAsia="Times New Roman" w:hAnsi="Times New Roman" w:cs="Times New Roman"/>
          <w:sz w:val="24"/>
          <w:szCs w:val="24"/>
        </w:rPr>
        <w:t>. 1101.º, al. c), do CC, na redação que lhe foi conferida pela Lei n.º 13/2019, de 12 de fevereiro, se aplica à denúncia do contrato de arrendamento para fins não habitacionais comunicada ao arrendatário antes do seu início de vigência.</w:t>
      </w:r>
    </w:p>
    <w:p w14:paraId="3861C06F" w14:textId="17D5D686" w:rsidR="00021574" w:rsidRDefault="00021574" w:rsidP="00CC5257">
      <w:pPr>
        <w:pStyle w:val="PargrafodaLista"/>
        <w:numPr>
          <w:ilvl w:val="0"/>
          <w:numId w:val="17"/>
        </w:numPr>
        <w:spacing w:after="0" w:line="360" w:lineRule="auto"/>
        <w:ind w:left="357" w:firstLine="357"/>
        <w:jc w:val="both"/>
        <w:rPr>
          <w:rFonts w:ascii="Times New Roman" w:eastAsia="Times New Roman" w:hAnsi="Times New Roman" w:cs="Times New Roman"/>
          <w:sz w:val="24"/>
          <w:szCs w:val="24"/>
        </w:rPr>
      </w:pPr>
      <w:r w:rsidRPr="00021574">
        <w:rPr>
          <w:rFonts w:ascii="Times New Roman" w:eastAsia="Times New Roman" w:hAnsi="Times New Roman" w:cs="Times New Roman"/>
          <w:sz w:val="24"/>
          <w:szCs w:val="24"/>
        </w:rPr>
        <w:lastRenderedPageBreak/>
        <w:t xml:space="preserve">Todas estas questões foram apreciadas e fundamentadas à luz das normas jurídicas que se consideraram aplicáveis, concluindo-se não haver fundamento para considerar que, no caso dos autos, o negócio jurídico concluído </w:t>
      </w:r>
      <w:r w:rsidR="00CC5257">
        <w:rPr>
          <w:rFonts w:ascii="Times New Roman" w:eastAsia="Times New Roman" w:hAnsi="Times New Roman" w:cs="Times New Roman"/>
          <w:sz w:val="24"/>
          <w:szCs w:val="24"/>
        </w:rPr>
        <w:t xml:space="preserve">pelas partes </w:t>
      </w:r>
      <w:r w:rsidRPr="00021574">
        <w:rPr>
          <w:rFonts w:ascii="Times New Roman" w:eastAsia="Times New Roman" w:hAnsi="Times New Roman" w:cs="Times New Roman"/>
          <w:sz w:val="24"/>
          <w:szCs w:val="24"/>
        </w:rPr>
        <w:t>em 1997</w:t>
      </w:r>
      <w:r w:rsidR="00686EB7">
        <w:rPr>
          <w:rFonts w:ascii="Times New Roman" w:eastAsia="Times New Roman" w:hAnsi="Times New Roman" w:cs="Times New Roman"/>
          <w:sz w:val="24"/>
          <w:szCs w:val="24"/>
        </w:rPr>
        <w:t xml:space="preserve">, em lugar de se traduzir </w:t>
      </w:r>
      <w:r w:rsidRPr="00021574">
        <w:rPr>
          <w:rFonts w:ascii="Times New Roman" w:eastAsia="Times New Roman" w:hAnsi="Times New Roman" w:cs="Times New Roman"/>
          <w:sz w:val="24"/>
          <w:szCs w:val="24"/>
        </w:rPr>
        <w:t>num novo contrato</w:t>
      </w:r>
      <w:r w:rsidR="00686EB7">
        <w:rPr>
          <w:rFonts w:ascii="Times New Roman" w:eastAsia="Times New Roman" w:hAnsi="Times New Roman" w:cs="Times New Roman"/>
          <w:sz w:val="24"/>
          <w:szCs w:val="24"/>
        </w:rPr>
        <w:t xml:space="preserve"> de arrendamento,</w:t>
      </w:r>
      <w:r w:rsidRPr="00021574">
        <w:rPr>
          <w:rFonts w:ascii="Times New Roman" w:eastAsia="Times New Roman" w:hAnsi="Times New Roman" w:cs="Times New Roman"/>
          <w:sz w:val="24"/>
          <w:szCs w:val="24"/>
        </w:rPr>
        <w:t xml:space="preserve"> </w:t>
      </w:r>
      <w:r w:rsidR="00686EB7">
        <w:rPr>
          <w:rFonts w:ascii="Times New Roman" w:eastAsia="Times New Roman" w:hAnsi="Times New Roman" w:cs="Times New Roman"/>
          <w:sz w:val="24"/>
          <w:szCs w:val="24"/>
        </w:rPr>
        <w:t>se consubstanciava n</w:t>
      </w:r>
      <w:r w:rsidRPr="00021574">
        <w:rPr>
          <w:rFonts w:ascii="Times New Roman" w:eastAsia="Times New Roman" w:hAnsi="Times New Roman" w:cs="Times New Roman"/>
          <w:sz w:val="24"/>
          <w:szCs w:val="24"/>
        </w:rPr>
        <w:t>uma mera alteração ao contrato celebrado em 1989.</w:t>
      </w:r>
    </w:p>
    <w:p w14:paraId="4A8B8FC9" w14:textId="183160B8" w:rsidR="008E3070" w:rsidRPr="004142B4" w:rsidRDefault="008E3070" w:rsidP="004142B4">
      <w:pPr>
        <w:pStyle w:val="PargrafodaLista"/>
        <w:numPr>
          <w:ilvl w:val="0"/>
          <w:numId w:val="17"/>
        </w:numPr>
        <w:spacing w:after="0" w:line="360" w:lineRule="auto"/>
        <w:ind w:left="357" w:firstLine="357"/>
        <w:jc w:val="both"/>
        <w:rPr>
          <w:rFonts w:ascii="Times New Roman" w:eastAsia="Times New Roman" w:hAnsi="Times New Roman" w:cs="Times New Roman"/>
          <w:sz w:val="24"/>
          <w:szCs w:val="24"/>
        </w:rPr>
      </w:pPr>
      <w:r w:rsidRPr="004142B4">
        <w:rPr>
          <w:rFonts w:ascii="Times New Roman" w:eastAsia="Times New Roman" w:hAnsi="Times New Roman" w:cs="Times New Roman"/>
          <w:sz w:val="24"/>
          <w:szCs w:val="24"/>
        </w:rPr>
        <w:t>Pode</w:t>
      </w:r>
      <w:r w:rsidR="00686EB7">
        <w:rPr>
          <w:rFonts w:ascii="Times New Roman" w:eastAsia="Times New Roman" w:hAnsi="Times New Roman" w:cs="Times New Roman"/>
          <w:sz w:val="24"/>
          <w:szCs w:val="24"/>
        </w:rPr>
        <w:t>, de facto,</w:t>
      </w:r>
      <w:r w:rsidRPr="004142B4">
        <w:rPr>
          <w:rFonts w:ascii="Times New Roman" w:eastAsia="Times New Roman" w:hAnsi="Times New Roman" w:cs="Times New Roman"/>
          <w:sz w:val="24"/>
          <w:szCs w:val="24"/>
        </w:rPr>
        <w:t xml:space="preserve"> dizer-se que o Supremo Tribunal de Justiça não se absteve de conhecer da questão de saber se o negócio de 1997 se consubstanciava numa mera alteração ao contrato celebrado em </w:t>
      </w:r>
      <w:r w:rsidRPr="00686EB7">
        <w:rPr>
          <w:rFonts w:ascii="Times New Roman" w:eastAsia="Times New Roman" w:hAnsi="Times New Roman" w:cs="Times New Roman"/>
          <w:sz w:val="24"/>
          <w:szCs w:val="24"/>
        </w:rPr>
        <w:t>1989</w:t>
      </w:r>
      <w:r w:rsidRPr="004142B4">
        <w:rPr>
          <w:rFonts w:ascii="Times New Roman" w:eastAsia="Times New Roman" w:hAnsi="Times New Roman" w:cs="Times New Roman"/>
          <w:sz w:val="24"/>
          <w:szCs w:val="24"/>
        </w:rPr>
        <w:t xml:space="preserve"> ou antes num novo contrato de arrendamento. Conheceu-a e tomou a devida posição.</w:t>
      </w:r>
    </w:p>
    <w:p w14:paraId="67180183" w14:textId="3480FD86" w:rsidR="008E3070" w:rsidRPr="003C019A" w:rsidRDefault="008E3070" w:rsidP="0064271F">
      <w:pPr>
        <w:pStyle w:val="PargrafodaLista"/>
        <w:numPr>
          <w:ilvl w:val="0"/>
          <w:numId w:val="17"/>
        </w:numPr>
        <w:spacing w:after="0" w:line="360" w:lineRule="auto"/>
        <w:ind w:left="357" w:firstLine="357"/>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Com efeito, conforme o </w:t>
      </w:r>
      <w:r w:rsidR="004142B4">
        <w:rPr>
          <w:rFonts w:ascii="Times New Roman" w:eastAsia="Times New Roman" w:hAnsi="Times New Roman" w:cs="Times New Roman"/>
          <w:color w:val="000000"/>
          <w:sz w:val="24"/>
          <w:szCs w:val="24"/>
        </w:rPr>
        <w:t xml:space="preserve">acórdão do </w:t>
      </w:r>
      <w:r>
        <w:rPr>
          <w:rFonts w:ascii="Times New Roman" w:eastAsia="Times New Roman" w:hAnsi="Times New Roman" w:cs="Times New Roman"/>
          <w:color w:val="000000"/>
          <w:sz w:val="24"/>
          <w:szCs w:val="24"/>
        </w:rPr>
        <w:t>Supremo Tribunal de Justiça:</w:t>
      </w:r>
    </w:p>
    <w:p w14:paraId="1EFEE339" w14:textId="77777777" w:rsidR="008E3070" w:rsidRDefault="008E3070" w:rsidP="008E3070">
      <w:pPr>
        <w:pStyle w:val="PargrafodaLista"/>
        <w:spacing w:after="0" w:line="240" w:lineRule="auto"/>
        <w:jc w:val="both"/>
        <w:rPr>
          <w:rFonts w:ascii="Times New Roman" w:eastAsia="Times New Roman" w:hAnsi="Times New Roman" w:cs="Times New Roman"/>
          <w:color w:val="000000"/>
          <w:sz w:val="24"/>
          <w:szCs w:val="24"/>
        </w:rPr>
      </w:pPr>
      <w:bookmarkStart w:id="3" w:name="_Hlk92472289"/>
      <w:r>
        <w:rPr>
          <w:rFonts w:ascii="Times New Roman" w:eastAsia="Times New Roman" w:hAnsi="Times New Roman" w:cs="Times New Roman"/>
          <w:color w:val="000000"/>
          <w:sz w:val="24"/>
          <w:szCs w:val="24"/>
        </w:rPr>
        <w:t>“</w:t>
      </w:r>
      <w:r w:rsidRPr="003C019A">
        <w:rPr>
          <w:rFonts w:ascii="Times New Roman" w:eastAsia="Times New Roman" w:hAnsi="Times New Roman" w:cs="Times New Roman"/>
          <w:i/>
          <w:iCs/>
          <w:color w:val="000000"/>
          <w:sz w:val="20"/>
          <w:szCs w:val="20"/>
        </w:rPr>
        <w:t>As partes quiseram declarar o que efetivamente declararam, com o sentido correspondente à adoção de uma nova disciplina contratual.</w:t>
      </w:r>
      <w:r>
        <w:rPr>
          <w:rFonts w:ascii="Times New Roman" w:eastAsia="Times New Roman" w:hAnsi="Times New Roman" w:cs="Times New Roman"/>
          <w:color w:val="000000"/>
          <w:sz w:val="24"/>
          <w:szCs w:val="24"/>
        </w:rPr>
        <w:t>”</w:t>
      </w:r>
      <w:r w:rsidRPr="003C019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cf. </w:t>
      </w:r>
      <w:r w:rsidRPr="003C019A">
        <w:rPr>
          <w:rFonts w:ascii="Times New Roman" w:eastAsia="Times New Roman" w:hAnsi="Times New Roman" w:cs="Times New Roman"/>
          <w:color w:val="000000"/>
          <w:sz w:val="24"/>
          <w:szCs w:val="24"/>
        </w:rPr>
        <w:t>Ponto 15)</w:t>
      </w:r>
      <w:r>
        <w:rPr>
          <w:rFonts w:ascii="Times New Roman" w:eastAsia="Times New Roman" w:hAnsi="Times New Roman" w:cs="Times New Roman"/>
          <w:color w:val="000000"/>
          <w:sz w:val="24"/>
          <w:szCs w:val="24"/>
        </w:rPr>
        <w:t xml:space="preserve">; </w:t>
      </w:r>
    </w:p>
    <w:p w14:paraId="335FB303" w14:textId="77777777" w:rsidR="008E3070" w:rsidRDefault="008E3070" w:rsidP="008E3070">
      <w:pPr>
        <w:pStyle w:val="PargrafodaLista"/>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3C019A">
        <w:rPr>
          <w:rFonts w:ascii="Times New Roman" w:eastAsia="Times New Roman" w:hAnsi="Times New Roman" w:cs="Times New Roman"/>
          <w:i/>
          <w:iCs/>
          <w:color w:val="000000"/>
          <w:sz w:val="20"/>
          <w:szCs w:val="20"/>
        </w:rPr>
        <w:t>As partes pretenderam celebrar um novo negócio jurídico, dotado de uma nova e diversa economia negocial, regulando de modo diferente os seus interesses.</w:t>
      </w:r>
      <w:r w:rsidRPr="003C019A">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cf. </w:t>
      </w:r>
      <w:r w:rsidRPr="003C019A">
        <w:rPr>
          <w:rFonts w:ascii="Times New Roman" w:eastAsia="Times New Roman" w:hAnsi="Times New Roman" w:cs="Times New Roman"/>
          <w:color w:val="000000"/>
          <w:sz w:val="24"/>
          <w:szCs w:val="24"/>
        </w:rPr>
        <w:t xml:space="preserve">Ponto 16); </w:t>
      </w:r>
    </w:p>
    <w:p w14:paraId="7963417E" w14:textId="77777777" w:rsidR="008E3070" w:rsidRDefault="008E3070" w:rsidP="008E3070">
      <w:pPr>
        <w:pStyle w:val="PargrafodaLista"/>
        <w:spacing w:after="0" w:line="240" w:lineRule="auto"/>
        <w:jc w:val="both"/>
        <w:rPr>
          <w:rFonts w:ascii="Times New Roman" w:eastAsia="Times New Roman" w:hAnsi="Times New Roman" w:cs="Times New Roman"/>
          <w:color w:val="000000"/>
          <w:sz w:val="24"/>
          <w:szCs w:val="24"/>
        </w:rPr>
      </w:pPr>
      <w:r w:rsidRPr="003C019A">
        <w:rPr>
          <w:rFonts w:ascii="Times New Roman" w:eastAsia="Times New Roman" w:hAnsi="Times New Roman" w:cs="Times New Roman"/>
          <w:color w:val="000000"/>
          <w:sz w:val="24"/>
          <w:szCs w:val="24"/>
        </w:rPr>
        <w:t>“</w:t>
      </w:r>
      <w:r w:rsidRPr="003C019A">
        <w:rPr>
          <w:rFonts w:ascii="Times New Roman" w:eastAsia="Times New Roman" w:hAnsi="Times New Roman" w:cs="Times New Roman"/>
          <w:i/>
          <w:iCs/>
          <w:color w:val="000000"/>
          <w:sz w:val="20"/>
          <w:szCs w:val="20"/>
        </w:rPr>
        <w:t xml:space="preserve">No caso  </w:t>
      </w:r>
      <w:proofErr w:type="spellStart"/>
      <w:r w:rsidRPr="003C019A">
        <w:rPr>
          <w:rFonts w:ascii="Times New Roman" w:eastAsia="Times New Roman" w:hAnsi="Times New Roman" w:cs="Times New Roman"/>
          <w:i/>
          <w:iCs/>
          <w:color w:val="000000"/>
          <w:sz w:val="20"/>
          <w:szCs w:val="20"/>
        </w:rPr>
        <w:t>sub</w:t>
      </w:r>
      <w:proofErr w:type="spellEnd"/>
      <w:r w:rsidRPr="003C019A">
        <w:rPr>
          <w:rFonts w:ascii="Times New Roman" w:eastAsia="Times New Roman" w:hAnsi="Times New Roman" w:cs="Times New Roman"/>
          <w:i/>
          <w:iCs/>
          <w:color w:val="000000"/>
          <w:sz w:val="20"/>
          <w:szCs w:val="20"/>
        </w:rPr>
        <w:t xml:space="preserve"> </w:t>
      </w:r>
      <w:proofErr w:type="spellStart"/>
      <w:r w:rsidRPr="003C019A">
        <w:rPr>
          <w:rFonts w:ascii="Times New Roman" w:eastAsia="Times New Roman" w:hAnsi="Times New Roman" w:cs="Times New Roman"/>
          <w:i/>
          <w:iCs/>
          <w:color w:val="000000"/>
          <w:sz w:val="20"/>
          <w:szCs w:val="20"/>
        </w:rPr>
        <w:t>judice</w:t>
      </w:r>
      <w:proofErr w:type="spellEnd"/>
      <w:r w:rsidRPr="003C019A">
        <w:rPr>
          <w:rFonts w:ascii="Times New Roman" w:eastAsia="Times New Roman" w:hAnsi="Times New Roman" w:cs="Times New Roman"/>
          <w:i/>
          <w:iCs/>
          <w:color w:val="000000"/>
          <w:sz w:val="20"/>
          <w:szCs w:val="20"/>
        </w:rPr>
        <w:t xml:space="preserve">, o “texto” do contrato comporta apenas um sentido, que é o </w:t>
      </w:r>
      <w:r>
        <w:rPr>
          <w:rFonts w:ascii="Times New Roman" w:eastAsia="Times New Roman" w:hAnsi="Times New Roman" w:cs="Times New Roman"/>
          <w:i/>
          <w:iCs/>
          <w:color w:val="000000"/>
          <w:sz w:val="20"/>
          <w:szCs w:val="20"/>
        </w:rPr>
        <w:t xml:space="preserve">da </w:t>
      </w:r>
      <w:r w:rsidRPr="003C019A">
        <w:rPr>
          <w:rFonts w:ascii="Times New Roman" w:eastAsia="Times New Roman" w:hAnsi="Times New Roman" w:cs="Times New Roman"/>
          <w:i/>
          <w:iCs/>
          <w:color w:val="000000"/>
          <w:sz w:val="20"/>
          <w:szCs w:val="20"/>
        </w:rPr>
        <w:t>celebração de um novo contrato de arrendamento. Não resultou provado que a redação do “texto” tivesse atraiçoado o pensamento das partes.</w:t>
      </w:r>
      <w:r w:rsidRPr="003C019A">
        <w:rPr>
          <w:rFonts w:ascii="Times New Roman" w:eastAsia="Times New Roman" w:hAnsi="Times New Roman" w:cs="Times New Roman"/>
          <w:color w:val="000000"/>
          <w:sz w:val="24"/>
          <w:szCs w:val="24"/>
        </w:rPr>
        <w:t xml:space="preserve">”  (Ponto 18); </w:t>
      </w:r>
    </w:p>
    <w:p w14:paraId="6FD482F2" w14:textId="7E53BBDC" w:rsidR="008E3070" w:rsidRDefault="008E3070" w:rsidP="008E3070">
      <w:pPr>
        <w:pStyle w:val="PargrafodaLista"/>
        <w:spacing w:after="0" w:line="240" w:lineRule="auto"/>
        <w:jc w:val="both"/>
        <w:rPr>
          <w:rFonts w:ascii="Times New Roman" w:eastAsia="Times New Roman" w:hAnsi="Times New Roman" w:cs="Times New Roman"/>
          <w:color w:val="000000"/>
          <w:sz w:val="24"/>
          <w:szCs w:val="24"/>
        </w:rPr>
      </w:pPr>
      <w:r w:rsidRPr="003C019A">
        <w:rPr>
          <w:rFonts w:ascii="Times New Roman" w:eastAsia="Times New Roman" w:hAnsi="Times New Roman" w:cs="Times New Roman"/>
          <w:color w:val="000000"/>
          <w:sz w:val="24"/>
          <w:szCs w:val="24"/>
        </w:rPr>
        <w:t>“</w:t>
      </w:r>
      <w:r w:rsidRPr="003C019A">
        <w:rPr>
          <w:rFonts w:ascii="Times New Roman" w:eastAsia="Times New Roman" w:hAnsi="Times New Roman" w:cs="Times New Roman"/>
          <w:i/>
          <w:iCs/>
          <w:color w:val="000000"/>
          <w:sz w:val="20"/>
          <w:szCs w:val="20"/>
        </w:rPr>
        <w:t>É, por conseguinte, manifesta a vontade das partes de revogar o contrato de arrendamento urbano não habitacional anteriormente celebrado.</w:t>
      </w:r>
      <w:r>
        <w:rPr>
          <w:rFonts w:ascii="Times New Roman" w:eastAsia="Times New Roman" w:hAnsi="Times New Roman" w:cs="Times New Roman"/>
          <w:color w:val="000000"/>
          <w:sz w:val="24"/>
          <w:szCs w:val="24"/>
        </w:rPr>
        <w:t>”</w:t>
      </w:r>
      <w:r w:rsidRPr="003C019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cf. </w:t>
      </w:r>
      <w:r w:rsidRPr="003C019A">
        <w:rPr>
          <w:rFonts w:ascii="Times New Roman" w:eastAsia="Times New Roman" w:hAnsi="Times New Roman" w:cs="Times New Roman"/>
          <w:color w:val="000000"/>
          <w:sz w:val="24"/>
          <w:szCs w:val="24"/>
        </w:rPr>
        <w:t xml:space="preserve">Ponto 19); </w:t>
      </w:r>
    </w:p>
    <w:p w14:paraId="46B067A3" w14:textId="77777777" w:rsidR="008E3070" w:rsidRDefault="008E3070" w:rsidP="008E3070">
      <w:pPr>
        <w:pStyle w:val="PargrafodaLista"/>
        <w:spacing w:after="0" w:line="240" w:lineRule="auto"/>
        <w:jc w:val="both"/>
        <w:rPr>
          <w:rFonts w:ascii="Times New Roman" w:eastAsia="Times New Roman" w:hAnsi="Times New Roman" w:cs="Times New Roman"/>
          <w:color w:val="000000"/>
          <w:sz w:val="24"/>
          <w:szCs w:val="24"/>
        </w:rPr>
      </w:pPr>
      <w:r w:rsidRPr="003C019A">
        <w:rPr>
          <w:rFonts w:ascii="Times New Roman" w:eastAsia="Times New Roman" w:hAnsi="Times New Roman" w:cs="Times New Roman"/>
          <w:color w:val="000000"/>
          <w:sz w:val="24"/>
          <w:szCs w:val="24"/>
        </w:rPr>
        <w:t>“</w:t>
      </w:r>
      <w:r w:rsidRPr="003C019A">
        <w:rPr>
          <w:rFonts w:ascii="Times New Roman" w:eastAsia="Times New Roman" w:hAnsi="Times New Roman" w:cs="Times New Roman"/>
          <w:i/>
          <w:iCs/>
          <w:color w:val="000000"/>
          <w:sz w:val="20"/>
          <w:szCs w:val="20"/>
        </w:rPr>
        <w:t xml:space="preserve">Na verdade, as partes poderiam ter apenas introduzido variações no conteúdo do contrato de arrendamento inicialmente celebrado, sem tornar inútil a subsistência da disciplina contratual anteriormente estabelecida. Porém, não foi isso que fizeram. Também não renegociaram nem renovaram o contrato inicial. Não quiseram a manutenção da relação </w:t>
      </w:r>
      <w:proofErr w:type="spellStart"/>
      <w:r w:rsidRPr="003C019A">
        <w:rPr>
          <w:rFonts w:ascii="Times New Roman" w:eastAsia="Times New Roman" w:hAnsi="Times New Roman" w:cs="Times New Roman"/>
          <w:i/>
          <w:iCs/>
          <w:color w:val="000000"/>
          <w:sz w:val="20"/>
          <w:szCs w:val="20"/>
        </w:rPr>
        <w:t>locatícia</w:t>
      </w:r>
      <w:proofErr w:type="spellEnd"/>
      <w:r w:rsidRPr="003C019A">
        <w:rPr>
          <w:rFonts w:ascii="Times New Roman" w:eastAsia="Times New Roman" w:hAnsi="Times New Roman" w:cs="Times New Roman"/>
          <w:i/>
          <w:iCs/>
          <w:color w:val="000000"/>
          <w:sz w:val="20"/>
          <w:szCs w:val="20"/>
        </w:rPr>
        <w:t xml:space="preserve"> anterior, pois substituíram-na por outra.</w:t>
      </w:r>
      <w:r>
        <w:rPr>
          <w:rFonts w:ascii="Times New Roman" w:eastAsia="Times New Roman" w:hAnsi="Times New Roman" w:cs="Times New Roman"/>
          <w:color w:val="000000"/>
          <w:sz w:val="24"/>
          <w:szCs w:val="24"/>
        </w:rPr>
        <w:t>”</w:t>
      </w:r>
      <w:r w:rsidRPr="003C019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cf. </w:t>
      </w:r>
      <w:r w:rsidRPr="003C019A">
        <w:rPr>
          <w:rFonts w:ascii="Times New Roman" w:eastAsia="Times New Roman" w:hAnsi="Times New Roman" w:cs="Times New Roman"/>
          <w:color w:val="000000"/>
          <w:sz w:val="24"/>
          <w:szCs w:val="24"/>
        </w:rPr>
        <w:t xml:space="preserve">Ponto 20); </w:t>
      </w:r>
    </w:p>
    <w:p w14:paraId="7884BD71" w14:textId="77777777" w:rsidR="008E3070" w:rsidRDefault="008E3070" w:rsidP="008E3070">
      <w:pPr>
        <w:pStyle w:val="PargrafodaLista"/>
        <w:spacing w:after="0" w:line="240" w:lineRule="auto"/>
        <w:jc w:val="both"/>
        <w:rPr>
          <w:rFonts w:ascii="Times New Roman" w:eastAsia="Times New Roman" w:hAnsi="Times New Roman" w:cs="Times New Roman"/>
          <w:color w:val="000000"/>
          <w:sz w:val="24"/>
          <w:szCs w:val="24"/>
        </w:rPr>
      </w:pPr>
      <w:r w:rsidRPr="003C019A">
        <w:rPr>
          <w:rFonts w:ascii="Times New Roman" w:eastAsia="Times New Roman" w:hAnsi="Times New Roman" w:cs="Times New Roman"/>
          <w:color w:val="000000"/>
          <w:sz w:val="24"/>
          <w:szCs w:val="24"/>
        </w:rPr>
        <w:t>“</w:t>
      </w:r>
      <w:r w:rsidRPr="003C019A">
        <w:rPr>
          <w:rFonts w:ascii="Times New Roman" w:eastAsia="Times New Roman" w:hAnsi="Times New Roman" w:cs="Times New Roman"/>
          <w:i/>
          <w:iCs/>
          <w:color w:val="000000"/>
          <w:sz w:val="20"/>
          <w:szCs w:val="20"/>
        </w:rPr>
        <w:t xml:space="preserve">A observância das regras hermenêuticas contidas nos </w:t>
      </w:r>
      <w:proofErr w:type="spellStart"/>
      <w:r w:rsidRPr="003C019A">
        <w:rPr>
          <w:rFonts w:ascii="Times New Roman" w:eastAsia="Times New Roman" w:hAnsi="Times New Roman" w:cs="Times New Roman"/>
          <w:i/>
          <w:iCs/>
          <w:color w:val="000000"/>
          <w:sz w:val="20"/>
          <w:szCs w:val="20"/>
        </w:rPr>
        <w:t>arts</w:t>
      </w:r>
      <w:proofErr w:type="spellEnd"/>
      <w:r w:rsidRPr="003C019A">
        <w:rPr>
          <w:rFonts w:ascii="Times New Roman" w:eastAsia="Times New Roman" w:hAnsi="Times New Roman" w:cs="Times New Roman"/>
          <w:i/>
          <w:iCs/>
          <w:color w:val="000000"/>
          <w:sz w:val="20"/>
          <w:szCs w:val="20"/>
        </w:rPr>
        <w:t xml:space="preserve">. 236.º e </w:t>
      </w:r>
      <w:proofErr w:type="spellStart"/>
      <w:r w:rsidRPr="003C019A">
        <w:rPr>
          <w:rFonts w:ascii="Times New Roman" w:eastAsia="Times New Roman" w:hAnsi="Times New Roman" w:cs="Times New Roman"/>
          <w:i/>
          <w:iCs/>
          <w:color w:val="000000"/>
          <w:sz w:val="20"/>
          <w:szCs w:val="20"/>
        </w:rPr>
        <w:t>ss</w:t>
      </w:r>
      <w:proofErr w:type="spellEnd"/>
      <w:r w:rsidRPr="003C019A">
        <w:rPr>
          <w:rFonts w:ascii="Times New Roman" w:eastAsia="Times New Roman" w:hAnsi="Times New Roman" w:cs="Times New Roman"/>
          <w:i/>
          <w:iCs/>
          <w:color w:val="000000"/>
          <w:sz w:val="20"/>
          <w:szCs w:val="20"/>
        </w:rPr>
        <w:t xml:space="preserve"> do CC conduz precisamente a esse resultado. A intenção das partes não se afigura compatível com a conservação, total ou parcial, da relação pré-existente. Não existe uma manifestação de vontade das partes dirigida a modificar a disciplina dos seus interesses estabelecida no acordo inicial, introduzindo-lhe mutações que não incidissem sobre a fisionomia originária da relação jurídica </w:t>
      </w:r>
      <w:proofErr w:type="spellStart"/>
      <w:r w:rsidRPr="003C019A">
        <w:rPr>
          <w:rFonts w:ascii="Times New Roman" w:eastAsia="Times New Roman" w:hAnsi="Times New Roman" w:cs="Times New Roman"/>
          <w:i/>
          <w:iCs/>
          <w:color w:val="000000"/>
          <w:sz w:val="20"/>
          <w:szCs w:val="20"/>
        </w:rPr>
        <w:t>locatícia</w:t>
      </w:r>
      <w:proofErr w:type="spellEnd"/>
      <w:r w:rsidRPr="003C019A">
        <w:rPr>
          <w:rFonts w:ascii="Times New Roman" w:eastAsia="Times New Roman" w:hAnsi="Times New Roman" w:cs="Times New Roman"/>
          <w:i/>
          <w:iCs/>
          <w:color w:val="000000"/>
          <w:sz w:val="20"/>
          <w:szCs w:val="20"/>
        </w:rPr>
        <w:t xml:space="preserve">, na qual funcionalmente se inseririam e que visariam regular, numa relação de complementaridade com o negócio primitivo. Está antes em causa uma regulamentação inovadora da relação jurídica que diz respeito à própria existência ou subsistência dessa mesma relação jurídica, não concernindo apenas e tão somente à sua disciplina. Não pode, por isso, afirmar-se que, no segundo contrato de arrendamento, as partes, apesar de terem reformulado a disciplina contratual, mantiveram o primeiro contrato de arrendamento e, assim, a relação </w:t>
      </w:r>
      <w:proofErr w:type="spellStart"/>
      <w:r w:rsidRPr="003C019A">
        <w:rPr>
          <w:rFonts w:ascii="Times New Roman" w:eastAsia="Times New Roman" w:hAnsi="Times New Roman" w:cs="Times New Roman"/>
          <w:i/>
          <w:iCs/>
          <w:color w:val="000000"/>
          <w:sz w:val="20"/>
          <w:szCs w:val="20"/>
        </w:rPr>
        <w:t>locatícia</w:t>
      </w:r>
      <w:proofErr w:type="spellEnd"/>
      <w:r w:rsidRPr="003C019A">
        <w:rPr>
          <w:rFonts w:ascii="Times New Roman" w:eastAsia="Times New Roman" w:hAnsi="Times New Roman" w:cs="Times New Roman"/>
          <w:i/>
          <w:iCs/>
          <w:color w:val="000000"/>
          <w:sz w:val="20"/>
          <w:szCs w:val="20"/>
        </w:rPr>
        <w:t xml:space="preserve"> anterior, ainda que sujeita a regras diferentes.</w:t>
      </w:r>
      <w:r w:rsidRPr="003C019A">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cf. </w:t>
      </w:r>
      <w:r w:rsidRPr="003C019A">
        <w:rPr>
          <w:rFonts w:ascii="Times New Roman" w:eastAsia="Times New Roman" w:hAnsi="Times New Roman" w:cs="Times New Roman"/>
          <w:color w:val="000000"/>
          <w:sz w:val="24"/>
          <w:szCs w:val="24"/>
        </w:rPr>
        <w:t xml:space="preserve">Ponto 22) ; </w:t>
      </w:r>
    </w:p>
    <w:p w14:paraId="1764811A" w14:textId="77777777" w:rsidR="008E3070" w:rsidRDefault="008E3070" w:rsidP="008E3070">
      <w:pPr>
        <w:pStyle w:val="PargrafodaLista"/>
        <w:spacing w:after="0" w:line="240" w:lineRule="auto"/>
        <w:jc w:val="both"/>
        <w:rPr>
          <w:rFonts w:ascii="Times New Roman" w:eastAsia="Times New Roman" w:hAnsi="Times New Roman" w:cs="Times New Roman"/>
          <w:color w:val="000000"/>
          <w:sz w:val="24"/>
          <w:szCs w:val="24"/>
        </w:rPr>
      </w:pPr>
      <w:r w:rsidRPr="003C019A">
        <w:rPr>
          <w:rFonts w:ascii="Times New Roman" w:eastAsia="Times New Roman" w:hAnsi="Times New Roman" w:cs="Times New Roman"/>
          <w:color w:val="000000"/>
          <w:sz w:val="24"/>
          <w:szCs w:val="24"/>
        </w:rPr>
        <w:t>“</w:t>
      </w:r>
      <w:r w:rsidRPr="003C019A">
        <w:rPr>
          <w:rFonts w:ascii="Times New Roman" w:eastAsia="Times New Roman" w:hAnsi="Times New Roman" w:cs="Times New Roman"/>
          <w:i/>
          <w:iCs/>
          <w:color w:val="000000"/>
          <w:sz w:val="20"/>
          <w:szCs w:val="20"/>
        </w:rPr>
        <w:t xml:space="preserve">As partes não salvaguardaram a subsistência de qualquer efeito do contrato anterior, pois que, apesar de o poderem fazer, ao abrigo do princípio da autonomia privada, não ressalvaram qualquer efeito já produzido – ou até a produzir – por esse contrato. Não se trata apenas de uma nova regulamentação contratual de uma relação </w:t>
      </w:r>
      <w:proofErr w:type="spellStart"/>
      <w:r w:rsidRPr="003C019A">
        <w:rPr>
          <w:rFonts w:ascii="Times New Roman" w:eastAsia="Times New Roman" w:hAnsi="Times New Roman" w:cs="Times New Roman"/>
          <w:i/>
          <w:iCs/>
          <w:color w:val="000000"/>
          <w:sz w:val="20"/>
          <w:szCs w:val="20"/>
        </w:rPr>
        <w:t>locatícia</w:t>
      </w:r>
      <w:proofErr w:type="spellEnd"/>
      <w:r w:rsidRPr="003C019A">
        <w:rPr>
          <w:rFonts w:ascii="Times New Roman" w:eastAsia="Times New Roman" w:hAnsi="Times New Roman" w:cs="Times New Roman"/>
          <w:i/>
          <w:iCs/>
          <w:color w:val="000000"/>
          <w:sz w:val="20"/>
          <w:szCs w:val="20"/>
        </w:rPr>
        <w:t xml:space="preserve"> anterior, mas antes da sua cessação e da constituição </w:t>
      </w:r>
      <w:proofErr w:type="spellStart"/>
      <w:r w:rsidRPr="003C019A">
        <w:rPr>
          <w:rFonts w:ascii="Times New Roman" w:eastAsia="Times New Roman" w:hAnsi="Times New Roman" w:cs="Times New Roman"/>
          <w:i/>
          <w:iCs/>
          <w:color w:val="000000"/>
          <w:sz w:val="20"/>
          <w:szCs w:val="20"/>
        </w:rPr>
        <w:t>ex</w:t>
      </w:r>
      <w:proofErr w:type="spellEnd"/>
      <w:r w:rsidRPr="003C019A">
        <w:rPr>
          <w:rFonts w:ascii="Times New Roman" w:eastAsia="Times New Roman" w:hAnsi="Times New Roman" w:cs="Times New Roman"/>
          <w:i/>
          <w:iCs/>
          <w:color w:val="000000"/>
          <w:sz w:val="20"/>
          <w:szCs w:val="20"/>
        </w:rPr>
        <w:t xml:space="preserve"> novo de outra relação </w:t>
      </w:r>
      <w:proofErr w:type="spellStart"/>
      <w:r w:rsidRPr="003C019A">
        <w:rPr>
          <w:rFonts w:ascii="Times New Roman" w:eastAsia="Times New Roman" w:hAnsi="Times New Roman" w:cs="Times New Roman"/>
          <w:i/>
          <w:iCs/>
          <w:color w:val="000000"/>
          <w:sz w:val="20"/>
          <w:szCs w:val="20"/>
        </w:rPr>
        <w:t>locatícia</w:t>
      </w:r>
      <w:proofErr w:type="spellEnd"/>
      <w:r w:rsidRPr="003C019A">
        <w:rPr>
          <w:rFonts w:ascii="Times New Roman" w:eastAsia="Times New Roman" w:hAnsi="Times New Roman" w:cs="Times New Roman"/>
          <w:i/>
          <w:iCs/>
          <w:color w:val="000000"/>
          <w:sz w:val="20"/>
          <w:szCs w:val="20"/>
        </w:rPr>
        <w:t xml:space="preserve"> cujo objeto integra o imóvel em apreço</w:t>
      </w:r>
      <w:r w:rsidRPr="003C019A">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cf. </w:t>
      </w:r>
      <w:r w:rsidRPr="003C019A">
        <w:rPr>
          <w:rFonts w:ascii="Times New Roman" w:eastAsia="Times New Roman" w:hAnsi="Times New Roman" w:cs="Times New Roman"/>
          <w:color w:val="000000"/>
          <w:sz w:val="24"/>
          <w:szCs w:val="24"/>
        </w:rPr>
        <w:t>Ponto 22);</w:t>
      </w:r>
    </w:p>
    <w:p w14:paraId="05B98F67" w14:textId="77777777" w:rsidR="008E3070" w:rsidRDefault="008E3070" w:rsidP="008E3070">
      <w:pPr>
        <w:pStyle w:val="PargrafodaLista"/>
        <w:spacing w:after="0" w:line="240" w:lineRule="auto"/>
        <w:jc w:val="both"/>
        <w:rPr>
          <w:rFonts w:ascii="Times New Roman" w:eastAsia="Times New Roman" w:hAnsi="Times New Roman" w:cs="Times New Roman"/>
          <w:color w:val="000000"/>
          <w:sz w:val="24"/>
          <w:szCs w:val="24"/>
        </w:rPr>
      </w:pPr>
      <w:r w:rsidRPr="003C019A">
        <w:rPr>
          <w:rFonts w:ascii="Times New Roman" w:eastAsia="Times New Roman" w:hAnsi="Times New Roman" w:cs="Times New Roman"/>
          <w:color w:val="000000"/>
          <w:sz w:val="24"/>
          <w:szCs w:val="24"/>
        </w:rPr>
        <w:lastRenderedPageBreak/>
        <w:t>“</w:t>
      </w:r>
      <w:r w:rsidRPr="003C019A">
        <w:rPr>
          <w:rFonts w:ascii="Times New Roman" w:eastAsia="Times New Roman" w:hAnsi="Times New Roman" w:cs="Times New Roman"/>
          <w:i/>
          <w:iCs/>
          <w:color w:val="000000"/>
          <w:sz w:val="20"/>
          <w:szCs w:val="20"/>
        </w:rPr>
        <w:t>Levando em linha de conta as alterações substanciais introduzidas no novo contrato de arrendamento, ainda que as partes não tenham expressamente revogado, por mútuo consenso, o primeiro contrato, sempre se afiguraria bastante discutível concluir no sentido da continuidade da relação contratual anterior. É que, em geral, no silêncio das partes quanto à manutenção do contrato originário, no caso de as alterações não se limitarem a elementos acessórios, entende-se que as partes extinguiram o contrato primitivo e celebraram um novo contrato.</w:t>
      </w:r>
      <w:r w:rsidRPr="003C019A">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cf. </w:t>
      </w:r>
      <w:r w:rsidRPr="003C019A">
        <w:rPr>
          <w:rFonts w:ascii="Times New Roman" w:eastAsia="Times New Roman" w:hAnsi="Times New Roman" w:cs="Times New Roman"/>
          <w:color w:val="000000"/>
          <w:sz w:val="24"/>
          <w:szCs w:val="24"/>
        </w:rPr>
        <w:t xml:space="preserve">Ponto 23); </w:t>
      </w:r>
    </w:p>
    <w:p w14:paraId="3ABF0470" w14:textId="77777777" w:rsidR="008E3070" w:rsidRDefault="008E3070" w:rsidP="008E3070">
      <w:pPr>
        <w:pStyle w:val="PargrafodaLista"/>
        <w:spacing w:after="0" w:line="240" w:lineRule="auto"/>
        <w:jc w:val="both"/>
        <w:rPr>
          <w:rFonts w:ascii="Times New Roman" w:eastAsia="Times New Roman" w:hAnsi="Times New Roman" w:cs="Times New Roman"/>
          <w:color w:val="000000"/>
          <w:sz w:val="24"/>
          <w:szCs w:val="24"/>
        </w:rPr>
      </w:pPr>
      <w:r w:rsidRPr="003C019A">
        <w:rPr>
          <w:rFonts w:ascii="Times New Roman" w:eastAsia="Times New Roman" w:hAnsi="Times New Roman" w:cs="Times New Roman"/>
          <w:color w:val="000000"/>
          <w:sz w:val="24"/>
          <w:szCs w:val="24"/>
        </w:rPr>
        <w:t>“</w:t>
      </w:r>
      <w:r w:rsidRPr="003C019A">
        <w:rPr>
          <w:rFonts w:ascii="Times New Roman" w:eastAsia="Times New Roman" w:hAnsi="Times New Roman" w:cs="Times New Roman"/>
          <w:i/>
          <w:iCs/>
          <w:color w:val="000000"/>
          <w:sz w:val="20"/>
          <w:szCs w:val="20"/>
        </w:rPr>
        <w:t>Compulsada a escritura dada como provada sob o n.º 4, verifica-se que as partes nada referem sobre o contrato de arrendamento anteriormente celebrado e que estabelecem integralmente as regras aplicáveis ao arrendamento que, conforme mencionado na sentença do Tribunal de 1.ª Instância, não são sequer coincidentes com aquelas adotadas no contrato de arrendamento anterior. Esta circunstância de facto, conduzindo à conclusão de que as partes quiseram celebrar um novo negócio jurídico, dotado de uma nova e diversa economia negocial e regulando de modo diferente os respetivos interesses (o que vai para além de uma simples vontade de alteração pontual de um contrato pré-existente), afigura-se, pois, incompatível com a subsistência do arrendamento anterior.</w:t>
      </w:r>
      <w:r>
        <w:rPr>
          <w:rFonts w:ascii="Times New Roman" w:eastAsia="Times New Roman" w:hAnsi="Times New Roman" w:cs="Times New Roman"/>
          <w:color w:val="000000"/>
          <w:sz w:val="24"/>
          <w:szCs w:val="24"/>
        </w:rPr>
        <w:t>”</w:t>
      </w:r>
      <w:r w:rsidRPr="003C019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cf. </w:t>
      </w:r>
      <w:r w:rsidRPr="003C019A">
        <w:rPr>
          <w:rFonts w:ascii="Times New Roman" w:eastAsia="Times New Roman" w:hAnsi="Times New Roman" w:cs="Times New Roman"/>
          <w:color w:val="000000"/>
          <w:sz w:val="24"/>
          <w:szCs w:val="24"/>
        </w:rPr>
        <w:t xml:space="preserve">Ponto 24); </w:t>
      </w:r>
    </w:p>
    <w:p w14:paraId="4D1A01FF" w14:textId="77777777" w:rsidR="008E3070" w:rsidRDefault="008E3070" w:rsidP="008E3070">
      <w:pPr>
        <w:pStyle w:val="PargrafodaLista"/>
        <w:spacing w:after="0" w:line="240" w:lineRule="auto"/>
        <w:jc w:val="both"/>
        <w:rPr>
          <w:rFonts w:ascii="Times New Roman" w:eastAsia="Times New Roman" w:hAnsi="Times New Roman" w:cs="Times New Roman"/>
          <w:color w:val="000000"/>
          <w:sz w:val="24"/>
          <w:szCs w:val="24"/>
        </w:rPr>
      </w:pPr>
      <w:r w:rsidRPr="003C019A">
        <w:rPr>
          <w:rFonts w:ascii="Times New Roman" w:eastAsia="Times New Roman" w:hAnsi="Times New Roman" w:cs="Times New Roman"/>
          <w:color w:val="000000"/>
          <w:sz w:val="24"/>
          <w:szCs w:val="24"/>
        </w:rPr>
        <w:t>“</w:t>
      </w:r>
      <w:r w:rsidRPr="003C019A">
        <w:rPr>
          <w:rFonts w:ascii="Times New Roman" w:eastAsia="Times New Roman" w:hAnsi="Times New Roman" w:cs="Times New Roman"/>
          <w:i/>
          <w:iCs/>
          <w:color w:val="000000"/>
          <w:sz w:val="20"/>
          <w:szCs w:val="20"/>
        </w:rPr>
        <w:t>Para o “</w:t>
      </w:r>
      <w:proofErr w:type="spellStart"/>
      <w:r w:rsidRPr="003C019A">
        <w:rPr>
          <w:rFonts w:ascii="Times New Roman" w:eastAsia="Times New Roman" w:hAnsi="Times New Roman" w:cs="Times New Roman"/>
          <w:i/>
          <w:iCs/>
          <w:color w:val="000000"/>
          <w:sz w:val="20"/>
          <w:szCs w:val="20"/>
        </w:rPr>
        <w:t>declaratário</w:t>
      </w:r>
      <w:proofErr w:type="spellEnd"/>
      <w:r w:rsidRPr="003C019A">
        <w:rPr>
          <w:rFonts w:ascii="Times New Roman" w:eastAsia="Times New Roman" w:hAnsi="Times New Roman" w:cs="Times New Roman"/>
          <w:i/>
          <w:iCs/>
          <w:color w:val="000000"/>
          <w:sz w:val="20"/>
          <w:szCs w:val="20"/>
        </w:rPr>
        <w:t xml:space="preserve"> normal” (</w:t>
      </w:r>
      <w:proofErr w:type="spellStart"/>
      <w:r w:rsidRPr="003C019A">
        <w:rPr>
          <w:rFonts w:ascii="Times New Roman" w:eastAsia="Times New Roman" w:hAnsi="Times New Roman" w:cs="Times New Roman"/>
          <w:i/>
          <w:iCs/>
          <w:color w:val="000000"/>
          <w:sz w:val="20"/>
          <w:szCs w:val="20"/>
        </w:rPr>
        <w:t>declaratário</w:t>
      </w:r>
      <w:proofErr w:type="spellEnd"/>
      <w:r w:rsidRPr="003C019A">
        <w:rPr>
          <w:rFonts w:ascii="Times New Roman" w:eastAsia="Times New Roman" w:hAnsi="Times New Roman" w:cs="Times New Roman"/>
          <w:i/>
          <w:iCs/>
          <w:color w:val="000000"/>
          <w:sz w:val="20"/>
          <w:szCs w:val="20"/>
        </w:rPr>
        <w:t xml:space="preserve"> medianamente razoável), colocado na posição do “</w:t>
      </w:r>
      <w:proofErr w:type="spellStart"/>
      <w:r w:rsidRPr="003C019A">
        <w:rPr>
          <w:rFonts w:ascii="Times New Roman" w:eastAsia="Times New Roman" w:hAnsi="Times New Roman" w:cs="Times New Roman"/>
          <w:i/>
          <w:iCs/>
          <w:color w:val="000000"/>
          <w:sz w:val="20"/>
          <w:szCs w:val="20"/>
        </w:rPr>
        <w:t>declaratário</w:t>
      </w:r>
      <w:proofErr w:type="spellEnd"/>
      <w:r w:rsidRPr="003C019A">
        <w:rPr>
          <w:rFonts w:ascii="Times New Roman" w:eastAsia="Times New Roman" w:hAnsi="Times New Roman" w:cs="Times New Roman"/>
          <w:i/>
          <w:iCs/>
          <w:color w:val="000000"/>
          <w:sz w:val="20"/>
          <w:szCs w:val="20"/>
        </w:rPr>
        <w:t xml:space="preserve"> real” (segundo o critério do </w:t>
      </w:r>
      <w:proofErr w:type="spellStart"/>
      <w:r w:rsidRPr="003C019A">
        <w:rPr>
          <w:rFonts w:ascii="Times New Roman" w:eastAsia="Times New Roman" w:hAnsi="Times New Roman" w:cs="Times New Roman"/>
          <w:i/>
          <w:iCs/>
          <w:color w:val="000000"/>
          <w:sz w:val="20"/>
          <w:szCs w:val="20"/>
        </w:rPr>
        <w:t>art</w:t>
      </w:r>
      <w:proofErr w:type="spellEnd"/>
      <w:r w:rsidRPr="003C019A">
        <w:rPr>
          <w:rFonts w:ascii="Times New Roman" w:eastAsia="Times New Roman" w:hAnsi="Times New Roman" w:cs="Times New Roman"/>
          <w:i/>
          <w:iCs/>
          <w:color w:val="000000"/>
          <w:sz w:val="20"/>
          <w:szCs w:val="20"/>
        </w:rPr>
        <w:t>. 236.º, n.º 1, do CC) – que é uma sociedade comercial – a cessação do contrato de arrendamento anterior resulta clara do texto da escritura referida. É esse o sentido que o destinatário médio – com as características específicas e do mesmo tipo do “destinatário real” - retiraria desse acordo.</w:t>
      </w:r>
      <w:r w:rsidRPr="003C019A">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cf. </w:t>
      </w:r>
      <w:r w:rsidRPr="003C019A">
        <w:rPr>
          <w:rFonts w:ascii="Times New Roman" w:eastAsia="Times New Roman" w:hAnsi="Times New Roman" w:cs="Times New Roman"/>
          <w:color w:val="000000"/>
          <w:sz w:val="24"/>
          <w:szCs w:val="24"/>
        </w:rPr>
        <w:t xml:space="preserve">Ponto 25); </w:t>
      </w:r>
    </w:p>
    <w:p w14:paraId="79CB6E26" w14:textId="77777777" w:rsidR="008E3070" w:rsidRDefault="008E3070" w:rsidP="008E3070">
      <w:pPr>
        <w:pStyle w:val="PargrafodaLista"/>
        <w:spacing w:after="0" w:line="240" w:lineRule="auto"/>
        <w:jc w:val="both"/>
        <w:rPr>
          <w:rFonts w:ascii="Times New Roman" w:eastAsia="Times New Roman" w:hAnsi="Times New Roman" w:cs="Times New Roman"/>
          <w:color w:val="000000"/>
          <w:sz w:val="24"/>
          <w:szCs w:val="24"/>
        </w:rPr>
      </w:pPr>
      <w:r w:rsidRPr="003C019A">
        <w:rPr>
          <w:rFonts w:ascii="Times New Roman" w:eastAsia="Times New Roman" w:hAnsi="Times New Roman" w:cs="Times New Roman"/>
          <w:color w:val="000000"/>
          <w:sz w:val="24"/>
          <w:szCs w:val="24"/>
        </w:rPr>
        <w:t>“</w:t>
      </w:r>
      <w:r w:rsidRPr="003C019A">
        <w:rPr>
          <w:rFonts w:ascii="Times New Roman" w:eastAsia="Times New Roman" w:hAnsi="Times New Roman" w:cs="Times New Roman"/>
          <w:i/>
          <w:iCs/>
          <w:color w:val="000000"/>
          <w:sz w:val="20"/>
          <w:szCs w:val="20"/>
        </w:rPr>
        <w:t xml:space="preserve">Nas declarações formais, o resultado a que o intérprete chegar não pode valer com um sentido que não tenha um mínimo de ressonância no respetivo texto, ainda que imperfeitamente expresso. Com efeito, segundo o </w:t>
      </w:r>
      <w:proofErr w:type="spellStart"/>
      <w:r w:rsidRPr="003C019A">
        <w:rPr>
          <w:rFonts w:ascii="Times New Roman" w:eastAsia="Times New Roman" w:hAnsi="Times New Roman" w:cs="Times New Roman"/>
          <w:i/>
          <w:iCs/>
          <w:color w:val="000000"/>
          <w:sz w:val="20"/>
          <w:szCs w:val="20"/>
        </w:rPr>
        <w:t>art</w:t>
      </w:r>
      <w:proofErr w:type="spellEnd"/>
      <w:r w:rsidRPr="003C019A">
        <w:rPr>
          <w:rFonts w:ascii="Times New Roman" w:eastAsia="Times New Roman" w:hAnsi="Times New Roman" w:cs="Times New Roman"/>
          <w:i/>
          <w:iCs/>
          <w:color w:val="000000"/>
          <w:sz w:val="20"/>
          <w:szCs w:val="20"/>
        </w:rPr>
        <w:t xml:space="preserve">. 238.º, n.º 1, do CC, o sentido da declaração formal, para valer, </w:t>
      </w:r>
      <w:proofErr w:type="spellStart"/>
      <w:r w:rsidRPr="003C019A">
        <w:rPr>
          <w:rFonts w:ascii="Times New Roman" w:eastAsia="Times New Roman" w:hAnsi="Times New Roman" w:cs="Times New Roman"/>
          <w:i/>
          <w:iCs/>
          <w:color w:val="000000"/>
          <w:sz w:val="20"/>
          <w:szCs w:val="20"/>
        </w:rPr>
        <w:t>há-de</w:t>
      </w:r>
      <w:proofErr w:type="spellEnd"/>
      <w:r w:rsidRPr="003C019A">
        <w:rPr>
          <w:rFonts w:ascii="Times New Roman" w:eastAsia="Times New Roman" w:hAnsi="Times New Roman" w:cs="Times New Roman"/>
          <w:i/>
          <w:iCs/>
          <w:color w:val="000000"/>
          <w:sz w:val="20"/>
          <w:szCs w:val="20"/>
        </w:rPr>
        <w:t xml:space="preserve"> ter um mínimo de correspondência “no texto do </w:t>
      </w:r>
      <w:proofErr w:type="spellStart"/>
      <w:r w:rsidRPr="003C019A">
        <w:rPr>
          <w:rFonts w:ascii="Times New Roman" w:eastAsia="Times New Roman" w:hAnsi="Times New Roman" w:cs="Times New Roman"/>
          <w:i/>
          <w:iCs/>
          <w:color w:val="000000"/>
          <w:sz w:val="20"/>
          <w:szCs w:val="20"/>
        </w:rPr>
        <w:t>respectivo</w:t>
      </w:r>
      <w:proofErr w:type="spellEnd"/>
      <w:r w:rsidRPr="003C019A">
        <w:rPr>
          <w:rFonts w:ascii="Times New Roman" w:eastAsia="Times New Roman" w:hAnsi="Times New Roman" w:cs="Times New Roman"/>
          <w:i/>
          <w:iCs/>
          <w:color w:val="000000"/>
          <w:sz w:val="20"/>
          <w:szCs w:val="20"/>
        </w:rPr>
        <w:t xml:space="preserve"> documento, ainda que imperfeitamente expresso”.</w:t>
      </w:r>
      <w:r w:rsidRPr="003C019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cf. </w:t>
      </w:r>
      <w:r w:rsidRPr="003C019A">
        <w:rPr>
          <w:rFonts w:ascii="Times New Roman" w:eastAsia="Times New Roman" w:hAnsi="Times New Roman" w:cs="Times New Roman"/>
          <w:color w:val="000000"/>
          <w:sz w:val="24"/>
          <w:szCs w:val="24"/>
        </w:rPr>
        <w:t xml:space="preserve">Ponto 26); </w:t>
      </w:r>
    </w:p>
    <w:p w14:paraId="0C4D91D5" w14:textId="77777777" w:rsidR="008E3070" w:rsidRDefault="008E3070" w:rsidP="008E3070">
      <w:pPr>
        <w:pStyle w:val="PargrafodaLista"/>
        <w:spacing w:after="0" w:line="240" w:lineRule="auto"/>
        <w:jc w:val="both"/>
        <w:rPr>
          <w:rFonts w:ascii="Times New Roman" w:eastAsia="Times New Roman" w:hAnsi="Times New Roman" w:cs="Times New Roman"/>
          <w:color w:val="000000"/>
          <w:sz w:val="24"/>
          <w:szCs w:val="24"/>
        </w:rPr>
      </w:pPr>
      <w:r w:rsidRPr="003C019A">
        <w:rPr>
          <w:rFonts w:ascii="Times New Roman" w:eastAsia="Times New Roman" w:hAnsi="Times New Roman" w:cs="Times New Roman"/>
          <w:color w:val="000000"/>
          <w:sz w:val="24"/>
          <w:szCs w:val="24"/>
        </w:rPr>
        <w:t>“</w:t>
      </w:r>
      <w:r w:rsidRPr="003C019A">
        <w:rPr>
          <w:rFonts w:ascii="Times New Roman" w:eastAsia="Times New Roman" w:hAnsi="Times New Roman" w:cs="Times New Roman"/>
          <w:i/>
          <w:iCs/>
          <w:color w:val="000000"/>
          <w:sz w:val="20"/>
          <w:szCs w:val="20"/>
        </w:rPr>
        <w:t>É esse o sentido que o intérprete pode atribuir ao acordo em apreço. O sentido da cessação do primeiro contrato de arrendamento funda-se nos factos reveladores ou envolventes do comportamento interpretando. Outro sentido radicaria “no alvedrio do intérprete, alçado a oráculo do sistema jurídico”. A inadmissibilidade de sentidos não fundamentados nos factos decorre, necessariamente, também da existência de um método de interpretação juridicamente devido (e que não se identifica com o arbítrio do intérprete) e da natureza quer da declaração (comportamento exteriorizador da vontade negocial) quer do sentido (valoração jurídica de um comportamento ou facto)</w:t>
      </w:r>
      <w:r w:rsidRPr="003C019A">
        <w:rPr>
          <w:rFonts w:ascii="Times New Roman" w:eastAsia="Times New Roman" w:hAnsi="Times New Roman" w:cs="Times New Roman"/>
          <w:color w:val="000000"/>
          <w:sz w:val="24"/>
          <w:szCs w:val="24"/>
        </w:rPr>
        <w:t xml:space="preserve">.” (cf. Ponto 27); </w:t>
      </w:r>
    </w:p>
    <w:p w14:paraId="16E04CC2" w14:textId="77777777" w:rsidR="008E3070" w:rsidRDefault="008E3070" w:rsidP="008E3070">
      <w:pPr>
        <w:pStyle w:val="PargrafodaLista"/>
        <w:spacing w:after="0" w:line="240" w:lineRule="auto"/>
        <w:jc w:val="both"/>
        <w:rPr>
          <w:rFonts w:ascii="Times New Roman" w:eastAsia="Times New Roman" w:hAnsi="Times New Roman" w:cs="Times New Roman"/>
          <w:color w:val="000000"/>
          <w:sz w:val="24"/>
          <w:szCs w:val="24"/>
        </w:rPr>
      </w:pPr>
      <w:r w:rsidRPr="003C019A">
        <w:rPr>
          <w:rFonts w:ascii="Times New Roman" w:eastAsia="Times New Roman" w:hAnsi="Times New Roman" w:cs="Times New Roman"/>
          <w:color w:val="000000"/>
          <w:sz w:val="24"/>
          <w:szCs w:val="24"/>
        </w:rPr>
        <w:t>“</w:t>
      </w:r>
      <w:r w:rsidRPr="003C019A">
        <w:rPr>
          <w:rFonts w:ascii="Times New Roman" w:eastAsia="Times New Roman" w:hAnsi="Times New Roman" w:cs="Times New Roman"/>
          <w:i/>
          <w:iCs/>
          <w:color w:val="000000"/>
          <w:sz w:val="20"/>
          <w:szCs w:val="20"/>
        </w:rPr>
        <w:t>Por sua vez, conforme resultou provado sob o n.º 5, a cláusula segunda do documento complementar refere que o contrato de arrendamento teria como data de início de vigência o dia 1 de janeiro de 1998. Daqui decorre, consequentemente, que o entendimento defendido pela Recorrente, de que as partes assumiram que a celebração do contrato de 1997 não consubstanciava mais do que uma mera alteração ao contrato pré-existente, não tem um mínimo de correspondência no texto do respetivo documento.</w:t>
      </w:r>
      <w:r w:rsidRPr="003C019A">
        <w:rPr>
          <w:rFonts w:ascii="Times New Roman" w:eastAsia="Times New Roman" w:hAnsi="Times New Roman" w:cs="Times New Roman"/>
          <w:color w:val="000000"/>
          <w:sz w:val="24"/>
          <w:szCs w:val="24"/>
        </w:rPr>
        <w:t xml:space="preserve">”  (cf. Ponto 28); </w:t>
      </w:r>
    </w:p>
    <w:p w14:paraId="35ED60AE" w14:textId="77777777" w:rsidR="008E3070" w:rsidRDefault="008E3070" w:rsidP="008E3070">
      <w:pPr>
        <w:pStyle w:val="PargrafodaLista"/>
        <w:spacing w:after="0" w:line="240" w:lineRule="auto"/>
        <w:jc w:val="both"/>
        <w:rPr>
          <w:rFonts w:ascii="Times New Roman" w:eastAsia="Times New Roman" w:hAnsi="Times New Roman" w:cs="Times New Roman"/>
          <w:color w:val="000000"/>
          <w:sz w:val="24"/>
          <w:szCs w:val="24"/>
        </w:rPr>
      </w:pPr>
      <w:r w:rsidRPr="003C019A">
        <w:rPr>
          <w:rFonts w:ascii="Times New Roman" w:eastAsia="Times New Roman" w:hAnsi="Times New Roman" w:cs="Times New Roman"/>
          <w:color w:val="000000"/>
          <w:sz w:val="24"/>
          <w:szCs w:val="24"/>
        </w:rPr>
        <w:t>“</w:t>
      </w:r>
      <w:r w:rsidRPr="003C019A">
        <w:rPr>
          <w:rFonts w:ascii="Times New Roman" w:eastAsia="Times New Roman" w:hAnsi="Times New Roman" w:cs="Times New Roman"/>
          <w:i/>
          <w:iCs/>
          <w:color w:val="000000"/>
          <w:sz w:val="20"/>
          <w:szCs w:val="20"/>
        </w:rPr>
        <w:t>É certo que as partes não declararam expressamente revogar o contrato de arrendamento anteriormente celebrado. Contudo, a revogação de um acordo pode ser tácita quando se deduz de factos que com toda a probabilidade a revelem: os factos concludentes em que assenta a declaração tácita não têm, necessariamente, de ser absolutamente inequívocos, sendo suficiente que permitam concluir com bastante segurança uma determinada vontade negocial.</w:t>
      </w:r>
      <w:r w:rsidRPr="003C019A">
        <w:rPr>
          <w:rFonts w:ascii="Times New Roman" w:eastAsia="Times New Roman" w:hAnsi="Times New Roman" w:cs="Times New Roman"/>
          <w:color w:val="000000"/>
          <w:sz w:val="24"/>
          <w:szCs w:val="24"/>
        </w:rPr>
        <w:t xml:space="preserve">” (cf. Ponto 29); </w:t>
      </w:r>
    </w:p>
    <w:p w14:paraId="6EA2C182" w14:textId="77777777" w:rsidR="008E3070" w:rsidRDefault="008E3070" w:rsidP="008E3070">
      <w:pPr>
        <w:pStyle w:val="PargrafodaLista"/>
        <w:spacing w:after="0" w:line="240" w:lineRule="auto"/>
        <w:jc w:val="both"/>
        <w:rPr>
          <w:rFonts w:ascii="Times New Roman" w:eastAsia="Times New Roman" w:hAnsi="Times New Roman" w:cs="Times New Roman"/>
          <w:color w:val="000000"/>
          <w:sz w:val="24"/>
          <w:szCs w:val="24"/>
        </w:rPr>
      </w:pPr>
      <w:r w:rsidRPr="003C019A">
        <w:rPr>
          <w:rFonts w:ascii="Times New Roman" w:eastAsia="Times New Roman" w:hAnsi="Times New Roman" w:cs="Times New Roman"/>
          <w:color w:val="000000"/>
          <w:sz w:val="24"/>
          <w:szCs w:val="24"/>
        </w:rPr>
        <w:t>“</w:t>
      </w:r>
      <w:r w:rsidRPr="003C019A">
        <w:rPr>
          <w:rFonts w:ascii="Times New Roman" w:eastAsia="Times New Roman" w:hAnsi="Times New Roman" w:cs="Times New Roman"/>
          <w:i/>
          <w:iCs/>
          <w:color w:val="000000"/>
          <w:sz w:val="20"/>
          <w:szCs w:val="20"/>
        </w:rPr>
        <w:t>Refira-se, ainda, nesta sede, que, a par dos elementos gramaticais ou literais mencionados supra, resultou ainda provado que a Requerida e a Requerente outorgaram, a 1 de fevereiro de 2017, uma “Adenda ao Contrato de Arrendamento para Fins Não Habitacionais celebrado em 19/12/1997”. Esta designação não parece deixar margem para dúvidas sobre a relação contratual que as partes tinham como referência.</w:t>
      </w:r>
      <w:r w:rsidRPr="003C019A">
        <w:rPr>
          <w:rFonts w:ascii="Times New Roman" w:eastAsia="Times New Roman" w:hAnsi="Times New Roman" w:cs="Times New Roman"/>
          <w:color w:val="000000"/>
          <w:sz w:val="24"/>
          <w:szCs w:val="24"/>
        </w:rPr>
        <w:t xml:space="preserve">” (cf. Ponto 30); </w:t>
      </w:r>
    </w:p>
    <w:p w14:paraId="74E6914F" w14:textId="77777777" w:rsidR="008E3070" w:rsidRDefault="008E3070" w:rsidP="008E3070">
      <w:pPr>
        <w:pStyle w:val="PargrafodaLista"/>
        <w:spacing w:after="0" w:line="240" w:lineRule="auto"/>
        <w:jc w:val="both"/>
        <w:rPr>
          <w:rFonts w:ascii="Times New Roman" w:eastAsia="Times New Roman" w:hAnsi="Times New Roman" w:cs="Times New Roman"/>
          <w:color w:val="000000"/>
          <w:sz w:val="24"/>
          <w:szCs w:val="24"/>
        </w:rPr>
      </w:pPr>
      <w:r w:rsidRPr="003C019A">
        <w:rPr>
          <w:rFonts w:ascii="Times New Roman" w:eastAsia="Times New Roman" w:hAnsi="Times New Roman" w:cs="Times New Roman"/>
          <w:color w:val="000000"/>
          <w:sz w:val="24"/>
          <w:szCs w:val="24"/>
        </w:rPr>
        <w:lastRenderedPageBreak/>
        <w:t>“</w:t>
      </w:r>
      <w:r w:rsidRPr="003C019A">
        <w:rPr>
          <w:rFonts w:ascii="Times New Roman" w:eastAsia="Times New Roman" w:hAnsi="Times New Roman" w:cs="Times New Roman"/>
          <w:i/>
          <w:iCs/>
          <w:color w:val="000000"/>
          <w:sz w:val="20"/>
          <w:szCs w:val="20"/>
        </w:rPr>
        <w:t>Neste contexto, não pode sustentar-se, como faz a Recorrente, que as partes se basearam no pressuposto da existência e manutenção do contrato anterior, porquanto, na alteração ocorrida ulteriormente - em 2017 –, apenas é feita alusão expressa ao contrato celebrado em 1997. Esta referência mostra-se absolutamente fora do contexto negocial anterior (de 1989) e afasta, por si só, a interpretação segundo a qual o documento outorgado em 1997 constituiu apenas um mero aditamento ao contrato anterior.</w:t>
      </w:r>
      <w:r w:rsidRPr="003C019A">
        <w:rPr>
          <w:rFonts w:ascii="Times New Roman" w:eastAsia="Times New Roman" w:hAnsi="Times New Roman" w:cs="Times New Roman"/>
          <w:color w:val="000000"/>
          <w:sz w:val="24"/>
          <w:szCs w:val="24"/>
        </w:rPr>
        <w:t xml:space="preserve">” (cf. Ponto 31); </w:t>
      </w:r>
    </w:p>
    <w:p w14:paraId="4C6171EB" w14:textId="744BA156" w:rsidR="008E3070" w:rsidRDefault="008E3070" w:rsidP="008E3070">
      <w:pPr>
        <w:pStyle w:val="PargrafodaLista"/>
        <w:spacing w:after="0" w:line="240" w:lineRule="auto"/>
        <w:jc w:val="both"/>
        <w:rPr>
          <w:rFonts w:ascii="Times New Roman" w:eastAsia="Times New Roman" w:hAnsi="Times New Roman" w:cs="Times New Roman"/>
          <w:color w:val="000000"/>
          <w:sz w:val="24"/>
          <w:szCs w:val="24"/>
        </w:rPr>
      </w:pPr>
      <w:r w:rsidRPr="003C019A">
        <w:rPr>
          <w:rFonts w:ascii="Times New Roman" w:eastAsia="Times New Roman" w:hAnsi="Times New Roman" w:cs="Times New Roman"/>
          <w:color w:val="000000"/>
          <w:sz w:val="24"/>
          <w:szCs w:val="24"/>
        </w:rPr>
        <w:t>“</w:t>
      </w:r>
      <w:r w:rsidRPr="003C019A">
        <w:rPr>
          <w:rFonts w:ascii="Times New Roman" w:eastAsia="Times New Roman" w:hAnsi="Times New Roman" w:cs="Times New Roman"/>
          <w:i/>
          <w:iCs/>
          <w:color w:val="000000"/>
          <w:sz w:val="20"/>
          <w:szCs w:val="20"/>
        </w:rPr>
        <w:t xml:space="preserve">Deste modo, levando em linha de conta a factualidade relevante dada como provada, segue-se de perto o juízo decisório formulado a este propósito no acórdão recorrido, que não viola as regras dos </w:t>
      </w:r>
      <w:proofErr w:type="spellStart"/>
      <w:r w:rsidRPr="003C019A">
        <w:rPr>
          <w:rFonts w:ascii="Times New Roman" w:eastAsia="Times New Roman" w:hAnsi="Times New Roman" w:cs="Times New Roman"/>
          <w:i/>
          <w:iCs/>
          <w:color w:val="000000"/>
          <w:sz w:val="20"/>
          <w:szCs w:val="20"/>
        </w:rPr>
        <w:t>arts</w:t>
      </w:r>
      <w:proofErr w:type="spellEnd"/>
      <w:r w:rsidRPr="003C019A">
        <w:rPr>
          <w:rFonts w:ascii="Times New Roman" w:eastAsia="Times New Roman" w:hAnsi="Times New Roman" w:cs="Times New Roman"/>
          <w:i/>
          <w:iCs/>
          <w:color w:val="000000"/>
          <w:sz w:val="20"/>
          <w:szCs w:val="20"/>
        </w:rPr>
        <w:t>. 236.º e 238.º do CC</w:t>
      </w:r>
      <w:r w:rsidRPr="003C019A">
        <w:rPr>
          <w:rFonts w:ascii="Times New Roman" w:eastAsia="Times New Roman" w:hAnsi="Times New Roman" w:cs="Times New Roman"/>
          <w:color w:val="000000"/>
          <w:sz w:val="24"/>
          <w:szCs w:val="24"/>
        </w:rPr>
        <w:t>.” (cf. Ponto 32).</w:t>
      </w:r>
    </w:p>
    <w:bookmarkEnd w:id="3"/>
    <w:p w14:paraId="14794FE3" w14:textId="77777777" w:rsidR="004142B4" w:rsidRPr="003C019A" w:rsidRDefault="004142B4" w:rsidP="008E3070">
      <w:pPr>
        <w:pStyle w:val="PargrafodaLista"/>
        <w:spacing w:after="0" w:line="240" w:lineRule="auto"/>
        <w:jc w:val="both"/>
        <w:rPr>
          <w:rFonts w:ascii="Times New Roman" w:eastAsia="Times New Roman" w:hAnsi="Times New Roman" w:cs="Times New Roman"/>
          <w:color w:val="000000"/>
          <w:sz w:val="24"/>
          <w:szCs w:val="24"/>
        </w:rPr>
      </w:pPr>
    </w:p>
    <w:p w14:paraId="696811A6" w14:textId="77777777" w:rsidR="0064271F" w:rsidRDefault="0064271F" w:rsidP="0064271F">
      <w:pPr>
        <w:pStyle w:val="PargrafodaLista"/>
        <w:numPr>
          <w:ilvl w:val="0"/>
          <w:numId w:val="17"/>
        </w:numPr>
        <w:spacing w:line="360" w:lineRule="auto"/>
        <w:ind w:left="357" w:firstLine="357"/>
        <w:jc w:val="both"/>
        <w:rPr>
          <w:rFonts w:ascii="Times New Roman" w:hAnsi="Times New Roman" w:cs="Times New Roman"/>
          <w:sz w:val="24"/>
          <w:szCs w:val="24"/>
        </w:rPr>
      </w:pPr>
      <w:r w:rsidRPr="0064271F">
        <w:rPr>
          <w:rFonts w:ascii="Times New Roman" w:hAnsi="Times New Roman" w:cs="Times New Roman"/>
          <w:sz w:val="24"/>
          <w:szCs w:val="24"/>
        </w:rPr>
        <w:t xml:space="preserve">No entendimento do Supremo Tribunal de Justiça, com base na observância das regras hermenêuticas contidas nos </w:t>
      </w:r>
      <w:proofErr w:type="spellStart"/>
      <w:r w:rsidRPr="0064271F">
        <w:rPr>
          <w:rFonts w:ascii="Times New Roman" w:hAnsi="Times New Roman" w:cs="Times New Roman"/>
          <w:sz w:val="24"/>
          <w:szCs w:val="24"/>
        </w:rPr>
        <w:t>arts</w:t>
      </w:r>
      <w:proofErr w:type="spellEnd"/>
      <w:r w:rsidRPr="0064271F">
        <w:rPr>
          <w:rFonts w:ascii="Times New Roman" w:hAnsi="Times New Roman" w:cs="Times New Roman"/>
          <w:sz w:val="24"/>
          <w:szCs w:val="24"/>
        </w:rPr>
        <w:t xml:space="preserve">. 236.º e </w:t>
      </w:r>
      <w:proofErr w:type="spellStart"/>
      <w:r w:rsidRPr="0064271F">
        <w:rPr>
          <w:rFonts w:ascii="Times New Roman" w:hAnsi="Times New Roman" w:cs="Times New Roman"/>
          <w:sz w:val="24"/>
          <w:szCs w:val="24"/>
        </w:rPr>
        <w:t>ss</w:t>
      </w:r>
      <w:proofErr w:type="spellEnd"/>
      <w:r w:rsidRPr="0064271F">
        <w:rPr>
          <w:rFonts w:ascii="Times New Roman" w:hAnsi="Times New Roman" w:cs="Times New Roman"/>
          <w:sz w:val="24"/>
          <w:szCs w:val="24"/>
        </w:rPr>
        <w:t xml:space="preserve"> do CC, as partes pretenderam celebrar um novo negócio jurídico, dotado de uma nova e diversa economia negocial, regulando de modo diferente os seus interesses, revogando o contrato de arrendamento urbano não habitacional anteriormente celebrado. Não existe, efetivamente, uma manifestação de vontade das partes dirigida a modificar a disciplina dos seus interesses estabelecida no acordo inicial. As partes também não salvaguardaram a subsistência de qualquer efeito do contrato anterior. Foi igualmente considerada a cláusula segunda do negócio de 1997, segundo a qual o contrato de arrendamento teria como data de início de vigência o dia 1 de janeiro de 1998, assim como a outorga, a 1 de fevereiro de 2017, de uma “Adenda ao Contrato de Arrendamento para Fins Não Habitacionais celebrado em 19/12/1997”. Não se trata apenas, por conseguinte, de uma nova regulamentação contratual de uma relação </w:t>
      </w:r>
      <w:proofErr w:type="spellStart"/>
      <w:r w:rsidRPr="0064271F">
        <w:rPr>
          <w:rFonts w:ascii="Times New Roman" w:hAnsi="Times New Roman" w:cs="Times New Roman"/>
          <w:sz w:val="24"/>
          <w:szCs w:val="24"/>
        </w:rPr>
        <w:t>locatícia</w:t>
      </w:r>
      <w:proofErr w:type="spellEnd"/>
      <w:r w:rsidRPr="0064271F">
        <w:rPr>
          <w:rFonts w:ascii="Times New Roman" w:hAnsi="Times New Roman" w:cs="Times New Roman"/>
          <w:sz w:val="24"/>
          <w:szCs w:val="24"/>
        </w:rPr>
        <w:t xml:space="preserve"> anterior, mas antes da sua cessação e da constituição </w:t>
      </w:r>
      <w:proofErr w:type="spellStart"/>
      <w:r w:rsidRPr="0064271F">
        <w:rPr>
          <w:rFonts w:ascii="Times New Roman" w:hAnsi="Times New Roman" w:cs="Times New Roman"/>
          <w:i/>
          <w:iCs/>
          <w:sz w:val="24"/>
          <w:szCs w:val="24"/>
        </w:rPr>
        <w:t>ex</w:t>
      </w:r>
      <w:proofErr w:type="spellEnd"/>
      <w:r w:rsidRPr="0064271F">
        <w:rPr>
          <w:rFonts w:ascii="Times New Roman" w:hAnsi="Times New Roman" w:cs="Times New Roman"/>
          <w:i/>
          <w:iCs/>
          <w:sz w:val="24"/>
          <w:szCs w:val="24"/>
        </w:rPr>
        <w:t xml:space="preserve"> novo</w:t>
      </w:r>
      <w:r w:rsidRPr="0064271F">
        <w:rPr>
          <w:rFonts w:ascii="Times New Roman" w:hAnsi="Times New Roman" w:cs="Times New Roman"/>
          <w:sz w:val="24"/>
          <w:szCs w:val="24"/>
        </w:rPr>
        <w:t xml:space="preserve"> de outra relação </w:t>
      </w:r>
      <w:proofErr w:type="spellStart"/>
      <w:r w:rsidRPr="0064271F">
        <w:rPr>
          <w:rFonts w:ascii="Times New Roman" w:hAnsi="Times New Roman" w:cs="Times New Roman"/>
          <w:sz w:val="24"/>
          <w:szCs w:val="24"/>
        </w:rPr>
        <w:t>locatícia</w:t>
      </w:r>
      <w:proofErr w:type="spellEnd"/>
      <w:r w:rsidRPr="0064271F">
        <w:rPr>
          <w:rFonts w:ascii="Times New Roman" w:hAnsi="Times New Roman" w:cs="Times New Roman"/>
          <w:sz w:val="24"/>
          <w:szCs w:val="24"/>
        </w:rPr>
        <w:t xml:space="preserve"> cujo objeto integra o imóvel em apreço.</w:t>
      </w:r>
    </w:p>
    <w:p w14:paraId="2844D331" w14:textId="6ACC396D" w:rsidR="0064271F" w:rsidRPr="0064271F" w:rsidRDefault="0064271F" w:rsidP="0064271F">
      <w:pPr>
        <w:pStyle w:val="PargrafodaLista"/>
        <w:numPr>
          <w:ilvl w:val="0"/>
          <w:numId w:val="17"/>
        </w:numPr>
        <w:spacing w:line="360" w:lineRule="auto"/>
        <w:ind w:left="357" w:firstLine="357"/>
        <w:jc w:val="both"/>
        <w:rPr>
          <w:rFonts w:ascii="Times New Roman" w:hAnsi="Times New Roman" w:cs="Times New Roman"/>
          <w:sz w:val="24"/>
          <w:szCs w:val="24"/>
        </w:rPr>
      </w:pPr>
      <w:r w:rsidRPr="0064271F">
        <w:rPr>
          <w:rFonts w:ascii="Times New Roman" w:hAnsi="Times New Roman" w:cs="Times New Roman"/>
          <w:sz w:val="24"/>
          <w:szCs w:val="24"/>
        </w:rPr>
        <w:t xml:space="preserve">Não se impunha, pois, ao Supremo Tribunal de Justiça debruçar-se </w:t>
      </w:r>
      <w:r w:rsidR="00686EB7">
        <w:rPr>
          <w:rFonts w:ascii="Times New Roman" w:hAnsi="Times New Roman" w:cs="Times New Roman"/>
          <w:sz w:val="24"/>
          <w:szCs w:val="24"/>
        </w:rPr>
        <w:t xml:space="preserve">detalhadamente </w:t>
      </w:r>
      <w:r w:rsidRPr="0064271F">
        <w:rPr>
          <w:rFonts w:ascii="Times New Roman" w:hAnsi="Times New Roman" w:cs="Times New Roman"/>
          <w:sz w:val="24"/>
          <w:szCs w:val="24"/>
        </w:rPr>
        <w:t xml:space="preserve">sobre a distinção entre “alterações substanciais” e “elementos acessórios” do contrato de arrendamento, uma vez que a aplicação dos </w:t>
      </w:r>
      <w:proofErr w:type="spellStart"/>
      <w:r w:rsidRPr="0064271F">
        <w:rPr>
          <w:rFonts w:ascii="Times New Roman" w:hAnsi="Times New Roman" w:cs="Times New Roman"/>
          <w:sz w:val="24"/>
          <w:szCs w:val="24"/>
        </w:rPr>
        <w:t>arts</w:t>
      </w:r>
      <w:proofErr w:type="spellEnd"/>
      <w:r w:rsidRPr="0064271F">
        <w:rPr>
          <w:rFonts w:ascii="Times New Roman" w:hAnsi="Times New Roman" w:cs="Times New Roman"/>
          <w:sz w:val="24"/>
          <w:szCs w:val="24"/>
        </w:rPr>
        <w:t xml:space="preserve">. 236.º do CC havia já conduzido à conclusão de que o negócio de 1997 constituía um novo contrato de arrendamento e não um mero aditamento ou modificação da relação contratual anteriormente estabelecida. Em todo o caso, para além de o contrato de 1997 conter toda a disciplina relevante da relação </w:t>
      </w:r>
      <w:proofErr w:type="spellStart"/>
      <w:r w:rsidRPr="0064271F">
        <w:rPr>
          <w:rFonts w:ascii="Times New Roman" w:hAnsi="Times New Roman" w:cs="Times New Roman"/>
          <w:sz w:val="24"/>
          <w:szCs w:val="24"/>
        </w:rPr>
        <w:t>locatícia</w:t>
      </w:r>
      <w:proofErr w:type="spellEnd"/>
      <w:r w:rsidRPr="0064271F">
        <w:rPr>
          <w:rFonts w:ascii="Times New Roman" w:hAnsi="Times New Roman" w:cs="Times New Roman"/>
          <w:sz w:val="24"/>
          <w:szCs w:val="24"/>
        </w:rPr>
        <w:t>, a alteração do seu objeto, que passou a integrar o gozo de “</w:t>
      </w:r>
      <w:r w:rsidRPr="0064271F">
        <w:rPr>
          <w:rFonts w:ascii="Times New Roman" w:hAnsi="Times New Roman" w:cs="Times New Roman"/>
          <w:i/>
          <w:iCs/>
          <w:sz w:val="20"/>
          <w:szCs w:val="20"/>
        </w:rPr>
        <w:t>uma vaga de garagem na cave”,</w:t>
      </w:r>
      <w:r w:rsidRPr="0064271F">
        <w:rPr>
          <w:rFonts w:ascii="Times New Roman" w:hAnsi="Times New Roman" w:cs="Times New Roman"/>
          <w:sz w:val="24"/>
          <w:szCs w:val="24"/>
        </w:rPr>
        <w:t xml:space="preserve"> não pode deixar de ser considerada substancial</w:t>
      </w:r>
      <w:r w:rsidR="00082E89">
        <w:rPr>
          <w:rFonts w:ascii="Times New Roman" w:hAnsi="Times New Roman" w:cs="Times New Roman"/>
          <w:sz w:val="24"/>
          <w:szCs w:val="24"/>
        </w:rPr>
        <w:t>. N</w:t>
      </w:r>
      <w:r w:rsidRPr="0064271F">
        <w:rPr>
          <w:rFonts w:ascii="Times New Roman" w:hAnsi="Times New Roman" w:cs="Times New Roman"/>
          <w:sz w:val="24"/>
          <w:szCs w:val="24"/>
        </w:rPr>
        <w:t xml:space="preserve">o silêncio das partes quanto à manutenção do contrato </w:t>
      </w:r>
      <w:r w:rsidRPr="0064271F">
        <w:rPr>
          <w:rFonts w:ascii="Times New Roman" w:hAnsi="Times New Roman" w:cs="Times New Roman"/>
          <w:sz w:val="24"/>
          <w:szCs w:val="24"/>
        </w:rPr>
        <w:lastRenderedPageBreak/>
        <w:t>originário, entende-se que as partes extinguiram o contrato primitivo e celebraram um novo contrato.</w:t>
      </w:r>
    </w:p>
    <w:p w14:paraId="238FB315" w14:textId="6A411ED2" w:rsidR="000E4ECD" w:rsidRDefault="004A7F41" w:rsidP="000E4ECD">
      <w:pPr>
        <w:pStyle w:val="PargrafodaLista"/>
        <w:numPr>
          <w:ilvl w:val="0"/>
          <w:numId w:val="17"/>
        </w:numPr>
        <w:spacing w:line="360" w:lineRule="auto"/>
        <w:ind w:left="357" w:firstLine="357"/>
        <w:jc w:val="both"/>
        <w:rPr>
          <w:rFonts w:ascii="Times New Roman" w:hAnsi="Times New Roman" w:cs="Times New Roman"/>
          <w:sz w:val="24"/>
          <w:szCs w:val="24"/>
        </w:rPr>
      </w:pPr>
      <w:r w:rsidRPr="004A7F41">
        <w:rPr>
          <w:rFonts w:ascii="Times New Roman" w:hAnsi="Times New Roman" w:cs="Times New Roman"/>
          <w:sz w:val="24"/>
          <w:szCs w:val="24"/>
        </w:rPr>
        <w:t>A este respeito, importa recordar</w:t>
      </w:r>
      <w:r w:rsidR="00686EB7">
        <w:rPr>
          <w:rFonts w:ascii="Times New Roman" w:hAnsi="Times New Roman" w:cs="Times New Roman"/>
          <w:sz w:val="24"/>
          <w:szCs w:val="24"/>
        </w:rPr>
        <w:t>, uma vez mais,</w:t>
      </w:r>
      <w:r w:rsidRPr="004A7F41">
        <w:rPr>
          <w:rFonts w:ascii="Times New Roman" w:hAnsi="Times New Roman" w:cs="Times New Roman"/>
          <w:sz w:val="24"/>
          <w:szCs w:val="24"/>
        </w:rPr>
        <w:t xml:space="preserve"> que as nulidades de sentença previstas no </w:t>
      </w:r>
      <w:proofErr w:type="spellStart"/>
      <w:r w:rsidRPr="004A7F41">
        <w:rPr>
          <w:rFonts w:ascii="Times New Roman" w:hAnsi="Times New Roman" w:cs="Times New Roman"/>
          <w:sz w:val="24"/>
          <w:szCs w:val="24"/>
        </w:rPr>
        <w:t>art</w:t>
      </w:r>
      <w:proofErr w:type="spellEnd"/>
      <w:r w:rsidRPr="004A7F41">
        <w:rPr>
          <w:rFonts w:ascii="Times New Roman" w:hAnsi="Times New Roman" w:cs="Times New Roman"/>
          <w:sz w:val="24"/>
          <w:szCs w:val="24"/>
        </w:rPr>
        <w:t>. 615</w:t>
      </w:r>
      <w:r>
        <w:rPr>
          <w:rFonts w:ascii="Times New Roman" w:hAnsi="Times New Roman" w:cs="Times New Roman"/>
          <w:sz w:val="24"/>
          <w:szCs w:val="24"/>
        </w:rPr>
        <w:t>.</w:t>
      </w:r>
      <w:r w:rsidRPr="004A7F41">
        <w:rPr>
          <w:rFonts w:ascii="Times New Roman" w:hAnsi="Times New Roman" w:cs="Times New Roman"/>
          <w:sz w:val="24"/>
          <w:szCs w:val="24"/>
        </w:rPr>
        <w:t xml:space="preserve">º do CPC sancionam vícios formais, de procedimento, e não </w:t>
      </w:r>
      <w:r>
        <w:rPr>
          <w:rFonts w:ascii="Times New Roman" w:hAnsi="Times New Roman" w:cs="Times New Roman"/>
          <w:sz w:val="24"/>
          <w:szCs w:val="24"/>
        </w:rPr>
        <w:t>deficiências ou até patolog</w:t>
      </w:r>
      <w:r w:rsidRPr="004A7F41">
        <w:rPr>
          <w:rFonts w:ascii="Times New Roman" w:hAnsi="Times New Roman" w:cs="Times New Roman"/>
          <w:sz w:val="24"/>
          <w:szCs w:val="24"/>
        </w:rPr>
        <w:t>ias que eventualmente possam ocorrer no plano do mérito da causa.</w:t>
      </w:r>
    </w:p>
    <w:p w14:paraId="4B305AFA" w14:textId="1F296948" w:rsidR="000E4ECD" w:rsidRDefault="009E4669" w:rsidP="000E4ECD">
      <w:pPr>
        <w:pStyle w:val="PargrafodaLista"/>
        <w:numPr>
          <w:ilvl w:val="0"/>
          <w:numId w:val="17"/>
        </w:numPr>
        <w:spacing w:line="360" w:lineRule="auto"/>
        <w:ind w:left="357" w:firstLine="357"/>
        <w:jc w:val="both"/>
        <w:rPr>
          <w:rFonts w:ascii="Times New Roman" w:hAnsi="Times New Roman" w:cs="Times New Roman"/>
          <w:sz w:val="24"/>
          <w:szCs w:val="24"/>
        </w:rPr>
      </w:pPr>
      <w:r>
        <w:rPr>
          <w:rFonts w:ascii="Times New Roman" w:hAnsi="Times New Roman" w:cs="Times New Roman"/>
          <w:sz w:val="24"/>
          <w:szCs w:val="24"/>
        </w:rPr>
        <w:t xml:space="preserve">Refira-se </w:t>
      </w:r>
      <w:r w:rsidR="000E4ECD">
        <w:rPr>
          <w:rFonts w:ascii="Times New Roman" w:hAnsi="Times New Roman" w:cs="Times New Roman"/>
          <w:sz w:val="24"/>
          <w:szCs w:val="24"/>
        </w:rPr>
        <w:t xml:space="preserve">ainda que </w:t>
      </w:r>
      <w:r w:rsidR="004A7F41" w:rsidRPr="000E4ECD">
        <w:rPr>
          <w:rFonts w:ascii="Times New Roman" w:hAnsi="Times New Roman" w:cs="Times New Roman"/>
          <w:sz w:val="24"/>
          <w:szCs w:val="24"/>
        </w:rPr>
        <w:t>o julgamento jurídico da causa teve em consideração todos os factos dados como provados, no seu conjunto, como não poderia deixar de ser.</w:t>
      </w:r>
    </w:p>
    <w:p w14:paraId="7E07FB43" w14:textId="3476E279" w:rsidR="004A7F41" w:rsidRPr="000E4ECD" w:rsidRDefault="004A7F41" w:rsidP="000E4ECD">
      <w:pPr>
        <w:pStyle w:val="PargrafodaLista"/>
        <w:numPr>
          <w:ilvl w:val="0"/>
          <w:numId w:val="17"/>
        </w:numPr>
        <w:spacing w:line="360" w:lineRule="auto"/>
        <w:ind w:left="357" w:firstLine="357"/>
        <w:jc w:val="both"/>
        <w:rPr>
          <w:rFonts w:ascii="Times New Roman" w:hAnsi="Times New Roman" w:cs="Times New Roman"/>
          <w:sz w:val="24"/>
          <w:szCs w:val="24"/>
        </w:rPr>
      </w:pPr>
      <w:r w:rsidRPr="000E4ECD">
        <w:rPr>
          <w:rFonts w:ascii="Times New Roman" w:hAnsi="Times New Roman" w:cs="Times New Roman"/>
          <w:sz w:val="24"/>
          <w:szCs w:val="24"/>
        </w:rPr>
        <w:t xml:space="preserve">Nesta conformidade, a arguição de nulidade do acórdão </w:t>
      </w:r>
      <w:r w:rsidR="009E4669">
        <w:rPr>
          <w:rFonts w:ascii="Times New Roman" w:hAnsi="Times New Roman" w:cs="Times New Roman"/>
          <w:sz w:val="24"/>
          <w:szCs w:val="24"/>
        </w:rPr>
        <w:t xml:space="preserve">por omissão de pronúncia </w:t>
      </w:r>
      <w:r w:rsidRPr="000E4ECD">
        <w:rPr>
          <w:rFonts w:ascii="Times New Roman" w:hAnsi="Times New Roman" w:cs="Times New Roman"/>
          <w:sz w:val="24"/>
          <w:szCs w:val="24"/>
        </w:rPr>
        <w:t>carece de fundamento, não sendo o mecanismo processual adequado para a</w:t>
      </w:r>
      <w:r w:rsidR="000E4ECD">
        <w:rPr>
          <w:rFonts w:ascii="Times New Roman" w:hAnsi="Times New Roman" w:cs="Times New Roman"/>
          <w:sz w:val="24"/>
          <w:szCs w:val="24"/>
        </w:rPr>
        <w:t xml:space="preserve"> Recorrente </w:t>
      </w:r>
      <w:r w:rsidRPr="000E4ECD">
        <w:rPr>
          <w:rFonts w:ascii="Times New Roman" w:hAnsi="Times New Roman" w:cs="Times New Roman"/>
          <w:sz w:val="24"/>
          <w:szCs w:val="24"/>
        </w:rPr>
        <w:t>manifestar</w:t>
      </w:r>
      <w:r w:rsidR="000E4ECD">
        <w:rPr>
          <w:rFonts w:ascii="Times New Roman" w:hAnsi="Times New Roman" w:cs="Times New Roman"/>
          <w:sz w:val="24"/>
          <w:szCs w:val="24"/>
        </w:rPr>
        <w:t xml:space="preserve"> </w:t>
      </w:r>
      <w:r w:rsidRPr="000E4ECD">
        <w:rPr>
          <w:rFonts w:ascii="Times New Roman" w:hAnsi="Times New Roman" w:cs="Times New Roman"/>
          <w:sz w:val="24"/>
          <w:szCs w:val="24"/>
        </w:rPr>
        <w:t xml:space="preserve">a sua discordância quanto </w:t>
      </w:r>
      <w:r w:rsidR="000E4ECD">
        <w:rPr>
          <w:rFonts w:ascii="Times New Roman" w:hAnsi="Times New Roman" w:cs="Times New Roman"/>
          <w:sz w:val="24"/>
          <w:szCs w:val="24"/>
        </w:rPr>
        <w:t>à decisão</w:t>
      </w:r>
      <w:r w:rsidRPr="000E4ECD">
        <w:rPr>
          <w:rFonts w:ascii="Times New Roman" w:hAnsi="Times New Roman" w:cs="Times New Roman"/>
          <w:sz w:val="24"/>
          <w:szCs w:val="24"/>
        </w:rPr>
        <w:t>, a fim de, por esta via, reverter o sentido decisório a seu favor.</w:t>
      </w:r>
    </w:p>
    <w:p w14:paraId="45E5A03D" w14:textId="1C478763" w:rsidR="00FD6C8C" w:rsidRPr="00FD6C8C" w:rsidRDefault="00FD6C8C" w:rsidP="004142B4">
      <w:pPr>
        <w:pStyle w:val="PargrafodaLista"/>
        <w:numPr>
          <w:ilvl w:val="0"/>
          <w:numId w:val="17"/>
        </w:numPr>
        <w:spacing w:after="0" w:line="360" w:lineRule="auto"/>
        <w:ind w:left="357" w:firstLine="357"/>
        <w:jc w:val="both"/>
        <w:rPr>
          <w:rFonts w:ascii="Times New Roman" w:hAnsi="Times New Roman" w:cs="Times New Roman"/>
          <w:b/>
          <w:bCs/>
          <w:sz w:val="24"/>
          <w:szCs w:val="24"/>
        </w:rPr>
      </w:pPr>
      <w:r w:rsidRPr="006D48D5">
        <w:rPr>
          <w:rFonts w:ascii="Times New Roman" w:eastAsia="Times New Roman" w:hAnsi="Times New Roman" w:cs="Times New Roman"/>
          <w:sz w:val="24"/>
          <w:szCs w:val="24"/>
        </w:rPr>
        <w:t>Improcede</w:t>
      </w:r>
      <w:r>
        <w:rPr>
          <w:rFonts w:ascii="Times New Roman" w:eastAsia="Times New Roman" w:hAnsi="Times New Roman" w:cs="Times New Roman"/>
          <w:sz w:val="24"/>
          <w:szCs w:val="24"/>
        </w:rPr>
        <w:t>, por conseguinte,</w:t>
      </w:r>
      <w:r w:rsidRPr="006D48D5">
        <w:rPr>
          <w:rFonts w:ascii="Times New Roman" w:eastAsia="Times New Roman" w:hAnsi="Times New Roman" w:cs="Times New Roman"/>
          <w:sz w:val="24"/>
          <w:szCs w:val="24"/>
        </w:rPr>
        <w:t xml:space="preserve"> a arguição da mencionada nulidade por parte d</w:t>
      </w:r>
      <w:r>
        <w:rPr>
          <w:rFonts w:ascii="Times New Roman" w:eastAsia="Times New Roman" w:hAnsi="Times New Roman" w:cs="Times New Roman"/>
          <w:sz w:val="24"/>
          <w:szCs w:val="24"/>
        </w:rPr>
        <w:t>a</w:t>
      </w:r>
      <w:r w:rsidRPr="006D48D5">
        <w:rPr>
          <w:rFonts w:ascii="Times New Roman" w:eastAsia="Times New Roman" w:hAnsi="Times New Roman" w:cs="Times New Roman"/>
          <w:sz w:val="24"/>
          <w:szCs w:val="24"/>
        </w:rPr>
        <w:t xml:space="preserve"> </w:t>
      </w:r>
      <w:r w:rsidR="004142B4">
        <w:rPr>
          <w:rFonts w:ascii="Times New Roman" w:eastAsia="Times New Roman" w:hAnsi="Times New Roman" w:cs="Times New Roman"/>
          <w:sz w:val="24"/>
          <w:szCs w:val="24"/>
        </w:rPr>
        <w:t>Reclamante/</w:t>
      </w:r>
      <w:r w:rsidRPr="006D48D5">
        <w:rPr>
          <w:rFonts w:ascii="Times New Roman" w:eastAsia="Times New Roman" w:hAnsi="Times New Roman" w:cs="Times New Roman"/>
          <w:sz w:val="24"/>
          <w:szCs w:val="24"/>
        </w:rPr>
        <w:t>Recorrente</w:t>
      </w:r>
      <w:r w:rsidR="009E4669">
        <w:rPr>
          <w:rFonts w:ascii="Times New Roman" w:eastAsia="Times New Roman" w:hAnsi="Times New Roman" w:cs="Times New Roman"/>
          <w:sz w:val="24"/>
          <w:szCs w:val="24"/>
        </w:rPr>
        <w:t xml:space="preserve"> </w:t>
      </w:r>
      <w:proofErr w:type="spellStart"/>
      <w:r w:rsidR="009E4669" w:rsidRPr="000E578D">
        <w:rPr>
          <w:rFonts w:ascii="Times New Roman" w:hAnsi="Times New Roman" w:cs="Times New Roman"/>
          <w:b/>
          <w:smallCaps/>
          <w:sz w:val="24"/>
          <w:szCs w:val="24"/>
        </w:rPr>
        <w:t>Gerex</w:t>
      </w:r>
      <w:proofErr w:type="spellEnd"/>
      <w:r w:rsidR="009E4669" w:rsidRPr="000E578D">
        <w:rPr>
          <w:rFonts w:ascii="Times New Roman" w:hAnsi="Times New Roman" w:cs="Times New Roman"/>
          <w:b/>
          <w:smallCaps/>
          <w:sz w:val="24"/>
          <w:szCs w:val="24"/>
        </w:rPr>
        <w:t xml:space="preserve"> - Gabinete de Gestão Industrial e Comercial, Lda</w:t>
      </w:r>
      <w:r w:rsidR="009E4669">
        <w:rPr>
          <w:rFonts w:ascii="Times New Roman" w:hAnsi="Times New Roman" w:cs="Times New Roman"/>
          <w:b/>
          <w:smallCaps/>
          <w:sz w:val="24"/>
          <w:szCs w:val="24"/>
        </w:rPr>
        <w:t>..</w:t>
      </w:r>
    </w:p>
    <w:p w14:paraId="5FFCA6A6" w14:textId="5879EEDC" w:rsidR="009B0C76" w:rsidRPr="00FF22D0" w:rsidRDefault="009B0C76" w:rsidP="0064271F">
      <w:pPr>
        <w:pStyle w:val="PargrafodaLista"/>
        <w:spacing w:line="360" w:lineRule="auto"/>
        <w:ind w:left="714"/>
        <w:jc w:val="both"/>
        <w:rPr>
          <w:rFonts w:ascii="Times New Roman" w:hAnsi="Times New Roman" w:cs="Times New Roman"/>
          <w:b/>
          <w:bCs/>
          <w:sz w:val="24"/>
          <w:szCs w:val="24"/>
        </w:rPr>
      </w:pPr>
      <w:r w:rsidRPr="002D7168">
        <w:rPr>
          <w:rFonts w:ascii="Times New Roman" w:hAnsi="Times New Roman" w:cs="Times New Roman"/>
          <w:sz w:val="24"/>
          <w:szCs w:val="24"/>
        </w:rPr>
        <w:t xml:space="preserve"> </w:t>
      </w:r>
      <w:r w:rsidR="00F21F42" w:rsidRPr="00FF22D0">
        <w:rPr>
          <w:rFonts w:ascii="Times New Roman" w:hAnsi="Times New Roman" w:cs="Times New Roman"/>
          <w:b/>
          <w:bCs/>
          <w:sz w:val="24"/>
          <w:szCs w:val="24"/>
        </w:rPr>
        <w:t>IV - Decisão</w:t>
      </w:r>
    </w:p>
    <w:p w14:paraId="4FC7FFAE" w14:textId="3CBD3816" w:rsidR="009B0C76" w:rsidRPr="009B0C76" w:rsidRDefault="00F21F42" w:rsidP="00FF22D0">
      <w:pPr>
        <w:spacing w:line="360" w:lineRule="auto"/>
        <w:jc w:val="both"/>
        <w:rPr>
          <w:rFonts w:ascii="Times New Roman" w:hAnsi="Times New Roman" w:cs="Times New Roman"/>
          <w:sz w:val="24"/>
          <w:szCs w:val="24"/>
        </w:rPr>
      </w:pPr>
      <w:r>
        <w:rPr>
          <w:rFonts w:ascii="Times New Roman" w:hAnsi="Times New Roman" w:cs="Times New Roman"/>
          <w:sz w:val="24"/>
          <w:szCs w:val="24"/>
        </w:rPr>
        <w:tab/>
        <w:t>Nos termos expostos, acorda-se em julgar totalmente improcedente</w:t>
      </w:r>
      <w:r w:rsidR="00D63BD7">
        <w:rPr>
          <w:rFonts w:ascii="Times New Roman" w:hAnsi="Times New Roman" w:cs="Times New Roman"/>
          <w:sz w:val="24"/>
          <w:szCs w:val="24"/>
        </w:rPr>
        <w:t>s</w:t>
      </w:r>
      <w:r>
        <w:rPr>
          <w:rFonts w:ascii="Times New Roman" w:hAnsi="Times New Roman" w:cs="Times New Roman"/>
          <w:sz w:val="24"/>
          <w:szCs w:val="24"/>
        </w:rPr>
        <w:t xml:space="preserve"> </w:t>
      </w:r>
      <w:r w:rsidR="00D63BD7">
        <w:rPr>
          <w:rFonts w:ascii="Times New Roman" w:hAnsi="Times New Roman" w:cs="Times New Roman"/>
          <w:sz w:val="24"/>
          <w:szCs w:val="24"/>
        </w:rPr>
        <w:t xml:space="preserve">as nulidades do acórdão do Supremo Tribunal de Justiça invocadas pela Recorrente </w:t>
      </w:r>
      <w:proofErr w:type="spellStart"/>
      <w:r w:rsidR="00FF22D0" w:rsidRPr="000E578D">
        <w:rPr>
          <w:rFonts w:ascii="Times New Roman" w:hAnsi="Times New Roman" w:cs="Times New Roman"/>
          <w:b/>
          <w:smallCaps/>
          <w:sz w:val="24"/>
          <w:szCs w:val="24"/>
        </w:rPr>
        <w:t>Gerex</w:t>
      </w:r>
      <w:proofErr w:type="spellEnd"/>
      <w:r w:rsidR="00FF22D0" w:rsidRPr="000E578D">
        <w:rPr>
          <w:rFonts w:ascii="Times New Roman" w:hAnsi="Times New Roman" w:cs="Times New Roman"/>
          <w:b/>
          <w:smallCaps/>
          <w:sz w:val="24"/>
          <w:szCs w:val="24"/>
        </w:rPr>
        <w:t xml:space="preserve"> - Gabinete de Gestão Industrial e Comercial, Lda</w:t>
      </w:r>
      <w:r w:rsidR="00FF22D0">
        <w:rPr>
          <w:rFonts w:ascii="Times New Roman" w:hAnsi="Times New Roman" w:cs="Times New Roman"/>
          <w:b/>
          <w:smallCaps/>
          <w:sz w:val="24"/>
          <w:szCs w:val="24"/>
        </w:rPr>
        <w:t>.</w:t>
      </w:r>
      <w:r w:rsidR="00D63BD7">
        <w:rPr>
          <w:rFonts w:ascii="Times New Roman" w:hAnsi="Times New Roman" w:cs="Times New Roman"/>
          <w:b/>
          <w:smallCaps/>
          <w:sz w:val="24"/>
          <w:szCs w:val="24"/>
        </w:rPr>
        <w:t>.</w:t>
      </w:r>
    </w:p>
    <w:p w14:paraId="1D0F2374" w14:textId="3E6D5FDA" w:rsidR="00F21F42" w:rsidRDefault="00F21F42" w:rsidP="00F21F42">
      <w:pPr>
        <w:spacing w:line="360" w:lineRule="auto"/>
        <w:ind w:firstLine="708"/>
        <w:rPr>
          <w:rFonts w:ascii="Times New Roman" w:hAnsi="Times New Roman" w:cs="Times New Roman"/>
          <w:sz w:val="24"/>
          <w:szCs w:val="24"/>
        </w:rPr>
      </w:pPr>
      <w:r>
        <w:rPr>
          <w:rFonts w:ascii="Times New Roman" w:hAnsi="Times New Roman" w:cs="Times New Roman"/>
          <w:sz w:val="24"/>
          <w:szCs w:val="24"/>
        </w:rPr>
        <w:t>Custas pel</w:t>
      </w:r>
      <w:r w:rsidR="00FF22D0">
        <w:rPr>
          <w:rFonts w:ascii="Times New Roman" w:hAnsi="Times New Roman" w:cs="Times New Roman"/>
          <w:sz w:val="24"/>
          <w:szCs w:val="24"/>
        </w:rPr>
        <w:t>a Recorrente.</w:t>
      </w:r>
    </w:p>
    <w:p w14:paraId="2F9F0CB8" w14:textId="203B41B7" w:rsidR="00F21F42" w:rsidRDefault="00F21F42" w:rsidP="00F21F42">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Lisboa, </w:t>
      </w:r>
      <w:r w:rsidR="00D63BD7">
        <w:rPr>
          <w:rFonts w:ascii="Times New Roman" w:hAnsi="Times New Roman" w:cs="Times New Roman"/>
          <w:sz w:val="24"/>
          <w:szCs w:val="24"/>
        </w:rPr>
        <w:t>18 de janeiro de 2022</w:t>
      </w:r>
      <w:r w:rsidR="00861BD7">
        <w:rPr>
          <w:rFonts w:ascii="Times New Roman" w:hAnsi="Times New Roman" w:cs="Times New Roman"/>
          <w:sz w:val="24"/>
          <w:szCs w:val="24"/>
        </w:rPr>
        <w:t>.</w:t>
      </w:r>
    </w:p>
    <w:p w14:paraId="2B4AB3FB" w14:textId="2FED1A2D" w:rsidR="00654092" w:rsidRDefault="00861BD7" w:rsidP="009E4669">
      <w:pPr>
        <w:pStyle w:val="PargrafodaLista"/>
        <w:spacing w:after="0" w:line="360" w:lineRule="auto"/>
        <w:ind w:left="431"/>
        <w:jc w:val="both"/>
        <w:rPr>
          <w:rFonts w:ascii="Times New Roman" w:hAnsi="Times New Roman" w:cs="Times New Roman"/>
          <w:sz w:val="24"/>
          <w:szCs w:val="24"/>
        </w:rPr>
      </w:pPr>
      <w:r w:rsidRPr="00861BD7">
        <w:rPr>
          <w:rFonts w:ascii="Times New Roman" w:hAnsi="Times New Roman" w:cs="Times New Roman"/>
          <w:b/>
          <w:smallCaps/>
          <w:sz w:val="24"/>
          <w:szCs w:val="24"/>
        </w:rPr>
        <w:t>Sumário</w:t>
      </w:r>
      <w:r>
        <w:rPr>
          <w:rFonts w:ascii="Times New Roman" w:hAnsi="Times New Roman" w:cs="Times New Roman"/>
          <w:sz w:val="24"/>
          <w:szCs w:val="24"/>
        </w:rPr>
        <w:t>:</w:t>
      </w:r>
      <w:r w:rsidR="00111DCA">
        <w:rPr>
          <w:rFonts w:ascii="Times New Roman" w:hAnsi="Times New Roman" w:cs="Times New Roman"/>
          <w:sz w:val="24"/>
          <w:szCs w:val="24"/>
        </w:rPr>
        <w:t xml:space="preserve"> </w:t>
      </w:r>
      <w:r w:rsidR="00111DCA" w:rsidRPr="009C442E">
        <w:rPr>
          <w:rFonts w:ascii="Times New Roman" w:hAnsi="Times New Roman" w:cs="Times New Roman"/>
          <w:b/>
          <w:bCs/>
          <w:sz w:val="24"/>
          <w:szCs w:val="24"/>
        </w:rPr>
        <w:t>1.</w:t>
      </w:r>
      <w:r w:rsidR="00111DCA">
        <w:rPr>
          <w:rFonts w:ascii="Times New Roman" w:hAnsi="Times New Roman" w:cs="Times New Roman"/>
          <w:sz w:val="24"/>
          <w:szCs w:val="24"/>
        </w:rPr>
        <w:t xml:space="preserve"> </w:t>
      </w:r>
      <w:r w:rsidR="00654092" w:rsidRPr="00F95407">
        <w:rPr>
          <w:rFonts w:ascii="Times New Roman" w:eastAsia="Times New Roman" w:hAnsi="Times New Roman" w:cs="Times New Roman"/>
          <w:sz w:val="24"/>
          <w:szCs w:val="24"/>
        </w:rPr>
        <w:t xml:space="preserve">Conforme o </w:t>
      </w:r>
      <w:proofErr w:type="spellStart"/>
      <w:r w:rsidR="00654092" w:rsidRPr="00F95407">
        <w:rPr>
          <w:rFonts w:ascii="Times New Roman" w:eastAsia="Times New Roman" w:hAnsi="Times New Roman" w:cs="Times New Roman"/>
          <w:sz w:val="24"/>
          <w:szCs w:val="24"/>
        </w:rPr>
        <w:t>art</w:t>
      </w:r>
      <w:proofErr w:type="spellEnd"/>
      <w:r w:rsidR="00654092" w:rsidRPr="00F95407">
        <w:rPr>
          <w:rFonts w:ascii="Times New Roman" w:eastAsia="Times New Roman" w:hAnsi="Times New Roman" w:cs="Times New Roman"/>
          <w:sz w:val="24"/>
          <w:szCs w:val="24"/>
        </w:rPr>
        <w:t>. 615.º, n.º 1, al. c), 1.ª parte, do CPC, “</w:t>
      </w:r>
      <w:r w:rsidR="00654092" w:rsidRPr="00F03CE4">
        <w:rPr>
          <w:rFonts w:ascii="Times New Roman" w:eastAsia="Times New Roman" w:hAnsi="Times New Roman" w:cs="Times New Roman"/>
          <w:i/>
          <w:iCs/>
          <w:sz w:val="20"/>
          <w:szCs w:val="20"/>
        </w:rPr>
        <w:t>É nula a sentença quando os fundamentos estejam em oposição com a decisão</w:t>
      </w:r>
      <w:r w:rsidR="00654092" w:rsidRPr="00F95407">
        <w:rPr>
          <w:rFonts w:ascii="Times New Roman" w:eastAsia="Times New Roman" w:hAnsi="Times New Roman" w:cs="Times New Roman"/>
          <w:sz w:val="24"/>
          <w:szCs w:val="24"/>
        </w:rPr>
        <w:t>”</w:t>
      </w:r>
      <w:r w:rsidR="00654092">
        <w:rPr>
          <w:rFonts w:ascii="Times New Roman" w:eastAsia="Times New Roman" w:hAnsi="Times New Roman" w:cs="Times New Roman"/>
          <w:sz w:val="24"/>
          <w:szCs w:val="24"/>
        </w:rPr>
        <w:t xml:space="preserve">. </w:t>
      </w:r>
      <w:r w:rsidR="00A51D07" w:rsidRPr="00A51D07">
        <w:rPr>
          <w:rFonts w:ascii="Times New Roman" w:eastAsia="Times New Roman" w:hAnsi="Times New Roman" w:cs="Times New Roman"/>
          <w:b/>
          <w:bCs/>
          <w:sz w:val="24"/>
          <w:szCs w:val="24"/>
        </w:rPr>
        <w:t>2.</w:t>
      </w:r>
      <w:r w:rsidR="00A51D07">
        <w:rPr>
          <w:rFonts w:ascii="Times New Roman" w:eastAsia="Times New Roman" w:hAnsi="Times New Roman" w:cs="Times New Roman"/>
          <w:sz w:val="24"/>
          <w:szCs w:val="24"/>
        </w:rPr>
        <w:t xml:space="preserve"> Não se verifica essa oposição quando, </w:t>
      </w:r>
      <w:r w:rsidR="00654092" w:rsidRPr="00F03CE4">
        <w:rPr>
          <w:rFonts w:ascii="Times New Roman" w:eastAsia="Times New Roman" w:hAnsi="Times New Roman" w:cs="Times New Roman"/>
          <w:sz w:val="24"/>
          <w:szCs w:val="24"/>
        </w:rPr>
        <w:t>no dispositivo do acórdão</w:t>
      </w:r>
      <w:r w:rsidR="00A51D07">
        <w:rPr>
          <w:rFonts w:ascii="Times New Roman" w:eastAsia="Times New Roman" w:hAnsi="Times New Roman" w:cs="Times New Roman"/>
          <w:sz w:val="24"/>
          <w:szCs w:val="24"/>
        </w:rPr>
        <w:t xml:space="preserve">, </w:t>
      </w:r>
      <w:r w:rsidR="00654092" w:rsidRPr="00F03CE4">
        <w:rPr>
          <w:rFonts w:ascii="Times New Roman" w:eastAsia="Times New Roman" w:hAnsi="Times New Roman" w:cs="Times New Roman"/>
          <w:sz w:val="24"/>
          <w:szCs w:val="24"/>
        </w:rPr>
        <w:t>o Tribunal</w:t>
      </w:r>
      <w:r w:rsidR="00654092">
        <w:rPr>
          <w:rFonts w:ascii="Times New Roman" w:eastAsia="Times New Roman" w:hAnsi="Times New Roman" w:cs="Times New Roman"/>
          <w:sz w:val="24"/>
          <w:szCs w:val="24"/>
        </w:rPr>
        <w:t xml:space="preserve">, coerente e </w:t>
      </w:r>
      <w:proofErr w:type="spellStart"/>
      <w:r w:rsidR="00654092">
        <w:rPr>
          <w:rFonts w:ascii="Times New Roman" w:eastAsia="Times New Roman" w:hAnsi="Times New Roman" w:cs="Times New Roman"/>
          <w:sz w:val="24"/>
          <w:szCs w:val="24"/>
        </w:rPr>
        <w:t>convergentemente</w:t>
      </w:r>
      <w:proofErr w:type="spellEnd"/>
      <w:r w:rsidR="00654092">
        <w:rPr>
          <w:rFonts w:ascii="Times New Roman" w:eastAsia="Times New Roman" w:hAnsi="Times New Roman" w:cs="Times New Roman"/>
          <w:sz w:val="24"/>
          <w:szCs w:val="24"/>
        </w:rPr>
        <w:t xml:space="preserve"> </w:t>
      </w:r>
      <w:r w:rsidR="00654092" w:rsidRPr="00F03CE4">
        <w:rPr>
          <w:rFonts w:ascii="Times New Roman" w:eastAsia="Times New Roman" w:hAnsi="Times New Roman" w:cs="Times New Roman"/>
          <w:sz w:val="24"/>
          <w:szCs w:val="24"/>
        </w:rPr>
        <w:t xml:space="preserve">com a correspondente fundamentação, </w:t>
      </w:r>
      <w:r w:rsidR="00654092">
        <w:rPr>
          <w:rFonts w:ascii="Times New Roman" w:eastAsia="Times New Roman" w:hAnsi="Times New Roman" w:cs="Times New Roman"/>
          <w:sz w:val="24"/>
          <w:szCs w:val="24"/>
        </w:rPr>
        <w:t>julg</w:t>
      </w:r>
      <w:r w:rsidR="00A51D07">
        <w:rPr>
          <w:rFonts w:ascii="Times New Roman" w:eastAsia="Times New Roman" w:hAnsi="Times New Roman" w:cs="Times New Roman"/>
          <w:sz w:val="24"/>
          <w:szCs w:val="24"/>
        </w:rPr>
        <w:t>a</w:t>
      </w:r>
      <w:r w:rsidR="00654092">
        <w:rPr>
          <w:rFonts w:ascii="Times New Roman" w:eastAsia="Times New Roman" w:hAnsi="Times New Roman" w:cs="Times New Roman"/>
          <w:sz w:val="24"/>
          <w:szCs w:val="24"/>
        </w:rPr>
        <w:t xml:space="preserve"> que o negócio </w:t>
      </w:r>
      <w:r w:rsidR="00A51D07">
        <w:rPr>
          <w:rFonts w:ascii="Times New Roman" w:eastAsia="Times New Roman" w:hAnsi="Times New Roman" w:cs="Times New Roman"/>
          <w:sz w:val="24"/>
          <w:szCs w:val="24"/>
        </w:rPr>
        <w:t xml:space="preserve">ulteriormente </w:t>
      </w:r>
      <w:r w:rsidR="00654092">
        <w:rPr>
          <w:rFonts w:ascii="Times New Roman" w:eastAsia="Times New Roman" w:hAnsi="Times New Roman" w:cs="Times New Roman"/>
          <w:sz w:val="24"/>
          <w:szCs w:val="24"/>
        </w:rPr>
        <w:t>celebrado pelas partes se consubsta</w:t>
      </w:r>
      <w:r w:rsidR="00A51D07">
        <w:rPr>
          <w:rFonts w:ascii="Times New Roman" w:eastAsia="Times New Roman" w:hAnsi="Times New Roman" w:cs="Times New Roman"/>
          <w:sz w:val="24"/>
          <w:szCs w:val="24"/>
        </w:rPr>
        <w:t>ncia</w:t>
      </w:r>
      <w:r w:rsidR="00654092">
        <w:rPr>
          <w:rFonts w:ascii="Times New Roman" w:eastAsia="Times New Roman" w:hAnsi="Times New Roman" w:cs="Times New Roman"/>
          <w:sz w:val="24"/>
          <w:szCs w:val="24"/>
        </w:rPr>
        <w:t xml:space="preserve"> num novo contrato de arrendamento e não num aditamento ou numa mera modificação ao contrato </w:t>
      </w:r>
      <w:r w:rsidR="00A51D07">
        <w:rPr>
          <w:rFonts w:ascii="Times New Roman" w:eastAsia="Times New Roman" w:hAnsi="Times New Roman" w:cs="Times New Roman"/>
          <w:sz w:val="24"/>
          <w:szCs w:val="24"/>
        </w:rPr>
        <w:t>anterior</w:t>
      </w:r>
      <w:r w:rsidR="00654092">
        <w:rPr>
          <w:rFonts w:ascii="Times New Roman" w:eastAsia="Times New Roman" w:hAnsi="Times New Roman" w:cs="Times New Roman"/>
          <w:sz w:val="24"/>
          <w:szCs w:val="24"/>
        </w:rPr>
        <w:t>.</w:t>
      </w:r>
      <w:r w:rsidR="00A51D07" w:rsidRPr="00450A7D">
        <w:rPr>
          <w:rFonts w:ascii="Times New Roman" w:eastAsia="Times New Roman" w:hAnsi="Times New Roman" w:cs="Times New Roman"/>
          <w:b/>
          <w:bCs/>
          <w:sz w:val="24"/>
          <w:szCs w:val="24"/>
        </w:rPr>
        <w:t xml:space="preserve"> 3</w:t>
      </w:r>
      <w:r w:rsidR="00A51D07">
        <w:rPr>
          <w:rFonts w:ascii="Times New Roman" w:eastAsia="Times New Roman" w:hAnsi="Times New Roman" w:cs="Times New Roman"/>
          <w:sz w:val="24"/>
          <w:szCs w:val="24"/>
        </w:rPr>
        <w:t xml:space="preserve">. </w:t>
      </w:r>
      <w:r w:rsidR="00654092" w:rsidRPr="00B15F31">
        <w:rPr>
          <w:rFonts w:ascii="Times New Roman" w:eastAsia="Times New Roman" w:hAnsi="Times New Roman" w:cs="Times New Roman"/>
          <w:sz w:val="24"/>
          <w:szCs w:val="24"/>
        </w:rPr>
        <w:t xml:space="preserve">De acordo com o </w:t>
      </w:r>
      <w:proofErr w:type="spellStart"/>
      <w:r w:rsidR="00654092" w:rsidRPr="00B15F31">
        <w:rPr>
          <w:rFonts w:ascii="Times New Roman" w:eastAsia="Times New Roman" w:hAnsi="Times New Roman" w:cs="Times New Roman"/>
          <w:sz w:val="24"/>
          <w:szCs w:val="24"/>
        </w:rPr>
        <w:t>art</w:t>
      </w:r>
      <w:proofErr w:type="spellEnd"/>
      <w:r w:rsidR="00654092" w:rsidRPr="00B15F31">
        <w:rPr>
          <w:rFonts w:ascii="Times New Roman" w:eastAsia="Times New Roman" w:hAnsi="Times New Roman" w:cs="Times New Roman"/>
          <w:sz w:val="24"/>
          <w:szCs w:val="24"/>
        </w:rPr>
        <w:t>. 615.º, n.º 1, al. d), 1.ª parte, do CPC, “</w:t>
      </w:r>
      <w:r w:rsidR="00654092" w:rsidRPr="00B15F31">
        <w:rPr>
          <w:rFonts w:ascii="Times New Roman" w:eastAsia="Times New Roman" w:hAnsi="Times New Roman" w:cs="Times New Roman"/>
          <w:i/>
          <w:iCs/>
          <w:sz w:val="20"/>
          <w:szCs w:val="20"/>
        </w:rPr>
        <w:t xml:space="preserve">é nula a sentença quando: (…) d) o juiz deixe de pronunciar-se sobre </w:t>
      </w:r>
      <w:r w:rsidR="00654092" w:rsidRPr="00B15F31">
        <w:rPr>
          <w:rFonts w:ascii="Times New Roman" w:eastAsia="Times New Roman" w:hAnsi="Times New Roman" w:cs="Times New Roman"/>
          <w:i/>
          <w:iCs/>
          <w:sz w:val="20"/>
          <w:szCs w:val="20"/>
        </w:rPr>
        <w:lastRenderedPageBreak/>
        <w:t>questões que devesse apreciar</w:t>
      </w:r>
      <w:r w:rsidR="00654092" w:rsidRPr="00B15F31">
        <w:rPr>
          <w:rFonts w:ascii="Times New Roman" w:eastAsia="Times New Roman" w:hAnsi="Times New Roman" w:cs="Times New Roman"/>
          <w:sz w:val="24"/>
          <w:szCs w:val="24"/>
        </w:rPr>
        <w:t xml:space="preserve">”. Esta nulidade decorre do </w:t>
      </w:r>
      <w:proofErr w:type="spellStart"/>
      <w:r w:rsidR="00654092" w:rsidRPr="00B15F31">
        <w:rPr>
          <w:rFonts w:ascii="Times New Roman" w:eastAsia="Times New Roman" w:hAnsi="Times New Roman" w:cs="Times New Roman"/>
          <w:sz w:val="24"/>
          <w:szCs w:val="24"/>
        </w:rPr>
        <w:t>art</w:t>
      </w:r>
      <w:proofErr w:type="spellEnd"/>
      <w:r w:rsidR="00654092" w:rsidRPr="00B15F31">
        <w:rPr>
          <w:rFonts w:ascii="Times New Roman" w:eastAsia="Times New Roman" w:hAnsi="Times New Roman" w:cs="Times New Roman"/>
          <w:sz w:val="24"/>
          <w:szCs w:val="24"/>
        </w:rPr>
        <w:t>. 608.º, n.º 2 do CPC</w:t>
      </w:r>
      <w:r w:rsidR="00A51D07">
        <w:rPr>
          <w:rFonts w:ascii="Times New Roman" w:eastAsia="Times New Roman" w:hAnsi="Times New Roman" w:cs="Times New Roman"/>
          <w:sz w:val="24"/>
          <w:szCs w:val="24"/>
        </w:rPr>
        <w:t xml:space="preserve">. </w:t>
      </w:r>
      <w:r w:rsidR="00450A7D" w:rsidRPr="00450A7D">
        <w:rPr>
          <w:rFonts w:ascii="Times New Roman" w:eastAsia="Times New Roman" w:hAnsi="Times New Roman" w:cs="Times New Roman"/>
          <w:b/>
          <w:bCs/>
          <w:sz w:val="24"/>
          <w:szCs w:val="24"/>
        </w:rPr>
        <w:t>4.</w:t>
      </w:r>
      <w:r w:rsidR="00450A7D">
        <w:rPr>
          <w:rFonts w:ascii="Times New Roman" w:eastAsia="Times New Roman" w:hAnsi="Times New Roman" w:cs="Times New Roman"/>
          <w:sz w:val="24"/>
          <w:szCs w:val="24"/>
        </w:rPr>
        <w:t xml:space="preserve"> Se o Tribunal, </w:t>
      </w:r>
      <w:r w:rsidR="00654092" w:rsidRPr="0064271F">
        <w:rPr>
          <w:rFonts w:ascii="Times New Roman" w:hAnsi="Times New Roman" w:cs="Times New Roman"/>
          <w:sz w:val="24"/>
          <w:szCs w:val="24"/>
        </w:rPr>
        <w:t>com base</w:t>
      </w:r>
      <w:r w:rsidR="00450A7D">
        <w:rPr>
          <w:rFonts w:ascii="Times New Roman" w:hAnsi="Times New Roman" w:cs="Times New Roman"/>
          <w:sz w:val="24"/>
          <w:szCs w:val="24"/>
        </w:rPr>
        <w:t xml:space="preserve">, </w:t>
      </w:r>
      <w:proofErr w:type="spellStart"/>
      <w:r w:rsidR="00450A7D" w:rsidRPr="00450A7D">
        <w:rPr>
          <w:rFonts w:ascii="Times New Roman" w:hAnsi="Times New Roman" w:cs="Times New Roman"/>
          <w:i/>
          <w:iCs/>
          <w:sz w:val="24"/>
          <w:szCs w:val="24"/>
        </w:rPr>
        <w:t>inter</w:t>
      </w:r>
      <w:proofErr w:type="spellEnd"/>
      <w:r w:rsidR="00450A7D" w:rsidRPr="00450A7D">
        <w:rPr>
          <w:rFonts w:ascii="Times New Roman" w:hAnsi="Times New Roman" w:cs="Times New Roman"/>
          <w:i/>
          <w:iCs/>
          <w:sz w:val="24"/>
          <w:szCs w:val="24"/>
        </w:rPr>
        <w:t xml:space="preserve"> alia</w:t>
      </w:r>
      <w:r w:rsidR="00450A7D">
        <w:rPr>
          <w:rFonts w:ascii="Times New Roman" w:hAnsi="Times New Roman" w:cs="Times New Roman"/>
          <w:sz w:val="24"/>
          <w:szCs w:val="24"/>
        </w:rPr>
        <w:t xml:space="preserve">, </w:t>
      </w:r>
      <w:r w:rsidR="00654092" w:rsidRPr="0064271F">
        <w:rPr>
          <w:rFonts w:ascii="Times New Roman" w:hAnsi="Times New Roman" w:cs="Times New Roman"/>
          <w:sz w:val="24"/>
          <w:szCs w:val="24"/>
        </w:rPr>
        <w:t xml:space="preserve">na observância das regras hermenêuticas contidas nos </w:t>
      </w:r>
      <w:proofErr w:type="spellStart"/>
      <w:r w:rsidR="00654092" w:rsidRPr="0064271F">
        <w:rPr>
          <w:rFonts w:ascii="Times New Roman" w:hAnsi="Times New Roman" w:cs="Times New Roman"/>
          <w:sz w:val="24"/>
          <w:szCs w:val="24"/>
        </w:rPr>
        <w:t>arts</w:t>
      </w:r>
      <w:proofErr w:type="spellEnd"/>
      <w:r w:rsidR="00654092" w:rsidRPr="0064271F">
        <w:rPr>
          <w:rFonts w:ascii="Times New Roman" w:hAnsi="Times New Roman" w:cs="Times New Roman"/>
          <w:sz w:val="24"/>
          <w:szCs w:val="24"/>
        </w:rPr>
        <w:t xml:space="preserve">. 236.º e </w:t>
      </w:r>
      <w:proofErr w:type="spellStart"/>
      <w:r w:rsidR="00654092" w:rsidRPr="0064271F">
        <w:rPr>
          <w:rFonts w:ascii="Times New Roman" w:hAnsi="Times New Roman" w:cs="Times New Roman"/>
          <w:sz w:val="24"/>
          <w:szCs w:val="24"/>
        </w:rPr>
        <w:t>ss</w:t>
      </w:r>
      <w:proofErr w:type="spellEnd"/>
      <w:r w:rsidR="00654092" w:rsidRPr="0064271F">
        <w:rPr>
          <w:rFonts w:ascii="Times New Roman" w:hAnsi="Times New Roman" w:cs="Times New Roman"/>
          <w:sz w:val="24"/>
          <w:szCs w:val="24"/>
        </w:rPr>
        <w:t xml:space="preserve"> do CC, </w:t>
      </w:r>
      <w:r w:rsidR="00450A7D">
        <w:rPr>
          <w:rFonts w:ascii="Times New Roman" w:hAnsi="Times New Roman" w:cs="Times New Roman"/>
          <w:sz w:val="24"/>
          <w:szCs w:val="24"/>
        </w:rPr>
        <w:t xml:space="preserve">conclui que </w:t>
      </w:r>
      <w:r w:rsidR="00654092" w:rsidRPr="0064271F">
        <w:rPr>
          <w:rFonts w:ascii="Times New Roman" w:hAnsi="Times New Roman" w:cs="Times New Roman"/>
          <w:sz w:val="24"/>
          <w:szCs w:val="24"/>
        </w:rPr>
        <w:t>as partes pretenderam celebrar um novo negócio jurídico, dotado de uma nova e diversa economia negocial, regulando de modo diferente os seus interesses, revogando o contrato de arrendamento urbano não habitacional anteriormente celebrado</w:t>
      </w:r>
      <w:r w:rsidR="00450A7D">
        <w:rPr>
          <w:rFonts w:ascii="Times New Roman" w:hAnsi="Times New Roman" w:cs="Times New Roman"/>
          <w:sz w:val="24"/>
          <w:szCs w:val="24"/>
        </w:rPr>
        <w:t xml:space="preserve">, </w:t>
      </w:r>
      <w:r w:rsidR="009E4669">
        <w:rPr>
          <w:rFonts w:ascii="Times New Roman" w:hAnsi="Times New Roman" w:cs="Times New Roman"/>
          <w:sz w:val="24"/>
          <w:szCs w:val="24"/>
        </w:rPr>
        <w:t xml:space="preserve">a falta de </w:t>
      </w:r>
      <w:r w:rsidR="00450A7D">
        <w:rPr>
          <w:rFonts w:ascii="Times New Roman" w:hAnsi="Times New Roman" w:cs="Times New Roman"/>
          <w:sz w:val="24"/>
          <w:szCs w:val="24"/>
        </w:rPr>
        <w:t>desenvolvimento da distinção entre “alterações substanciais” e “elementos acessórios” do contrato de arrendamento não fere o acórdão de nulidade por omissão de pronúncia.</w:t>
      </w:r>
    </w:p>
    <w:sectPr w:rsidR="00654092">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B876B" w14:textId="77777777" w:rsidR="0028258B" w:rsidRDefault="0028258B" w:rsidP="009B0C76">
      <w:pPr>
        <w:spacing w:after="0" w:line="240" w:lineRule="auto"/>
      </w:pPr>
      <w:r>
        <w:separator/>
      </w:r>
    </w:p>
  </w:endnote>
  <w:endnote w:type="continuationSeparator" w:id="0">
    <w:p w14:paraId="08BEE2F9" w14:textId="77777777" w:rsidR="0028258B" w:rsidRDefault="0028258B" w:rsidP="009B0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Light">
    <w:altName w:val="Eras Light ITC"/>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677315"/>
      <w:docPartObj>
        <w:docPartGallery w:val="Page Numbers (Bottom of Page)"/>
        <w:docPartUnique/>
      </w:docPartObj>
    </w:sdtPr>
    <w:sdtEndPr/>
    <w:sdtContent>
      <w:p w14:paraId="4A8E3E6A" w14:textId="098DAEFF" w:rsidR="00F16D66" w:rsidRDefault="00F16D66">
        <w:pPr>
          <w:pStyle w:val="Rodap"/>
          <w:jc w:val="right"/>
        </w:pPr>
        <w:r>
          <w:fldChar w:fldCharType="begin"/>
        </w:r>
        <w:r>
          <w:instrText>PAGE   \* MERGEFORMAT</w:instrText>
        </w:r>
        <w:r>
          <w:fldChar w:fldCharType="separate"/>
        </w:r>
        <w:r>
          <w:t>2</w:t>
        </w:r>
        <w:r>
          <w:fldChar w:fldCharType="end"/>
        </w:r>
      </w:p>
    </w:sdtContent>
  </w:sdt>
  <w:p w14:paraId="56737784" w14:textId="77777777" w:rsidR="00F16D66" w:rsidRDefault="00F16D6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54288" w14:textId="77777777" w:rsidR="0028258B" w:rsidRDefault="0028258B" w:rsidP="009B0C76">
      <w:pPr>
        <w:spacing w:after="0" w:line="240" w:lineRule="auto"/>
      </w:pPr>
      <w:r>
        <w:separator/>
      </w:r>
    </w:p>
  </w:footnote>
  <w:footnote w:type="continuationSeparator" w:id="0">
    <w:p w14:paraId="12A6CF17" w14:textId="77777777" w:rsidR="0028258B" w:rsidRDefault="0028258B" w:rsidP="009B0C76">
      <w:pPr>
        <w:spacing w:after="0" w:line="240" w:lineRule="auto"/>
      </w:pPr>
      <w:r>
        <w:continuationSeparator/>
      </w:r>
    </w:p>
  </w:footnote>
  <w:footnote w:id="1">
    <w:p w14:paraId="36C1C743" w14:textId="710C5884" w:rsidR="00F03CE4" w:rsidRPr="001D50C0" w:rsidRDefault="00F03CE4" w:rsidP="00F03CE4">
      <w:pPr>
        <w:pStyle w:val="Textodenotaderodap"/>
        <w:contextualSpacing/>
        <w:jc w:val="both"/>
        <w:rPr>
          <w:rFonts w:ascii="Times New Roman" w:hAnsi="Times New Roman"/>
        </w:rPr>
      </w:pPr>
      <w:r w:rsidRPr="001D50C0">
        <w:rPr>
          <w:rStyle w:val="Refdenotaderodap"/>
          <w:rFonts w:ascii="Times New Roman" w:hAnsi="Times New Roman"/>
        </w:rPr>
        <w:footnoteRef/>
      </w:r>
      <w:r w:rsidRPr="001D50C0">
        <w:rPr>
          <w:rFonts w:ascii="Times New Roman" w:hAnsi="Times New Roman"/>
        </w:rPr>
        <w:t xml:space="preserve"> </w:t>
      </w:r>
      <w:bookmarkStart w:id="2" w:name="_Hlk43826596"/>
      <w:r w:rsidRPr="001D50C0">
        <w:rPr>
          <w:rFonts w:ascii="Times New Roman" w:hAnsi="Times New Roman"/>
        </w:rPr>
        <w:t>Cf. J</w:t>
      </w:r>
      <w:r w:rsidRPr="001D50C0">
        <w:rPr>
          <w:rFonts w:ascii="Times New Roman" w:hAnsi="Times New Roman"/>
          <w:smallCaps/>
        </w:rPr>
        <w:t>osé Lebre de Freitas</w:t>
      </w:r>
      <w:r w:rsidRPr="001D50C0">
        <w:rPr>
          <w:rFonts w:ascii="Times New Roman" w:hAnsi="Times New Roman"/>
        </w:rPr>
        <w:t xml:space="preserve">, </w:t>
      </w:r>
      <w:r w:rsidRPr="00E911FC">
        <w:rPr>
          <w:rFonts w:ascii="Times New Roman" w:hAnsi="Times New Roman"/>
          <w:i/>
          <w:iCs/>
        </w:rPr>
        <w:t>A Acção declarativa comum à luz do Código de Processo Civil de 2013</w:t>
      </w:r>
      <w:r w:rsidRPr="001D50C0">
        <w:rPr>
          <w:rFonts w:ascii="Times New Roman" w:hAnsi="Times New Roman"/>
        </w:rPr>
        <w:t>, Coimbra, Gestlegal, 2017, p.381.</w:t>
      </w:r>
      <w:bookmarkEnd w:id="2"/>
      <w:r w:rsidRPr="001D50C0">
        <w:rPr>
          <w:rFonts w:ascii="Times New Roman" w:hAnsi="Times New Roman"/>
        </w:rPr>
        <w:t xml:space="preserve">; </w:t>
      </w:r>
      <w:r w:rsidRPr="001D50C0">
        <w:rPr>
          <w:rFonts w:ascii="Times New Roman" w:hAnsi="Times New Roman"/>
          <w:smallCaps/>
        </w:rPr>
        <w:t>Antunes Varela/J. Miguel Bezerra/Sampaio e Nora</w:t>
      </w:r>
      <w:r w:rsidRPr="001D50C0">
        <w:rPr>
          <w:rFonts w:ascii="Times New Roman" w:hAnsi="Times New Roman"/>
        </w:rPr>
        <w:t xml:space="preserve">, </w:t>
      </w:r>
      <w:r w:rsidRPr="00E911FC">
        <w:rPr>
          <w:rFonts w:ascii="Times New Roman" w:hAnsi="Times New Roman"/>
          <w:i/>
          <w:iCs/>
        </w:rPr>
        <w:t>Manual de Processo Civil</w:t>
      </w:r>
      <w:r w:rsidRPr="001D50C0">
        <w:rPr>
          <w:rFonts w:ascii="Times New Roman" w:hAnsi="Times New Roman"/>
        </w:rPr>
        <w:t>, Coimbra, Coimbra Editora, 1985, p.690</w:t>
      </w:r>
    </w:p>
  </w:footnote>
  <w:footnote w:id="2">
    <w:p w14:paraId="430624FD" w14:textId="01ACC6AE" w:rsidR="00F03CE4" w:rsidRPr="001D50C0" w:rsidRDefault="00F03CE4" w:rsidP="00F03CE4">
      <w:pPr>
        <w:pStyle w:val="Textodenotaderodap"/>
        <w:contextualSpacing/>
        <w:jc w:val="both"/>
        <w:rPr>
          <w:rFonts w:ascii="Times New Roman" w:hAnsi="Times New Roman"/>
        </w:rPr>
      </w:pPr>
      <w:r w:rsidRPr="001D50C0">
        <w:rPr>
          <w:rStyle w:val="Refdenotaderodap"/>
          <w:rFonts w:ascii="Times New Roman" w:hAnsi="Times New Roman"/>
        </w:rPr>
        <w:footnoteRef/>
      </w:r>
      <w:r w:rsidRPr="001D50C0">
        <w:rPr>
          <w:rFonts w:ascii="Times New Roman" w:hAnsi="Times New Roman"/>
        </w:rPr>
        <w:t xml:space="preserve"> Cf. </w:t>
      </w:r>
      <w:r w:rsidRPr="001D50C0">
        <w:rPr>
          <w:rFonts w:ascii="Times New Roman" w:hAnsi="Times New Roman"/>
          <w:smallCaps/>
        </w:rPr>
        <w:t>Alberto dos Reis</w:t>
      </w:r>
      <w:r w:rsidRPr="001D50C0">
        <w:rPr>
          <w:rFonts w:ascii="Times New Roman" w:hAnsi="Times New Roman"/>
        </w:rPr>
        <w:t xml:space="preserve">, </w:t>
      </w:r>
      <w:r w:rsidRPr="00E911FC">
        <w:rPr>
          <w:rFonts w:ascii="Times New Roman" w:hAnsi="Times New Roman"/>
          <w:i/>
          <w:iCs/>
        </w:rPr>
        <w:t>Código de Processo Civil Anotado</w:t>
      </w:r>
      <w:r w:rsidRPr="001D50C0">
        <w:rPr>
          <w:rFonts w:ascii="Times New Roman" w:hAnsi="Times New Roman"/>
        </w:rPr>
        <w:t>, Volume V, Coimbra, Coimbra Editora, 1952, p.141.</w:t>
      </w:r>
    </w:p>
  </w:footnote>
  <w:footnote w:id="3">
    <w:p w14:paraId="5DC5DAF8" w14:textId="5C4EA51A" w:rsidR="00F03CE4" w:rsidRPr="001D50C0" w:rsidRDefault="00F03CE4" w:rsidP="00F03CE4">
      <w:pPr>
        <w:pStyle w:val="Textodenotaderodap"/>
        <w:contextualSpacing/>
        <w:jc w:val="both"/>
        <w:rPr>
          <w:rFonts w:ascii="Times New Roman" w:hAnsi="Times New Roman"/>
        </w:rPr>
      </w:pPr>
      <w:r w:rsidRPr="001D50C0">
        <w:rPr>
          <w:rStyle w:val="Refdenotaderodap"/>
          <w:rFonts w:ascii="Times New Roman" w:hAnsi="Times New Roman"/>
        </w:rPr>
        <w:footnoteRef/>
      </w:r>
      <w:r w:rsidRPr="001D50C0">
        <w:rPr>
          <w:rFonts w:ascii="Times New Roman" w:hAnsi="Times New Roman"/>
        </w:rPr>
        <w:t xml:space="preserve"> Cf. J</w:t>
      </w:r>
      <w:r w:rsidRPr="001D50C0">
        <w:rPr>
          <w:rFonts w:ascii="Times New Roman" w:hAnsi="Times New Roman"/>
          <w:smallCaps/>
        </w:rPr>
        <w:t>osé Lebre de Freitas</w:t>
      </w:r>
      <w:r w:rsidRPr="001D50C0">
        <w:rPr>
          <w:rFonts w:ascii="Times New Roman" w:hAnsi="Times New Roman"/>
        </w:rPr>
        <w:t xml:space="preserve">, </w:t>
      </w:r>
      <w:r w:rsidRPr="00E911FC">
        <w:rPr>
          <w:rFonts w:ascii="Times New Roman" w:hAnsi="Times New Roman"/>
          <w:i/>
          <w:iCs/>
        </w:rPr>
        <w:t>A Acção declarativa comum à luz do Código de Processo Civil de 2013</w:t>
      </w:r>
      <w:r w:rsidRPr="001D50C0">
        <w:rPr>
          <w:rFonts w:ascii="Times New Roman" w:hAnsi="Times New Roman"/>
        </w:rPr>
        <w:t xml:space="preserve">, Coimbra, </w:t>
      </w:r>
      <w:r w:rsidRPr="001D50C0">
        <w:rPr>
          <w:rFonts w:ascii="Times New Roman" w:hAnsi="Times New Roman"/>
        </w:rPr>
        <w:t>Gestlegal, 2017, pp.381-382.</w:t>
      </w:r>
    </w:p>
  </w:footnote>
  <w:footnote w:id="4">
    <w:p w14:paraId="4FFF7B18" w14:textId="4A185596" w:rsidR="00100451" w:rsidRPr="005D33B0" w:rsidRDefault="00100451">
      <w:pPr>
        <w:pStyle w:val="Textodenotaderodap"/>
      </w:pPr>
      <w:r>
        <w:rPr>
          <w:rStyle w:val="Refdenotaderodap"/>
        </w:rPr>
        <w:footnoteRef/>
      </w:r>
      <w:r>
        <w:t xml:space="preserve"> </w:t>
      </w:r>
      <w:r w:rsidRPr="005D33B0">
        <w:rPr>
          <w:rFonts w:ascii="Times New Roman" w:hAnsi="Times New Roman" w:cs="Times New Roman"/>
        </w:rPr>
        <w:t>Cf.</w:t>
      </w:r>
      <w:r>
        <w:t xml:space="preserve"> </w:t>
      </w:r>
      <w:r w:rsidR="005D33B0" w:rsidRPr="001D50C0">
        <w:rPr>
          <w:rFonts w:ascii="Times New Roman" w:hAnsi="Times New Roman"/>
        </w:rPr>
        <w:t>J</w:t>
      </w:r>
      <w:r w:rsidR="005D33B0" w:rsidRPr="001D50C0">
        <w:rPr>
          <w:rFonts w:ascii="Times New Roman" w:hAnsi="Times New Roman"/>
          <w:smallCaps/>
        </w:rPr>
        <w:t>osé Lebre de Freitas</w:t>
      </w:r>
      <w:r w:rsidR="005D33B0" w:rsidRPr="001D50C0">
        <w:rPr>
          <w:rFonts w:ascii="Times New Roman" w:hAnsi="Times New Roman"/>
        </w:rPr>
        <w:t xml:space="preserve">, </w:t>
      </w:r>
      <w:r w:rsidR="005D33B0">
        <w:rPr>
          <w:rFonts w:ascii="Times New Roman" w:hAnsi="Times New Roman"/>
          <w:i/>
          <w:iCs/>
        </w:rPr>
        <w:t xml:space="preserve">Código de Processo Civil Anotado, </w:t>
      </w:r>
      <w:r w:rsidR="005D33B0">
        <w:rPr>
          <w:rFonts w:ascii="Times New Roman" w:hAnsi="Times New Roman"/>
        </w:rPr>
        <w:t>Volume 2.º, Coimbra, Almedina, 2017, p.713.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20CFB" w14:textId="77777777" w:rsidR="00F16D66" w:rsidRPr="00544712" w:rsidRDefault="00F16D66" w:rsidP="00F16D66">
    <w:pPr>
      <w:pStyle w:val="Normal0"/>
      <w:tabs>
        <w:tab w:val="center" w:pos="4252"/>
        <w:tab w:val="center" w:pos="4535"/>
        <w:tab w:val="right" w:pos="8504"/>
        <w:tab w:val="left" w:pos="8640"/>
        <w:tab w:val="right" w:pos="9071"/>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360" w:lineRule="auto"/>
      <w:jc w:val="center"/>
      <w:rPr>
        <w:rFonts w:ascii="Helvetica-Light" w:hAnsi="Helvetica-Light" w:cs="Times New Roman"/>
      </w:rPr>
    </w:pPr>
    <w:r w:rsidRPr="00892D44">
      <w:rPr>
        <w:rFonts w:ascii="Helvetica-Light" w:hAnsi="Helvetica-Light"/>
        <w:noProof/>
      </w:rPr>
      <w:drawing>
        <wp:inline distT="0" distB="0" distL="0" distR="0" wp14:anchorId="0188F634" wp14:editId="7E59CDFA">
          <wp:extent cx="800100" cy="714375"/>
          <wp:effectExtent l="0" t="0" r="0" b="9525"/>
          <wp:docPr id="7" name="Imagem 7" descr="Uma imagem com texto, artigos de cerâmica, porcelan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 artigos de cerâmica, porcelana&#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714375"/>
                  </a:xfrm>
                  <a:prstGeom prst="rect">
                    <a:avLst/>
                  </a:prstGeom>
                  <a:noFill/>
                  <a:ln>
                    <a:noFill/>
                  </a:ln>
                </pic:spPr>
              </pic:pic>
            </a:graphicData>
          </a:graphic>
        </wp:inline>
      </w:drawing>
    </w:r>
  </w:p>
  <w:p w14:paraId="2A68DA24" w14:textId="77777777" w:rsidR="00F16D66" w:rsidRPr="00A01F8A" w:rsidRDefault="00F16D66" w:rsidP="00F16D66">
    <w:pPr>
      <w:pStyle w:val="Normal0"/>
      <w:tabs>
        <w:tab w:val="center" w:pos="4252"/>
        <w:tab w:val="right" w:pos="850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360" w:lineRule="auto"/>
      <w:jc w:val="center"/>
      <w:rPr>
        <w:rFonts w:ascii="Times New Roman" w:hAnsi="Times New Roman" w:cs="Times New Roman"/>
        <w:b/>
        <w:bCs/>
      </w:rPr>
    </w:pPr>
    <w:r w:rsidRPr="00A01F8A">
      <w:rPr>
        <w:rFonts w:ascii="Times New Roman" w:hAnsi="Times New Roman" w:cs="Times New Roman"/>
        <w:b/>
        <w:bCs/>
      </w:rPr>
      <w:t>Supremo Tribunal de Justiça</w:t>
    </w:r>
  </w:p>
  <w:p w14:paraId="13857292" w14:textId="77777777" w:rsidR="00F16D66" w:rsidRPr="00F22803" w:rsidRDefault="00F16D66" w:rsidP="00F16D66">
    <w:pPr>
      <w:pStyle w:val="Normal0"/>
      <w:tabs>
        <w:tab w:val="center" w:pos="4252"/>
        <w:tab w:val="right" w:pos="850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360" w:lineRule="auto"/>
      <w:jc w:val="center"/>
      <w:rPr>
        <w:rFonts w:ascii="Times New Roman" w:hAnsi="Times New Roman" w:cs="Times New Roman"/>
        <w:b/>
        <w:bCs/>
      </w:rPr>
    </w:pPr>
    <w:r>
      <w:rPr>
        <w:rFonts w:ascii="Times New Roman" w:hAnsi="Times New Roman" w:cs="Times New Roman"/>
        <w:b/>
        <w:bCs/>
      </w:rPr>
      <w:t>1.ª Secção Cível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0DFC"/>
    <w:multiLevelType w:val="hybridMultilevel"/>
    <w:tmpl w:val="59B6355E"/>
    <w:lvl w:ilvl="0" w:tplc="DA660EA0">
      <w:start w:val="1"/>
      <w:numFmt w:val="decimal"/>
      <w:lvlText w:val="%1."/>
      <w:lvlJc w:val="left"/>
      <w:pPr>
        <w:ind w:left="720" w:hanging="360"/>
      </w:pPr>
      <w:rPr>
        <w:rFonts w:hint="default"/>
        <w:b/>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99C220C"/>
    <w:multiLevelType w:val="hybridMultilevel"/>
    <w:tmpl w:val="ED5A4A2C"/>
    <w:lvl w:ilvl="0" w:tplc="08EE0518">
      <w:start w:val="1"/>
      <w:numFmt w:val="decimal"/>
      <w:lvlText w:val="%1."/>
      <w:lvlJc w:val="left"/>
      <w:pPr>
        <w:ind w:left="720" w:hanging="360"/>
      </w:pPr>
      <w:rPr>
        <w:rFonts w:ascii="Times New Roman" w:eastAsia="Times New Roman" w:hAnsi="Times New Roman" w:cs="Times New Roman"/>
        <w:b/>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AD75EBA"/>
    <w:multiLevelType w:val="hybridMultilevel"/>
    <w:tmpl w:val="80C0C452"/>
    <w:lvl w:ilvl="0" w:tplc="A0DCA93E">
      <w:start w:val="1"/>
      <w:numFmt w:val="decimal"/>
      <w:lvlText w:val="%1."/>
      <w:lvlJc w:val="left"/>
      <w:pPr>
        <w:ind w:left="720" w:hanging="360"/>
      </w:pPr>
      <w:rPr>
        <w:rFonts w:hint="default"/>
        <w:b/>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CE3581F"/>
    <w:multiLevelType w:val="hybridMultilevel"/>
    <w:tmpl w:val="27C8A4AE"/>
    <w:lvl w:ilvl="0" w:tplc="67E66D94">
      <w:start w:val="1"/>
      <w:numFmt w:val="decimal"/>
      <w:lvlText w:val="%1."/>
      <w:lvlJc w:val="left"/>
      <w:pPr>
        <w:ind w:left="720" w:hanging="360"/>
      </w:pPr>
      <w:rPr>
        <w:b/>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57E1DB9"/>
    <w:multiLevelType w:val="hybridMultilevel"/>
    <w:tmpl w:val="0FAC753A"/>
    <w:lvl w:ilvl="0" w:tplc="BA9C6930">
      <w:start w:val="1"/>
      <w:numFmt w:val="decimal"/>
      <w:lvlText w:val="%1."/>
      <w:lvlJc w:val="left"/>
      <w:pPr>
        <w:ind w:left="720" w:hanging="360"/>
      </w:pPr>
      <w:rPr>
        <w:rFonts w:hint="default"/>
        <w:b/>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76E6EE6"/>
    <w:multiLevelType w:val="hybridMultilevel"/>
    <w:tmpl w:val="CE1A49AC"/>
    <w:lvl w:ilvl="0" w:tplc="D1C058A6">
      <w:start w:val="1"/>
      <w:numFmt w:val="decimal"/>
      <w:lvlText w:val="%1."/>
      <w:lvlJc w:val="left"/>
      <w:pPr>
        <w:ind w:left="720" w:hanging="360"/>
      </w:pPr>
      <w:rPr>
        <w:rFonts w:hint="default"/>
        <w:b/>
        <w:bCs/>
        <w:i w:val="0"/>
        <w:iCs w:val="0"/>
        <w:sz w:val="24"/>
        <w:szCs w:val="24"/>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E2D329C"/>
    <w:multiLevelType w:val="hybridMultilevel"/>
    <w:tmpl w:val="59602182"/>
    <w:lvl w:ilvl="0" w:tplc="39DAAA7E">
      <w:start w:val="1"/>
      <w:numFmt w:val="lowerLetter"/>
      <w:lvlText w:val="%1)"/>
      <w:lvlJc w:val="left"/>
      <w:pPr>
        <w:ind w:left="1069" w:hanging="360"/>
      </w:pPr>
      <w:rPr>
        <w:rFonts w:hint="default"/>
        <w:sz w:val="24"/>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7" w15:restartNumberingAfterBreak="0">
    <w:nsid w:val="31356D7D"/>
    <w:multiLevelType w:val="hybridMultilevel"/>
    <w:tmpl w:val="9B0A663E"/>
    <w:lvl w:ilvl="0" w:tplc="F462F71A">
      <w:start w:val="1"/>
      <w:numFmt w:val="lowerLetter"/>
      <w:lvlText w:val="%1)"/>
      <w:lvlJc w:val="left"/>
      <w:pPr>
        <w:ind w:left="434" w:hanging="360"/>
      </w:pPr>
      <w:rPr>
        <w:rFonts w:hint="default"/>
        <w:b/>
        <w:bCs w:val="0"/>
      </w:rPr>
    </w:lvl>
    <w:lvl w:ilvl="1" w:tplc="08160019" w:tentative="1">
      <w:start w:val="1"/>
      <w:numFmt w:val="lowerLetter"/>
      <w:lvlText w:val="%2."/>
      <w:lvlJc w:val="left"/>
      <w:pPr>
        <w:ind w:left="1154" w:hanging="360"/>
      </w:pPr>
    </w:lvl>
    <w:lvl w:ilvl="2" w:tplc="0816001B" w:tentative="1">
      <w:start w:val="1"/>
      <w:numFmt w:val="lowerRoman"/>
      <w:lvlText w:val="%3."/>
      <w:lvlJc w:val="right"/>
      <w:pPr>
        <w:ind w:left="1874" w:hanging="180"/>
      </w:pPr>
    </w:lvl>
    <w:lvl w:ilvl="3" w:tplc="0816000F" w:tentative="1">
      <w:start w:val="1"/>
      <w:numFmt w:val="decimal"/>
      <w:lvlText w:val="%4."/>
      <w:lvlJc w:val="left"/>
      <w:pPr>
        <w:ind w:left="2594" w:hanging="360"/>
      </w:pPr>
    </w:lvl>
    <w:lvl w:ilvl="4" w:tplc="08160019" w:tentative="1">
      <w:start w:val="1"/>
      <w:numFmt w:val="lowerLetter"/>
      <w:lvlText w:val="%5."/>
      <w:lvlJc w:val="left"/>
      <w:pPr>
        <w:ind w:left="3314" w:hanging="360"/>
      </w:pPr>
    </w:lvl>
    <w:lvl w:ilvl="5" w:tplc="0816001B" w:tentative="1">
      <w:start w:val="1"/>
      <w:numFmt w:val="lowerRoman"/>
      <w:lvlText w:val="%6."/>
      <w:lvlJc w:val="right"/>
      <w:pPr>
        <w:ind w:left="4034" w:hanging="180"/>
      </w:pPr>
    </w:lvl>
    <w:lvl w:ilvl="6" w:tplc="0816000F" w:tentative="1">
      <w:start w:val="1"/>
      <w:numFmt w:val="decimal"/>
      <w:lvlText w:val="%7."/>
      <w:lvlJc w:val="left"/>
      <w:pPr>
        <w:ind w:left="4754" w:hanging="360"/>
      </w:pPr>
    </w:lvl>
    <w:lvl w:ilvl="7" w:tplc="08160019" w:tentative="1">
      <w:start w:val="1"/>
      <w:numFmt w:val="lowerLetter"/>
      <w:lvlText w:val="%8."/>
      <w:lvlJc w:val="left"/>
      <w:pPr>
        <w:ind w:left="5474" w:hanging="360"/>
      </w:pPr>
    </w:lvl>
    <w:lvl w:ilvl="8" w:tplc="0816001B" w:tentative="1">
      <w:start w:val="1"/>
      <w:numFmt w:val="lowerRoman"/>
      <w:lvlText w:val="%9."/>
      <w:lvlJc w:val="right"/>
      <w:pPr>
        <w:ind w:left="6194" w:hanging="180"/>
      </w:pPr>
    </w:lvl>
  </w:abstractNum>
  <w:abstractNum w:abstractNumId="8" w15:restartNumberingAfterBreak="0">
    <w:nsid w:val="3F904713"/>
    <w:multiLevelType w:val="hybridMultilevel"/>
    <w:tmpl w:val="D7DCA69C"/>
    <w:lvl w:ilvl="0" w:tplc="92F0AAA4">
      <w:start w:val="1"/>
      <w:numFmt w:val="decimal"/>
      <w:lvlText w:val="%1."/>
      <w:lvlJc w:val="left"/>
      <w:pPr>
        <w:ind w:left="720" w:hanging="360"/>
      </w:pPr>
      <w:rPr>
        <w:rFonts w:hint="default"/>
        <w:b/>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0FC35AB"/>
    <w:multiLevelType w:val="hybridMultilevel"/>
    <w:tmpl w:val="047079B2"/>
    <w:lvl w:ilvl="0" w:tplc="0CF0BA24">
      <w:start w:val="1"/>
      <w:numFmt w:val="decimal"/>
      <w:lvlText w:val="%1."/>
      <w:lvlJc w:val="left"/>
      <w:pPr>
        <w:ind w:left="434" w:hanging="360"/>
      </w:pPr>
      <w:rPr>
        <w:rFonts w:hint="default"/>
        <w:b/>
        <w:bCs/>
      </w:rPr>
    </w:lvl>
    <w:lvl w:ilvl="1" w:tplc="08160019" w:tentative="1">
      <w:start w:val="1"/>
      <w:numFmt w:val="lowerLetter"/>
      <w:lvlText w:val="%2."/>
      <w:lvlJc w:val="left"/>
      <w:pPr>
        <w:ind w:left="1154" w:hanging="360"/>
      </w:pPr>
    </w:lvl>
    <w:lvl w:ilvl="2" w:tplc="0816001B" w:tentative="1">
      <w:start w:val="1"/>
      <w:numFmt w:val="lowerRoman"/>
      <w:lvlText w:val="%3."/>
      <w:lvlJc w:val="right"/>
      <w:pPr>
        <w:ind w:left="1874" w:hanging="180"/>
      </w:pPr>
    </w:lvl>
    <w:lvl w:ilvl="3" w:tplc="0816000F" w:tentative="1">
      <w:start w:val="1"/>
      <w:numFmt w:val="decimal"/>
      <w:lvlText w:val="%4."/>
      <w:lvlJc w:val="left"/>
      <w:pPr>
        <w:ind w:left="2594" w:hanging="360"/>
      </w:pPr>
    </w:lvl>
    <w:lvl w:ilvl="4" w:tplc="08160019" w:tentative="1">
      <w:start w:val="1"/>
      <w:numFmt w:val="lowerLetter"/>
      <w:lvlText w:val="%5."/>
      <w:lvlJc w:val="left"/>
      <w:pPr>
        <w:ind w:left="3314" w:hanging="360"/>
      </w:pPr>
    </w:lvl>
    <w:lvl w:ilvl="5" w:tplc="0816001B" w:tentative="1">
      <w:start w:val="1"/>
      <w:numFmt w:val="lowerRoman"/>
      <w:lvlText w:val="%6."/>
      <w:lvlJc w:val="right"/>
      <w:pPr>
        <w:ind w:left="4034" w:hanging="180"/>
      </w:pPr>
    </w:lvl>
    <w:lvl w:ilvl="6" w:tplc="0816000F" w:tentative="1">
      <w:start w:val="1"/>
      <w:numFmt w:val="decimal"/>
      <w:lvlText w:val="%7."/>
      <w:lvlJc w:val="left"/>
      <w:pPr>
        <w:ind w:left="4754" w:hanging="360"/>
      </w:pPr>
    </w:lvl>
    <w:lvl w:ilvl="7" w:tplc="08160019" w:tentative="1">
      <w:start w:val="1"/>
      <w:numFmt w:val="lowerLetter"/>
      <w:lvlText w:val="%8."/>
      <w:lvlJc w:val="left"/>
      <w:pPr>
        <w:ind w:left="5474" w:hanging="360"/>
      </w:pPr>
    </w:lvl>
    <w:lvl w:ilvl="8" w:tplc="0816001B" w:tentative="1">
      <w:start w:val="1"/>
      <w:numFmt w:val="lowerRoman"/>
      <w:lvlText w:val="%9."/>
      <w:lvlJc w:val="right"/>
      <w:pPr>
        <w:ind w:left="6194" w:hanging="180"/>
      </w:pPr>
    </w:lvl>
  </w:abstractNum>
  <w:abstractNum w:abstractNumId="10" w15:restartNumberingAfterBreak="0">
    <w:nsid w:val="467D704A"/>
    <w:multiLevelType w:val="hybridMultilevel"/>
    <w:tmpl w:val="10D64798"/>
    <w:lvl w:ilvl="0" w:tplc="256298C0">
      <w:start w:val="1"/>
      <w:numFmt w:val="decimal"/>
      <w:lvlText w:val="%1."/>
      <w:lvlJc w:val="left"/>
      <w:pPr>
        <w:ind w:left="720" w:hanging="360"/>
      </w:pPr>
      <w:rPr>
        <w:rFonts w:hint="default"/>
        <w:b/>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7856C9C"/>
    <w:multiLevelType w:val="hybridMultilevel"/>
    <w:tmpl w:val="539C0D06"/>
    <w:lvl w:ilvl="0" w:tplc="EC946A12">
      <w:start w:val="1"/>
      <w:numFmt w:val="decimal"/>
      <w:lvlText w:val="%1."/>
      <w:lvlJc w:val="left"/>
      <w:pPr>
        <w:ind w:left="720" w:hanging="360"/>
      </w:pPr>
      <w:rPr>
        <w:rFonts w:hint="default"/>
        <w:b/>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D5B67FE"/>
    <w:multiLevelType w:val="hybridMultilevel"/>
    <w:tmpl w:val="7E68CEBC"/>
    <w:lvl w:ilvl="0" w:tplc="92F0AAA4">
      <w:start w:val="1"/>
      <w:numFmt w:val="decimal"/>
      <w:lvlText w:val="%1."/>
      <w:lvlJc w:val="left"/>
      <w:pPr>
        <w:ind w:left="720" w:hanging="360"/>
      </w:pPr>
      <w:rPr>
        <w:rFonts w:hint="default"/>
        <w:b/>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F2C01B2"/>
    <w:multiLevelType w:val="hybridMultilevel"/>
    <w:tmpl w:val="72FC8FC2"/>
    <w:lvl w:ilvl="0" w:tplc="92F0AAA4">
      <w:start w:val="1"/>
      <w:numFmt w:val="decimal"/>
      <w:lvlText w:val="%1."/>
      <w:lvlJc w:val="left"/>
      <w:pPr>
        <w:ind w:left="720" w:hanging="360"/>
      </w:pPr>
      <w:rPr>
        <w:rFonts w:hint="default"/>
        <w:b/>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5DD04C90"/>
    <w:multiLevelType w:val="hybridMultilevel"/>
    <w:tmpl w:val="CE1A49AC"/>
    <w:lvl w:ilvl="0" w:tplc="D1C058A6">
      <w:start w:val="1"/>
      <w:numFmt w:val="decimal"/>
      <w:lvlText w:val="%1."/>
      <w:lvlJc w:val="left"/>
      <w:pPr>
        <w:ind w:left="720" w:hanging="360"/>
      </w:pPr>
      <w:rPr>
        <w:rFonts w:hint="default"/>
        <w:b/>
        <w:bCs/>
        <w:i w:val="0"/>
        <w:iCs w:val="0"/>
        <w:sz w:val="24"/>
        <w:szCs w:val="24"/>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7C4369FA"/>
    <w:multiLevelType w:val="hybridMultilevel"/>
    <w:tmpl w:val="EF8C82B4"/>
    <w:lvl w:ilvl="0" w:tplc="92DA5D4A">
      <w:start w:val="1"/>
      <w:numFmt w:val="decimal"/>
      <w:lvlText w:val="%1."/>
      <w:lvlJc w:val="left"/>
      <w:pPr>
        <w:ind w:left="720" w:hanging="360"/>
      </w:pPr>
      <w:rPr>
        <w:rFonts w:hint="default"/>
        <w:b/>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7FE7026D"/>
    <w:multiLevelType w:val="hybridMultilevel"/>
    <w:tmpl w:val="C48488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2"/>
  </w:num>
  <w:num w:numId="2">
    <w:abstractNumId w:val="0"/>
  </w:num>
  <w:num w:numId="3">
    <w:abstractNumId w:val="15"/>
  </w:num>
  <w:num w:numId="4">
    <w:abstractNumId w:val="5"/>
  </w:num>
  <w:num w:numId="5">
    <w:abstractNumId w:val="14"/>
  </w:num>
  <w:num w:numId="6">
    <w:abstractNumId w:val="16"/>
  </w:num>
  <w:num w:numId="7">
    <w:abstractNumId w:val="8"/>
  </w:num>
  <w:num w:numId="8">
    <w:abstractNumId w:val="12"/>
  </w:num>
  <w:num w:numId="9">
    <w:abstractNumId w:val="4"/>
  </w:num>
  <w:num w:numId="10">
    <w:abstractNumId w:val="13"/>
  </w:num>
  <w:num w:numId="11">
    <w:abstractNumId w:val="11"/>
  </w:num>
  <w:num w:numId="12">
    <w:abstractNumId w:val="3"/>
  </w:num>
  <w:num w:numId="13">
    <w:abstractNumId w:val="9"/>
  </w:num>
  <w:num w:numId="14">
    <w:abstractNumId w:val="7"/>
  </w:num>
  <w:num w:numId="15">
    <w:abstractNumId w:val="10"/>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78D"/>
    <w:rsid w:val="00002F82"/>
    <w:rsid w:val="00021574"/>
    <w:rsid w:val="000377B7"/>
    <w:rsid w:val="00037E58"/>
    <w:rsid w:val="00082E89"/>
    <w:rsid w:val="000C4C0B"/>
    <w:rsid w:val="000E0097"/>
    <w:rsid w:val="000E4ECD"/>
    <w:rsid w:val="000E578D"/>
    <w:rsid w:val="00100451"/>
    <w:rsid w:val="00111DCA"/>
    <w:rsid w:val="00114F1A"/>
    <w:rsid w:val="00153136"/>
    <w:rsid w:val="00196E71"/>
    <w:rsid w:val="001D11BD"/>
    <w:rsid w:val="0027262C"/>
    <w:rsid w:val="0028258B"/>
    <w:rsid w:val="002D7168"/>
    <w:rsid w:val="00345283"/>
    <w:rsid w:val="003C019A"/>
    <w:rsid w:val="004142B4"/>
    <w:rsid w:val="0043085F"/>
    <w:rsid w:val="00437D77"/>
    <w:rsid w:val="0045029B"/>
    <w:rsid w:val="00450A7D"/>
    <w:rsid w:val="0049015B"/>
    <w:rsid w:val="004A7F41"/>
    <w:rsid w:val="004E1589"/>
    <w:rsid w:val="005362C1"/>
    <w:rsid w:val="00540B6C"/>
    <w:rsid w:val="00586686"/>
    <w:rsid w:val="00594608"/>
    <w:rsid w:val="005B1A51"/>
    <w:rsid w:val="005C5EB5"/>
    <w:rsid w:val="005D33B0"/>
    <w:rsid w:val="005E1DCD"/>
    <w:rsid w:val="00626239"/>
    <w:rsid w:val="0064271F"/>
    <w:rsid w:val="00654092"/>
    <w:rsid w:val="00686EB7"/>
    <w:rsid w:val="006E7470"/>
    <w:rsid w:val="006F1BE4"/>
    <w:rsid w:val="00712DF9"/>
    <w:rsid w:val="0072643F"/>
    <w:rsid w:val="00861BD7"/>
    <w:rsid w:val="0089139B"/>
    <w:rsid w:val="008D051E"/>
    <w:rsid w:val="008E3070"/>
    <w:rsid w:val="009316A4"/>
    <w:rsid w:val="00932195"/>
    <w:rsid w:val="009338A2"/>
    <w:rsid w:val="009B0C76"/>
    <w:rsid w:val="009C090D"/>
    <w:rsid w:val="009C442E"/>
    <w:rsid w:val="009E4669"/>
    <w:rsid w:val="009E7484"/>
    <w:rsid w:val="009F4D0F"/>
    <w:rsid w:val="00A51D07"/>
    <w:rsid w:val="00AA3078"/>
    <w:rsid w:val="00AA45D1"/>
    <w:rsid w:val="00AB244A"/>
    <w:rsid w:val="00AE2674"/>
    <w:rsid w:val="00AE2BAF"/>
    <w:rsid w:val="00AE7C12"/>
    <w:rsid w:val="00B51B4B"/>
    <w:rsid w:val="00BA6C98"/>
    <w:rsid w:val="00C01C80"/>
    <w:rsid w:val="00C179EF"/>
    <w:rsid w:val="00C303F9"/>
    <w:rsid w:val="00C472DB"/>
    <w:rsid w:val="00C764D7"/>
    <w:rsid w:val="00CC37D0"/>
    <w:rsid w:val="00CC5257"/>
    <w:rsid w:val="00D11C74"/>
    <w:rsid w:val="00D63BD7"/>
    <w:rsid w:val="00D82EEB"/>
    <w:rsid w:val="00DA6566"/>
    <w:rsid w:val="00DE6BFB"/>
    <w:rsid w:val="00E36BD4"/>
    <w:rsid w:val="00E660AB"/>
    <w:rsid w:val="00E75FED"/>
    <w:rsid w:val="00EB570F"/>
    <w:rsid w:val="00EC6840"/>
    <w:rsid w:val="00EE012A"/>
    <w:rsid w:val="00F03CE4"/>
    <w:rsid w:val="00F16D66"/>
    <w:rsid w:val="00F21F42"/>
    <w:rsid w:val="00F80AEA"/>
    <w:rsid w:val="00FC13DA"/>
    <w:rsid w:val="00FC5928"/>
    <w:rsid w:val="00FD6C8C"/>
    <w:rsid w:val="00FE588D"/>
    <w:rsid w:val="00FF22D0"/>
    <w:rsid w:val="00FF340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9A1E"/>
  <w15:chartTrackingRefBased/>
  <w15:docId w15:val="{1D4ADDC0-82AA-40C7-91CE-7C6F7E6FB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E578D"/>
    <w:pPr>
      <w:ind w:left="720"/>
      <w:contextualSpacing/>
    </w:pPr>
  </w:style>
  <w:style w:type="paragraph" w:styleId="Textodenotaderodap">
    <w:name w:val="footnote text"/>
    <w:aliases w:val="Carácter,Texto de nota de rodapé Carácter Carácter"/>
    <w:basedOn w:val="Normal"/>
    <w:link w:val="TextodenotaderodapCarter"/>
    <w:unhideWhenUsed/>
    <w:rsid w:val="009B0C76"/>
    <w:pPr>
      <w:spacing w:after="0" w:line="240" w:lineRule="auto"/>
    </w:pPr>
    <w:rPr>
      <w:sz w:val="20"/>
      <w:szCs w:val="20"/>
    </w:rPr>
  </w:style>
  <w:style w:type="character" w:customStyle="1" w:styleId="TextodenotaderodapCarter">
    <w:name w:val="Texto de nota de rodapé Caráter"/>
    <w:aliases w:val="Carácter Caráter,Texto de nota de rodapé Carácter Carácter Caráter"/>
    <w:basedOn w:val="Tipodeletrapredefinidodopargrafo"/>
    <w:link w:val="Textodenotaderodap"/>
    <w:rsid w:val="009B0C76"/>
    <w:rPr>
      <w:sz w:val="20"/>
      <w:szCs w:val="20"/>
    </w:rPr>
  </w:style>
  <w:style w:type="character" w:styleId="Refdenotaderodap">
    <w:name w:val="footnote reference"/>
    <w:basedOn w:val="Tipodeletrapredefinidodopargrafo"/>
    <w:unhideWhenUsed/>
    <w:rsid w:val="009B0C76"/>
    <w:rPr>
      <w:vertAlign w:val="superscript"/>
    </w:rPr>
  </w:style>
  <w:style w:type="character" w:styleId="Hiperligao">
    <w:name w:val="Hyperlink"/>
    <w:basedOn w:val="Tipodeletrapredefinidodopargrafo"/>
    <w:uiPriority w:val="99"/>
    <w:unhideWhenUsed/>
    <w:rsid w:val="00F21F42"/>
    <w:rPr>
      <w:color w:val="0563C1" w:themeColor="hyperlink"/>
      <w:u w:val="single"/>
    </w:rPr>
  </w:style>
  <w:style w:type="paragraph" w:styleId="Cabealho">
    <w:name w:val="header"/>
    <w:basedOn w:val="Normal"/>
    <w:link w:val="CabealhoCarter"/>
    <w:uiPriority w:val="99"/>
    <w:unhideWhenUsed/>
    <w:rsid w:val="00F16D6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16D66"/>
  </w:style>
  <w:style w:type="paragraph" w:styleId="Rodap">
    <w:name w:val="footer"/>
    <w:basedOn w:val="Normal"/>
    <w:link w:val="RodapCarter"/>
    <w:uiPriority w:val="99"/>
    <w:unhideWhenUsed/>
    <w:rsid w:val="00F16D66"/>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16D66"/>
  </w:style>
  <w:style w:type="paragraph" w:customStyle="1" w:styleId="Normal0">
    <w:name w:val="[Normal]"/>
    <w:rsid w:val="00F16D66"/>
    <w:pPr>
      <w:spacing w:after="0" w:line="240" w:lineRule="auto"/>
    </w:pPr>
    <w:rPr>
      <w:rFonts w:ascii="Arial" w:eastAsia="Arial" w:hAnsi="Arial" w:cs="Arial"/>
      <w:sz w:val="24"/>
      <w:szCs w:val="20"/>
      <w:lang w:eastAsia="pt-PT"/>
    </w:rPr>
  </w:style>
  <w:style w:type="paragraph" w:customStyle="1" w:styleId="Default">
    <w:name w:val="Default"/>
    <w:rsid w:val="0072643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rmaltextrun">
    <w:name w:val="normaltextrun"/>
    <w:basedOn w:val="Tipodeletrapredefinidodopargrafo"/>
    <w:rsid w:val="00FD6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D3390C52E3EFB4B933E45A7A2906327" ma:contentTypeVersion="7" ma:contentTypeDescription="Criar um novo documento." ma:contentTypeScope="" ma:versionID="4094385c87782212138b1e702d123bde">
  <xsd:schema xmlns:xsd="http://www.w3.org/2001/XMLSchema" xmlns:xs="http://www.w3.org/2001/XMLSchema" xmlns:p="http://schemas.microsoft.com/office/2006/metadata/properties" xmlns:ns2="39cae114-930a-42b3-aaa0-cb23d593d8dc" targetNamespace="http://schemas.microsoft.com/office/2006/metadata/properties" ma:root="true" ma:fieldsID="7c5ca0d923fc1d67b63a0422e546e46c" ns2:_="">
    <xsd:import namespace="39cae114-930a-42b3-aaa0-cb23d593d8dc"/>
    <xsd:element name="properties">
      <xsd:complexType>
        <xsd:sequence>
          <xsd:element name="documentManagement">
            <xsd:complexType>
              <xsd:all>
                <xsd:element ref="ns2:MigrationWizId" minOccurs="0"/>
                <xsd:element ref="ns2:MigrationWizIdPermissions" minOccurs="0"/>
                <xsd:element ref="ns2:MigrationWizIdPermissionLevels" minOccurs="0"/>
                <xsd:element ref="ns2:MigrationWizIdDocumentLibraryPermissions" minOccurs="0"/>
                <xsd:element ref="ns2:MigrationWizIdSecurityGroups"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ae114-930a-42b3-aaa0-cb23d593d8dc"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igrationWizIdPermissionLevels xmlns="39cae114-930a-42b3-aaa0-cb23d593d8dc" xsi:nil="true"/>
    <MigrationWizId xmlns="39cae114-930a-42b3-aaa0-cb23d593d8dc" xsi:nil="true"/>
    <MigrationWizIdPermissions xmlns="39cae114-930a-42b3-aaa0-cb23d593d8dc" xsi:nil="true"/>
    <MigrationWizIdSecurityGroups xmlns="39cae114-930a-42b3-aaa0-cb23d593d8dc" xsi:nil="true"/>
    <MigrationWizIdDocumentLibraryPermissions xmlns="39cae114-930a-42b3-aaa0-cb23d593d8dc" xsi:nil="true"/>
  </documentManagement>
</p:properties>
</file>

<file path=customXml/itemProps1.xml><?xml version="1.0" encoding="utf-8"?>
<ds:datastoreItem xmlns:ds="http://schemas.openxmlformats.org/officeDocument/2006/customXml" ds:itemID="{2FBDDEDC-11DA-4DA8-8F09-754AAA888DF0}">
  <ds:schemaRefs>
    <ds:schemaRef ds:uri="http://schemas.openxmlformats.org/officeDocument/2006/bibliography"/>
  </ds:schemaRefs>
</ds:datastoreItem>
</file>

<file path=customXml/itemProps2.xml><?xml version="1.0" encoding="utf-8"?>
<ds:datastoreItem xmlns:ds="http://schemas.openxmlformats.org/officeDocument/2006/customXml" ds:itemID="{810379D8-1B60-4954-9DE4-D770C2C881F5}"/>
</file>

<file path=customXml/itemProps3.xml><?xml version="1.0" encoding="utf-8"?>
<ds:datastoreItem xmlns:ds="http://schemas.openxmlformats.org/officeDocument/2006/customXml" ds:itemID="{BE7423A7-5D83-472C-B9D8-8D50D352F1B8}"/>
</file>

<file path=customXml/itemProps4.xml><?xml version="1.0" encoding="utf-8"?>
<ds:datastoreItem xmlns:ds="http://schemas.openxmlformats.org/officeDocument/2006/customXml" ds:itemID="{FBF6F13E-D67E-4FE7-81DC-3EB341EECF0D}"/>
</file>

<file path=docProps/app.xml><?xml version="1.0" encoding="utf-8"?>
<Properties xmlns="http://schemas.openxmlformats.org/officeDocument/2006/extended-properties" xmlns:vt="http://schemas.openxmlformats.org/officeDocument/2006/docPropsVTypes">
  <Template>Normal.dotm</Template>
  <TotalTime>1</TotalTime>
  <Pages>18</Pages>
  <Words>7796</Words>
  <Characters>42101</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João Tomé</dc:creator>
  <cp:keywords/>
  <dc:description/>
  <cp:lastModifiedBy>Maria João Tomé</cp:lastModifiedBy>
  <cp:revision>2</cp:revision>
  <dcterms:created xsi:type="dcterms:W3CDTF">2022-01-18T17:31:00Z</dcterms:created>
  <dcterms:modified xsi:type="dcterms:W3CDTF">2022-01-18T17:31:00Z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0x0101003D3390C52E3EFB4B933E45A7A2906327</vt:lpwstr>
  </property>
</Properties>
</file>