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b/>
          <w:bCs/>
        </w:rPr>
      </w:pPr>
      <w:r>
        <w:rPr>
          <w:b/>
          <w:bCs/>
        </w:rPr>
        <w:t>Assessment Cover Sheet</w:t>
      </w:r>
    </w:p>
    <w:p>
      <w:pPr>
        <w:pStyle w:val="Normal"/>
        <w:jc w:val="left"/>
        <w:rPr>
          <w:b/>
          <w:b/>
          <w:bCs/>
          <w:color w:val="FF0000"/>
          <w:sz w:val="28"/>
          <w:szCs w:val="28"/>
        </w:rPr>
      </w:pPr>
      <w:r>
        <w:rPr>
          <w:b/>
          <w:bCs/>
          <w:color w:val="FF0000"/>
          <w:sz w:val="28"/>
          <w:szCs w:val="28"/>
        </w:rPr>
        <w:t>The Cover Sheet must be completed before you start your assessment.</w:t>
      </w:r>
    </w:p>
    <w:tbl>
      <w:tblPr>
        <w:tblStyle w:val="TableGrid"/>
        <w:tblW w:w="90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979"/>
        <w:gridCol w:w="2693"/>
        <w:gridCol w:w="1420"/>
        <w:gridCol w:w="2923"/>
      </w:tblGrid>
      <w:tr>
        <w:trPr/>
        <w:tc>
          <w:tcPr>
            <w:tcW w:w="1979" w:type="dxa"/>
            <w:tcBorders/>
            <w:shd w:color="auto" w:fill="D9E2F3" w:themeFill="accent1" w:themeFillTint="33" w:val="clear"/>
            <w:vAlign w:val="center"/>
          </w:tcPr>
          <w:p>
            <w:pPr>
              <w:pStyle w:val="Normal"/>
              <w:widowControl w:val="false"/>
              <w:rPr>
                <w:b/>
                <w:b/>
              </w:rPr>
            </w:pPr>
            <w:r>
              <w:rPr>
                <w:rFonts w:eastAsia="Calibri" w:cs="Times New Roman" w:ascii="Calibri" w:hAnsi="Calibri"/>
                <w:b/>
                <w:kern w:val="0"/>
                <w:sz w:val="20"/>
                <w:szCs w:val="20"/>
                <w:lang w:eastAsia="en-US" w:bidi="ar-SA"/>
              </w:rPr>
              <w:t>Student Surname</w:t>
            </w:r>
          </w:p>
        </w:tc>
        <w:tc>
          <w:tcPr>
            <w:tcW w:w="2693" w:type="dxa"/>
            <w:tcBorders/>
            <w:shd w:color="auto" w:fill="FFF2CC" w:themeFill="accent4" w:themeFillTint="33" w:val="clear"/>
          </w:tcPr>
          <w:p>
            <w:pPr>
              <w:pStyle w:val="Normal"/>
              <w:widowControl w:val="false"/>
              <w:rPr>
                <w:rFonts w:ascii="Calibri" w:hAnsi="Calibri" w:eastAsia="Calibri" w:cs="Times New Roman"/>
                <w:kern w:val="0"/>
                <w:sz w:val="20"/>
                <w:szCs w:val="20"/>
                <w:lang w:eastAsia="en-US" w:bidi="ar-SA"/>
              </w:rPr>
            </w:pPr>
            <w:permStart w:id="1821854363" w:edGrp="everyone"/>
            <w:r>
              <w:rPr>
                <w:rFonts w:eastAsia="Calibri" w:cs="Times New Roman" w:ascii="Calibri" w:hAnsi="Calibri"/>
                <w:kern w:val="0"/>
                <w:sz w:val="20"/>
                <w:szCs w:val="20"/>
                <w:lang w:eastAsia="en-US" w:bidi="ar-SA"/>
              </w:rPr>
              <w:t>McLovin</w:t>
            </w:r>
            <w:permEnd w:id="1821854363"/>
          </w:p>
        </w:tc>
        <w:tc>
          <w:tcPr>
            <w:tcW w:w="1420" w:type="dxa"/>
            <w:tcBorders/>
            <w:shd w:color="auto" w:fill="D9E2F3" w:themeFill="accent1" w:themeFillTint="33" w:val="clear"/>
          </w:tcPr>
          <w:p>
            <w:pPr>
              <w:pStyle w:val="Normal"/>
              <w:widowControl w:val="false"/>
              <w:rPr>
                <w:b/>
                <w:b/>
              </w:rPr>
            </w:pPr>
            <w:r>
              <w:rPr>
                <w:rFonts w:eastAsia="Calibri" w:cs="Times New Roman" w:ascii="Calibri" w:hAnsi="Calibri"/>
                <w:b/>
                <w:kern w:val="0"/>
                <w:sz w:val="20"/>
                <w:szCs w:val="20"/>
                <w:lang w:eastAsia="en-US" w:bidi="ar-SA"/>
              </w:rPr>
              <w:t>Student Given Name</w:t>
            </w:r>
          </w:p>
        </w:tc>
        <w:tc>
          <w:tcPr>
            <w:tcW w:w="2923" w:type="dxa"/>
            <w:tcBorders/>
            <w:shd w:color="auto" w:fill="FFF2CC" w:themeFill="accent4" w:themeFillTint="33" w:val="clear"/>
          </w:tcPr>
          <w:p>
            <w:pPr>
              <w:pStyle w:val="Normal"/>
              <w:widowControl w:val="false"/>
              <w:rPr>
                <w:rFonts w:ascii="Calibri" w:hAnsi="Calibri" w:eastAsia="Calibri" w:cs="Times New Roman"/>
                <w:kern w:val="0"/>
                <w:sz w:val="20"/>
                <w:szCs w:val="20"/>
                <w:lang w:eastAsia="en-US" w:bidi="ar-SA"/>
              </w:rPr>
            </w:pPr>
            <w:permStart w:id="120535650" w:edGrp="everyone"/>
            <w:r>
              <w:rPr>
                <w:rFonts w:eastAsia="Calibri" w:cs="Times New Roman" w:ascii="Calibri" w:hAnsi="Calibri"/>
                <w:kern w:val="0"/>
                <w:sz w:val="20"/>
                <w:szCs w:val="20"/>
                <w:lang w:eastAsia="en-US" w:bidi="ar-SA"/>
              </w:rPr>
              <w:t>Jack</w:t>
            </w:r>
            <w:permEnd w:id="120535650"/>
          </w:p>
        </w:tc>
      </w:tr>
      <w:tr>
        <w:trPr/>
        <w:tc>
          <w:tcPr>
            <w:tcW w:w="1979" w:type="dxa"/>
            <w:tcBorders/>
            <w:shd w:color="auto" w:fill="D9E2F3" w:themeFill="accent1" w:themeFillTint="33" w:val="clear"/>
          </w:tcPr>
          <w:p>
            <w:pPr>
              <w:pStyle w:val="Normal"/>
              <w:widowControl w:val="false"/>
              <w:rPr>
                <w:b/>
                <w:b/>
              </w:rPr>
            </w:pPr>
            <w:r>
              <w:rPr>
                <w:rFonts w:eastAsia="Calibri" w:cs="Times New Roman" w:ascii="Calibri" w:hAnsi="Calibri"/>
                <w:b/>
                <w:kern w:val="0"/>
                <w:sz w:val="20"/>
                <w:szCs w:val="20"/>
                <w:lang w:eastAsia="en-US" w:bidi="ar-SA"/>
              </w:rPr>
              <w:t>Qualification</w:t>
            </w:r>
          </w:p>
        </w:tc>
        <w:tc>
          <w:tcPr>
            <w:tcW w:w="7036" w:type="dxa"/>
            <w:gridSpan w:val="3"/>
            <w:tcBorders/>
            <w:shd w:color="auto" w:fill="D9E2F3" w:themeFill="accent1" w:themeFillTint="33" w:val="clear"/>
          </w:tcPr>
          <w:p>
            <w:pPr>
              <w:pStyle w:val="Normal"/>
              <w:widowControl w:val="false"/>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CPC40120 CertIV of Building and Construction (Building)</w:t>
            </w:r>
          </w:p>
        </w:tc>
      </w:tr>
      <w:tr>
        <w:trPr/>
        <w:tc>
          <w:tcPr>
            <w:tcW w:w="1979" w:type="dxa"/>
            <w:tcBorders/>
            <w:shd w:color="auto" w:fill="D9E2F3" w:themeFill="accent1" w:themeFillTint="33" w:val="clear"/>
          </w:tcPr>
          <w:p>
            <w:pPr>
              <w:pStyle w:val="Normal"/>
              <w:widowControl w:val="false"/>
              <w:rPr>
                <w:b/>
                <w:b/>
              </w:rPr>
            </w:pPr>
            <w:r>
              <w:rPr>
                <w:rFonts w:eastAsia="Calibri" w:cs="Times New Roman" w:ascii="Calibri" w:hAnsi="Calibri"/>
                <w:b/>
                <w:kern w:val="0"/>
                <w:sz w:val="20"/>
                <w:szCs w:val="20"/>
                <w:lang w:eastAsia="en-US" w:bidi="ar-SA"/>
              </w:rPr>
              <w:t>Module of Study</w:t>
            </w:r>
          </w:p>
        </w:tc>
        <w:tc>
          <w:tcPr>
            <w:tcW w:w="7036" w:type="dxa"/>
            <w:gridSpan w:val="3"/>
            <w:tcBorders/>
            <w:shd w:color="auto" w:fill="D9E2F3" w:themeFill="accent1" w:themeFillTint="33" w:val="clear"/>
            <w:vAlign w:val="center"/>
          </w:tcPr>
          <w:p>
            <w:pPr>
              <w:pStyle w:val="Normal"/>
              <w:widowControl w:val="false"/>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Module 3</w:t>
            </w:r>
          </w:p>
        </w:tc>
      </w:tr>
      <w:tr>
        <w:trPr/>
        <w:tc>
          <w:tcPr>
            <w:tcW w:w="1979" w:type="dxa"/>
            <w:tcBorders/>
            <w:shd w:color="auto" w:fill="D9E2F3" w:themeFill="accent1" w:themeFillTint="33" w:val="clear"/>
            <w:vAlign w:val="center"/>
          </w:tcPr>
          <w:p>
            <w:pPr>
              <w:pStyle w:val="Normal"/>
              <w:widowControl w:val="false"/>
              <w:rPr>
                <w:b/>
                <w:b/>
              </w:rPr>
            </w:pPr>
            <w:r>
              <w:rPr>
                <w:b/>
              </w:rPr>
            </w:r>
          </w:p>
          <w:p>
            <w:pPr>
              <w:pStyle w:val="Normal"/>
              <w:widowControl w:val="false"/>
              <w:rPr>
                <w:b/>
                <w:b/>
              </w:rPr>
            </w:pPr>
            <w:r>
              <w:rPr>
                <w:rFonts w:eastAsia="Calibri" w:cs="Times New Roman" w:ascii="Calibri" w:hAnsi="Calibri"/>
                <w:b/>
                <w:kern w:val="0"/>
                <w:sz w:val="20"/>
                <w:szCs w:val="20"/>
                <w:lang w:eastAsia="en-US" w:bidi="ar-SA"/>
              </w:rPr>
              <w:t>Assessment Name</w:t>
            </w:r>
          </w:p>
          <w:p>
            <w:pPr>
              <w:pStyle w:val="Normal"/>
              <w:widowControl w:val="false"/>
              <w:rPr>
                <w:b/>
                <w:b/>
              </w:rPr>
            </w:pPr>
            <w:r>
              <w:rPr>
                <w:b/>
              </w:rPr>
            </w:r>
          </w:p>
        </w:tc>
        <w:tc>
          <w:tcPr>
            <w:tcW w:w="7036" w:type="dxa"/>
            <w:gridSpan w:val="3"/>
            <w:tcBorders/>
            <w:shd w:color="auto" w:fill="FFF2CC" w:themeFill="accent4" w:themeFillTint="33" w:val="clear"/>
            <w:vAlign w:val="center"/>
          </w:tcPr>
          <w:p>
            <w:pPr>
              <w:pStyle w:val="Normal"/>
              <w:widowControl w:val="false"/>
              <w:pBdr>
                <w:bottom w:val="single" w:sz="4" w:space="4" w:color="00314C"/>
              </w:pBdr>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Activity 2.12 – Commercial Waste Management</w:t>
            </w:r>
          </w:p>
        </w:tc>
      </w:tr>
      <w:tr>
        <w:trPr>
          <w:trHeight w:val="479" w:hRule="atLeast"/>
        </w:trPr>
        <w:tc>
          <w:tcPr>
            <w:tcW w:w="1979" w:type="dxa"/>
            <w:tcBorders/>
            <w:shd w:color="auto" w:fill="D9E2F3" w:themeFill="accent1" w:themeFillTint="33" w:val="clear"/>
            <w:vAlign w:val="center"/>
          </w:tcPr>
          <w:p>
            <w:pPr>
              <w:pStyle w:val="Normal"/>
              <w:widowControl w:val="false"/>
              <w:rPr>
                <w:b/>
                <w:b/>
              </w:rPr>
            </w:pPr>
            <w:r>
              <w:rPr>
                <w:rFonts w:eastAsia="Calibri" w:cs="Times New Roman" w:ascii="Calibri" w:hAnsi="Calibri"/>
                <w:b/>
                <w:kern w:val="0"/>
                <w:sz w:val="20"/>
                <w:szCs w:val="20"/>
                <w:lang w:eastAsia="en-US" w:bidi="ar-SA"/>
              </w:rPr>
              <w:t>Trainer Name</w:t>
            </w:r>
          </w:p>
        </w:tc>
        <w:tc>
          <w:tcPr>
            <w:tcW w:w="7036" w:type="dxa"/>
            <w:gridSpan w:val="3"/>
            <w:tcBorders/>
            <w:shd w:color="auto" w:fill="FFF2CC" w:themeFill="accent4" w:themeFillTint="33" w:val="clear"/>
            <w:vAlign w:val="center"/>
          </w:tcPr>
          <w:p>
            <w:pPr>
              <w:pStyle w:val="Normal"/>
              <w:widowControl w:val="false"/>
              <w:rPr>
                <w:rFonts w:ascii="Calibri" w:hAnsi="Calibri" w:eastAsia="Calibri" w:cs="Times New Roman"/>
                <w:kern w:val="0"/>
                <w:sz w:val="20"/>
                <w:szCs w:val="20"/>
                <w:lang w:eastAsia="en-US" w:bidi="ar-SA"/>
              </w:rPr>
            </w:pPr>
            <w:permStart w:id="500318929" w:edGrp="everyone"/>
            <w:r>
              <w:rPr>
                <w:rFonts w:eastAsia="Calibri" w:cs="Times New Roman" w:ascii="Calibri" w:hAnsi="Calibri"/>
                <w:kern w:val="0"/>
                <w:sz w:val="20"/>
                <w:szCs w:val="20"/>
                <w:lang w:eastAsia="en-US" w:bidi="ar-SA"/>
              </w:rPr>
              <w:t>Yaser Farag</w:t>
            </w:r>
            <w:permEnd w:id="500318929"/>
          </w:p>
        </w:tc>
      </w:tr>
    </w:tbl>
    <w:p>
      <w:pPr>
        <w:pStyle w:val="Heading1"/>
        <w:rPr/>
      </w:pPr>
      <w:r>
        <w:rPr/>
        <w:t>Student Statement</w:t>
      </w:r>
    </w:p>
    <w:p>
      <w:pPr>
        <w:pStyle w:val="Normal"/>
        <w:rPr/>
      </w:pPr>
      <w:r>
        <w:rP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pPr>
        <w:pStyle w:val="Normal"/>
        <w:rPr/>
      </w:pPr>
      <w:r>
        <w:rPr/>
        <w:t>The following list outlines some of the activities for which a participant can be accused of plagiarism:</w:t>
      </w:r>
    </w:p>
    <w:p>
      <w:pPr>
        <w:pStyle w:val="ListParagraph"/>
        <w:numPr>
          <w:ilvl w:val="0"/>
          <w:numId w:val="1"/>
        </w:numPr>
        <w:spacing w:lineRule="auto" w:line="259" w:before="0" w:after="160"/>
        <w:contextualSpacing/>
        <w:jc w:val="left"/>
        <w:rPr/>
      </w:pPr>
      <w:r>
        <w:rPr/>
        <w:t>Presenting any work by another individual as one’s own unintentionally</w:t>
      </w:r>
    </w:p>
    <w:p>
      <w:pPr>
        <w:pStyle w:val="ListParagraph"/>
        <w:numPr>
          <w:ilvl w:val="0"/>
          <w:numId w:val="1"/>
        </w:numPr>
        <w:spacing w:lineRule="auto" w:line="259" w:before="0" w:after="160"/>
        <w:contextualSpacing/>
        <w:jc w:val="left"/>
        <w:rPr/>
      </w:pPr>
      <w:r>
        <w:rPr/>
        <w:t>Handing in assessments markedly similar to or copied from another student</w:t>
      </w:r>
    </w:p>
    <w:p>
      <w:pPr>
        <w:pStyle w:val="ListParagraph"/>
        <w:numPr>
          <w:ilvl w:val="0"/>
          <w:numId w:val="1"/>
        </w:numPr>
        <w:spacing w:lineRule="auto" w:line="259" w:before="0" w:after="160"/>
        <w:contextualSpacing/>
        <w:jc w:val="left"/>
        <w:rPr/>
      </w:pPr>
      <w:r>
        <w:rPr/>
        <w:t>Presenting the work of another individual or group as their own work.</w:t>
      </w:r>
    </w:p>
    <w:p>
      <w:pPr>
        <w:pStyle w:val="ListParagraph"/>
        <w:numPr>
          <w:ilvl w:val="0"/>
          <w:numId w:val="1"/>
        </w:numPr>
        <w:spacing w:lineRule="auto" w:line="259" w:before="0" w:after="160"/>
        <w:contextualSpacing/>
        <w:jc w:val="left"/>
        <w:rPr/>
      </w:pPr>
      <w:r>
        <w:rPr/>
        <w:t>Handing up assessments without the adequate acknowledgement of sources used, including assessments taken totally or in part from the internet.</w:t>
      </w:r>
    </w:p>
    <w:p>
      <w:pPr>
        <w:pStyle w:val="Normal"/>
        <w:rPr/>
      </w:pPr>
      <w:r>
        <w:rPr/>
        <w:t>Many of the workbook activities are ‘open book’ yet should still be conducted under test conditions without consultation with other students. If you are unsure of any assessment requirements you should check with your Trainer / Assessor.</w:t>
      </w:r>
    </w:p>
    <w:p>
      <w:pPr>
        <w:pStyle w:val="Normal"/>
        <w:rPr/>
      </w:pPr>
      <w:bookmarkStart w:id="0" w:name="_Toc70891942"/>
      <w:bookmarkStart w:id="1" w:name="_Toc76632599"/>
      <w:r>
        <w:rPr/>
        <w:t>By submitting this assessment electronically you declare that all work for assessment tasks submitted for this assessment is your own with no part of any assessment being copied/plagiarised from another person’s work, except where authorised and listed / referenced.</w:t>
      </w:r>
      <w:bookmarkEnd w:id="0"/>
      <w:bookmarkEnd w:id="1"/>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b/>
          <w:b/>
          <w:bCs/>
          <w:color w:val="auto"/>
          <w:sz w:val="24"/>
          <w:szCs w:val="24"/>
        </w:rPr>
      </w:pPr>
      <w:r>
        <w:rPr>
          <w:b/>
          <w:bCs/>
          <w:color w:val="auto"/>
          <w:sz w:val="24"/>
          <w:szCs w:val="24"/>
        </w:rPr>
        <w:t>Part A</w:t>
      </w:r>
    </w:p>
    <w:p>
      <w:pPr>
        <w:pStyle w:val="Normal"/>
        <w:spacing w:lineRule="auto" w:line="259" w:before="0" w:after="0"/>
        <w:jc w:val="left"/>
        <w:rPr>
          <w:color w:val="auto"/>
        </w:rPr>
      </w:pPr>
      <w:r>
        <w:rPr>
          <w:color w:val="auto"/>
        </w:rPr>
        <w:t xml:space="preserve">Download and complete the Waste Minimisation Plan template for PN8168 from the LMS. </w:t>
      </w:r>
    </w:p>
    <w:p>
      <w:pPr>
        <w:pStyle w:val="Normal"/>
        <w:spacing w:lineRule="auto" w:line="259" w:before="0" w:after="0"/>
        <w:jc w:val="left"/>
        <w:rPr>
          <w:b/>
          <w:b/>
          <w:bCs/>
          <w:color w:val="auto"/>
        </w:rPr>
      </w:pPr>
      <w:r>
        <w:rPr>
          <w:b/>
          <w:bCs/>
          <w:color w:val="auto"/>
        </w:rPr>
      </w:r>
    </w:p>
    <w:p>
      <w:pPr>
        <w:pStyle w:val="Normal"/>
        <w:spacing w:lineRule="auto" w:line="259" w:before="0" w:after="0"/>
        <w:jc w:val="left"/>
        <w:rPr>
          <w:b/>
          <w:b/>
          <w:bCs/>
          <w:color w:val="auto"/>
          <w:sz w:val="24"/>
          <w:szCs w:val="24"/>
        </w:rPr>
      </w:pPr>
      <w:r>
        <w:rPr>
          <w:b/>
          <w:bCs/>
          <w:color w:val="auto"/>
          <w:sz w:val="24"/>
          <w:szCs w:val="24"/>
        </w:rPr>
        <w:t>Part B</w:t>
      </w:r>
    </w:p>
    <w:p>
      <w:pPr>
        <w:pStyle w:val="Normal"/>
        <w:spacing w:lineRule="auto" w:line="259" w:before="0" w:after="0"/>
        <w:jc w:val="left"/>
        <w:rPr>
          <w:color w:val="auto"/>
        </w:rPr>
      </w:pPr>
      <w:r>
        <w:rPr>
          <w:color w:val="auto"/>
        </w:rPr>
        <w:t>Draft and email to the client outlining the benefits of the proposed waste management strategy. This email must outline the strategies to be utilised, the benefits to the client over short and long term, as well as any costs involved with implementation of the strategy.</w:t>
      </w:r>
    </w:p>
    <w:p>
      <w:pPr>
        <w:pStyle w:val="Normal"/>
        <w:spacing w:lineRule="auto" w:line="259" w:before="0" w:after="0"/>
        <w:jc w:val="left"/>
        <w:rPr>
          <w:color w:val="auto"/>
        </w:rPr>
      </w:pPr>
      <w:r>
        <w:rPr>
          <w:color w:val="auto"/>
        </w:rPr>
      </w:r>
    </w:p>
    <w:tbl>
      <w:tblPr>
        <w:tblStyle w:val="TableGrid"/>
        <w:tblW w:w="924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668"/>
        <w:gridCol w:w="7573"/>
      </w:tblGrid>
      <w:tr>
        <w:trPr/>
        <w:tc>
          <w:tcPr>
            <w:tcW w:w="1668" w:type="dxa"/>
            <w:tcBorders/>
          </w:tcPr>
          <w:p>
            <w:pPr>
              <w:pStyle w:val="Normal"/>
              <w:widowControl w:val="false"/>
              <w:spacing w:lineRule="auto" w:line="276" w:before="60" w:after="60"/>
              <w:rPr>
                <w:rFonts w:cs="" w:cstheme="minorHAnsi"/>
                <w:b/>
                <w:b/>
                <w:color w:val="0A3650"/>
              </w:rPr>
            </w:pPr>
            <w:r>
              <w:rPr>
                <w:rFonts w:eastAsia="Calibri" w:cs="" w:ascii="Calibri" w:hAnsi="Calibri" w:cstheme="minorHAnsi"/>
                <w:b/>
                <w:color w:val="0A3650"/>
                <w:kern w:val="0"/>
                <w:sz w:val="20"/>
                <w:szCs w:val="20"/>
                <w:lang w:eastAsia="en-US" w:bidi="ar-SA"/>
              </w:rPr>
              <w:t>To:</w:t>
            </w:r>
          </w:p>
        </w:tc>
        <w:tc>
          <w:tcPr>
            <w:tcW w:w="7573" w:type="dxa"/>
            <w:tcBorders/>
          </w:tcPr>
          <w:p>
            <w:pPr>
              <w:pStyle w:val="Normal"/>
              <w:widowControl w:val="false"/>
              <w:spacing w:lineRule="auto" w:line="276" w:before="60" w:after="60"/>
              <w:rPr>
                <w:rFonts w:cs="" w:cstheme="minorHAnsi"/>
                <w:color w:val="0A3650"/>
              </w:rPr>
            </w:pPr>
            <w:permStart w:id="1428649953" w:edGrp="everyone1"/>
            <w:permStart w:id="1428649953" w:edGrp="everyone"/>
            <w:r>
              <w:rPr>
                <w:rFonts w:cs="" w:cstheme="minorHAnsi"/>
                <w:color w:val="0A3650"/>
              </w:rPr>
              <w:t>client@clientsemail.com</w:t>
            </w:r>
            <w:permEnd w:id="1428649953"/>
            <w:permEnd w:id="1428649953"/>
          </w:p>
        </w:tc>
      </w:tr>
      <w:tr>
        <w:trPr/>
        <w:tc>
          <w:tcPr>
            <w:tcW w:w="1668" w:type="dxa"/>
            <w:tcBorders/>
          </w:tcPr>
          <w:p>
            <w:pPr>
              <w:pStyle w:val="Normal"/>
              <w:widowControl w:val="false"/>
              <w:spacing w:lineRule="auto" w:line="276" w:before="60" w:after="60"/>
              <w:rPr>
                <w:rFonts w:cs="" w:cstheme="minorHAnsi"/>
                <w:b/>
                <w:b/>
                <w:color w:val="0A3650"/>
              </w:rPr>
            </w:pPr>
            <w:r>
              <w:rPr>
                <w:rFonts w:eastAsia="Calibri" w:cs="" w:ascii="Calibri" w:hAnsi="Calibri" w:cstheme="minorHAnsi"/>
                <w:b/>
                <w:color w:val="0A3650"/>
                <w:kern w:val="0"/>
                <w:sz w:val="20"/>
                <w:szCs w:val="20"/>
                <w:lang w:eastAsia="en-US" w:bidi="ar-SA"/>
              </w:rPr>
              <w:t>From</w:t>
            </w:r>
          </w:p>
        </w:tc>
        <w:tc>
          <w:tcPr>
            <w:tcW w:w="7573" w:type="dxa"/>
            <w:tcBorders/>
          </w:tcPr>
          <w:p>
            <w:pPr>
              <w:pStyle w:val="Normal"/>
              <w:widowControl w:val="false"/>
              <w:spacing w:lineRule="auto" w:line="276" w:before="60" w:after="60"/>
              <w:rPr>
                <w:rFonts w:cs="" w:cstheme="minorHAnsi"/>
                <w:color w:val="0A3650"/>
              </w:rPr>
            </w:pPr>
            <w:permStart w:id="238254671" w:edGrp="everyone1"/>
            <w:permStart w:id="238254671" w:edGrp="everyone"/>
            <w:r>
              <w:rPr>
                <w:rFonts w:cs="" w:cstheme="minorHAnsi"/>
                <w:color w:val="0A3650"/>
              </w:rPr>
              <w:t>builder@buildingbuildings.com</w:t>
            </w:r>
            <w:permEnd w:id="238254671"/>
            <w:permEnd w:id="238254671"/>
          </w:p>
        </w:tc>
      </w:tr>
      <w:tr>
        <w:trPr/>
        <w:tc>
          <w:tcPr>
            <w:tcW w:w="1668" w:type="dxa"/>
            <w:tcBorders/>
          </w:tcPr>
          <w:p>
            <w:pPr>
              <w:pStyle w:val="Normal"/>
              <w:widowControl w:val="false"/>
              <w:spacing w:lineRule="auto" w:line="276" w:before="60" w:after="60"/>
              <w:rPr>
                <w:rFonts w:cs="" w:cstheme="minorHAnsi"/>
                <w:b/>
                <w:b/>
                <w:color w:val="0A3650"/>
              </w:rPr>
            </w:pPr>
            <w:r>
              <w:rPr>
                <w:rFonts w:eastAsia="Calibri" w:cs="" w:ascii="Calibri" w:hAnsi="Calibri" w:cstheme="minorHAnsi"/>
                <w:b/>
                <w:color w:val="0A3650"/>
                <w:kern w:val="0"/>
                <w:sz w:val="20"/>
                <w:szCs w:val="20"/>
                <w:lang w:eastAsia="en-US" w:bidi="ar-SA"/>
              </w:rPr>
              <w:t>CC/BCC</w:t>
            </w:r>
          </w:p>
        </w:tc>
        <w:tc>
          <w:tcPr>
            <w:tcW w:w="7573" w:type="dxa"/>
            <w:tcBorders/>
          </w:tcPr>
          <w:p>
            <w:pPr>
              <w:pStyle w:val="Normal"/>
              <w:widowControl w:val="false"/>
              <w:spacing w:lineRule="auto" w:line="276" w:before="60" w:after="60"/>
              <w:rPr>
                <w:rFonts w:cs="" w:cstheme="minorHAnsi"/>
                <w:color w:val="0A3650"/>
              </w:rPr>
            </w:pPr>
            <w:hyperlink r:id="rId2">
              <w:r>
                <w:rPr>
                  <w:rStyle w:val="InternetLink"/>
                  <w:rFonts w:cs="" w:cstheme="minorHAnsi"/>
                  <w:color w:val="0A3650"/>
                </w:rPr>
                <w:t>record_keeping@buildingbuildings.com</w:t>
              </w:r>
            </w:hyperlink>
            <w:r>
              <w:rPr>
                <w:rFonts w:cs="" w:cstheme="minorHAnsi"/>
                <w:color w:val="0A3650"/>
              </w:rPr>
              <w:t>, site_</w:t>
            </w:r>
            <w:r>
              <w:rPr>
                <w:rFonts w:cs="" w:cstheme="minorHAnsi"/>
                <w:color w:val="0A3650"/>
              </w:rPr>
              <w:t>supervisor</w:t>
            </w:r>
            <w:r>
              <w:rPr>
                <w:rFonts w:cs="" w:cstheme="minorHAnsi"/>
                <w:color w:val="0A3650"/>
              </w:rPr>
              <w:t>@builingbuildings.com</w:t>
            </w:r>
          </w:p>
        </w:tc>
      </w:tr>
      <w:tr>
        <w:trPr/>
        <w:tc>
          <w:tcPr>
            <w:tcW w:w="1668" w:type="dxa"/>
            <w:tcBorders/>
          </w:tcPr>
          <w:p>
            <w:pPr>
              <w:pStyle w:val="Normal"/>
              <w:widowControl w:val="false"/>
              <w:spacing w:lineRule="auto" w:line="276" w:before="60" w:after="60"/>
              <w:rPr>
                <w:rFonts w:cs="" w:cstheme="minorHAnsi"/>
                <w:b/>
                <w:b/>
                <w:color w:val="0A3650"/>
              </w:rPr>
            </w:pPr>
            <w:r>
              <w:rPr>
                <w:rFonts w:eastAsia="Calibri" w:cs="" w:ascii="Calibri" w:hAnsi="Calibri" w:cstheme="minorHAnsi"/>
                <w:b/>
                <w:color w:val="0A3650"/>
                <w:kern w:val="0"/>
                <w:sz w:val="20"/>
                <w:szCs w:val="20"/>
                <w:lang w:eastAsia="en-US" w:bidi="ar-SA"/>
              </w:rPr>
              <w:t>Subject</w:t>
            </w:r>
          </w:p>
        </w:tc>
        <w:tc>
          <w:tcPr>
            <w:tcW w:w="7573" w:type="dxa"/>
            <w:tcBorders/>
          </w:tcPr>
          <w:p>
            <w:pPr>
              <w:pStyle w:val="Normal"/>
              <w:widowControl w:val="false"/>
              <w:spacing w:lineRule="auto" w:line="276" w:before="60" w:after="60"/>
              <w:rPr>
                <w:rFonts w:cs="" w:cstheme="minorHAnsi"/>
                <w:color w:val="0A3650"/>
              </w:rPr>
            </w:pPr>
            <w:permStart w:id="1979610502" w:edGrp="everyone1"/>
            <w:permStart w:id="1979610502" w:edGrp="everyone"/>
            <w:permStart w:id="354906530" w:edGrp="everyone1"/>
            <w:permStart w:id="354906530" w:edGrp="everyone"/>
            <w:r>
              <w:rPr>
                <w:rFonts w:cs="" w:cstheme="minorHAnsi"/>
                <w:color w:val="0A3650"/>
              </w:rPr>
              <w:t>Waste Minimisation Plan and Costings</w:t>
            </w:r>
            <w:permEnd w:id="1979610502"/>
            <w:permEnd w:id="1979610502"/>
            <w:permEnd w:id="354906530"/>
            <w:permEnd w:id="354906530"/>
          </w:p>
        </w:tc>
      </w:tr>
      <w:tr>
        <w:trPr/>
        <w:tc>
          <w:tcPr>
            <w:tcW w:w="1668" w:type="dxa"/>
            <w:tcBorders/>
          </w:tcPr>
          <w:p>
            <w:pPr>
              <w:pStyle w:val="Normal"/>
              <w:widowControl w:val="false"/>
              <w:spacing w:lineRule="auto" w:line="276" w:before="60" w:after="60"/>
              <w:rPr>
                <w:rFonts w:cs="" w:cstheme="minorHAnsi"/>
                <w:b/>
                <w:b/>
                <w:color w:val="0A3650"/>
              </w:rPr>
            </w:pPr>
            <w:r>
              <w:rPr>
                <w:rFonts w:eastAsia="Calibri" w:cs="" w:ascii="Calibri" w:hAnsi="Calibri" w:cstheme="minorHAnsi"/>
                <w:b/>
                <w:color w:val="0A3650"/>
                <w:kern w:val="0"/>
                <w:sz w:val="20"/>
                <w:szCs w:val="20"/>
                <w:lang w:eastAsia="en-US" w:bidi="ar-SA"/>
              </w:rPr>
              <w:t>Content</w:t>
            </w:r>
          </w:p>
        </w:tc>
        <w:tc>
          <w:tcPr>
            <w:tcW w:w="7573" w:type="dxa"/>
            <w:tcBorders/>
          </w:tcPr>
          <w:p>
            <w:pPr>
              <w:pStyle w:val="Normal"/>
              <w:widowControl w:val="false"/>
              <w:spacing w:lineRule="auto" w:line="276" w:before="60" w:after="60"/>
              <w:rPr>
                <w:rFonts w:cs="" w:cstheme="minorHAnsi"/>
                <w:color w:val="0A3650"/>
              </w:rPr>
            </w:pPr>
            <w:permStart w:id="1971267992" w:edGrp="everyone1"/>
            <w:permStart w:id="1971267992" w:edGrp="everyone"/>
            <w:r>
              <w:rPr>
                <w:rFonts w:cs="" w:cstheme="minorHAnsi"/>
                <w:color w:val="0A3650"/>
              </w:rPr>
              <w:t xml:space="preserve">Hello and thank you again for choosing us, </w:t>
            </w:r>
            <w:permEnd w:id="1971267992"/>
            <w:permEnd w:id="1971267992"/>
          </w:p>
          <w:p>
            <w:pPr>
              <w:pStyle w:val="Normal"/>
              <w:widowControl w:val="false"/>
              <w:spacing w:lineRule="auto" w:line="276" w:before="60" w:after="60"/>
              <w:rPr>
                <w:rFonts w:cs="" w:cstheme="minorHAnsi"/>
                <w:color w:val="0A3650"/>
              </w:rPr>
            </w:pPr>
            <w:r>
              <w:rPr>
                <w:rFonts w:cs="" w:cstheme="minorHAnsi"/>
                <w:color w:val="0A3650"/>
              </w:rPr>
              <w:t>Johnswood 8168</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Here we have included the Waste Minimisation Plan and here we will detail the strategy.</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So for short and long term outcomes, as well as the cost to implement, on top of the cost to maintain, and cost for waste/excess removal/recycling and transport; you will be informed of this also.</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Most of the waste minimisation strategy comes down to organising materials to be recycled, and reused. We have known local recyclers for every major product that we are incorporating into your building.</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Every build process step has been detailed and the potential waste materials have been identified. Many have strategies to be re-used on-site and off-site where appropriate.</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Further, the actual design plan of the build itself is altered in order to improve the overall energy rating. This will come at a cost, like including extra insulation for acoustics between units  as well as shade awnings for the north side during summer.</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The potential cost for the design plan comes down to looking at the scale drawings of the building, listing the particular processes and calculating the cost in labor and product requirements in order to implement the improved design plan.</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This is as follows:</w:t>
              <w:br/>
              <w:br/>
              <w:t>- the aerogel (space grade) insulation can be bought for $10 USD per square metre plus overall shipping, stamp duty, and delivery, so we must order according to the overall size of the walls. There’s no maintenance cost.</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 External precast wall features will have vines grown across them to trap shade and block the sun from the walls. The cost to this is merely time to grow the vines as well as the planter boxes at the wall base and any irrigation it would need, as well as the maintenance cost of trimming the vines when they get too thick or grow in the wrong place.</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 Earthwool acoustic insulation between walls of units, max requires R-2.7</w:t>
            </w:r>
          </w:p>
          <w:p>
            <w:pPr>
              <w:pStyle w:val="Normal"/>
              <w:widowControl w:val="false"/>
              <w:spacing w:lineRule="auto" w:line="276" w:before="60" w:after="60"/>
              <w:rPr>
                <w:rFonts w:cs="" w:cstheme="minorHAnsi"/>
                <w:color w:val="0A3650"/>
              </w:rPr>
            </w:pPr>
            <w:r>
              <w:rPr>
                <w:rFonts w:cs="" w:cstheme="minorHAnsi"/>
                <w:color w:val="0A3650"/>
              </w:rPr>
              <w:t>cost is $130 for a 10 pack of half a metre by a metre, or 6.7 metres squared all up. As you can see aerogel is preferred where acoustic insulation is not essential.</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 xml:space="preserve">- </w:t>
            </w:r>
            <w:r>
              <w:rPr>
                <w:rFonts w:cs="" w:cstheme="minorHAnsi"/>
                <w:color w:val="0A3650"/>
              </w:rPr>
              <w:t xml:space="preserve">skylights, </w:t>
            </w:r>
            <w:r>
              <w:rPr>
                <w:rFonts w:cs="" w:cstheme="minorHAnsi"/>
                <w:color w:val="0A3650"/>
              </w:rPr>
              <w:t xml:space="preserve">these cost around $400-1200 per skylight, and $300-600 per installation, </w:t>
            </w:r>
            <w:r>
              <w:rPr>
                <w:rFonts w:cs="" w:cstheme="minorHAnsi"/>
                <w:color w:val="0A3650"/>
              </w:rPr>
              <w:t>and the upkeep isit will need replacing after 8-15 years.</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 xml:space="preserve">- </w:t>
            </w:r>
            <w:r>
              <w:rPr>
                <w:rFonts w:cs="" w:cstheme="minorHAnsi"/>
                <w:color w:val="0A3650"/>
              </w:rPr>
              <w:t xml:space="preserve">solar hot water services, </w:t>
            </w:r>
            <w:r>
              <w:rPr>
                <w:rFonts w:cs="" w:cstheme="minorHAnsi"/>
                <w:color w:val="0A3650"/>
              </w:rPr>
              <w:t xml:space="preserve">these </w:t>
            </w:r>
            <w:r>
              <w:rPr>
                <w:rFonts w:cs="" w:cstheme="minorHAnsi"/>
                <w:color w:val="0A3650"/>
              </w:rPr>
              <w:t>cost around $3000 per installation which costs around 3-5 times more initially than alternatives, but overall is cheaper as the lifetime of the services lasts around 10-25 years, saving around 3-5 times the initial spend.</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 xml:space="preserve">- </w:t>
            </w:r>
            <w:r>
              <w:rPr>
                <w:rFonts w:cs="" w:cstheme="minorHAnsi"/>
                <w:color w:val="0A3650"/>
              </w:rPr>
              <w:t xml:space="preserve">roof housed water tank, </w:t>
            </w:r>
            <w:r>
              <w:rPr>
                <w:rFonts w:cs="" w:cstheme="minorHAnsi"/>
                <w:color w:val="0A3650"/>
              </w:rPr>
              <w:t xml:space="preserve">roof water tanks can be filled by mains pumps or by rainwater collected and filtered from the roof catchment where around 1000 litres costs around $1000, and 200,000 litres costs around $20,000 whereby the average rainfall is around 650mm per year, or 130,000 litres per 200 square metres when this property is around 50x20 metres or 1000 square metres or around 500,000 litres per year of rainfaill when 150,000 litres costs around $1000 per year, meaning the spend on rainfall catchment takes around </w:t>
            </w:r>
            <w:r>
              <w:rPr>
                <w:rFonts w:cs="" w:cstheme="minorHAnsi"/>
                <w:color w:val="0A3650"/>
              </w:rPr>
              <w:t>6 years to pay pack the initial spend.</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Thank you for your time and consideration, any questions queries or concerns can be forwarded to either email address of the builder or their admin.</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tc>
      </w:tr>
      <w:tr>
        <w:trPr/>
        <w:tc>
          <w:tcPr>
            <w:tcW w:w="1668" w:type="dxa"/>
            <w:tcBorders/>
          </w:tcPr>
          <w:p>
            <w:pPr>
              <w:pStyle w:val="Normal"/>
              <w:widowControl w:val="false"/>
              <w:spacing w:lineRule="auto" w:line="276" w:before="60" w:after="60"/>
              <w:rPr>
                <w:rFonts w:cs="" w:cstheme="minorHAnsi"/>
                <w:b/>
                <w:b/>
                <w:color w:val="0A3650"/>
              </w:rPr>
            </w:pPr>
            <w:r>
              <w:rPr>
                <w:rFonts w:eastAsia="Calibri" w:cs="" w:ascii="Calibri" w:hAnsi="Calibri" w:cstheme="minorHAnsi"/>
                <w:b/>
                <w:color w:val="0A3650"/>
                <w:kern w:val="0"/>
                <w:sz w:val="20"/>
                <w:szCs w:val="20"/>
                <w:lang w:eastAsia="en-US" w:bidi="ar-SA"/>
              </w:rPr>
              <w:t>Attachments</w:t>
            </w:r>
          </w:p>
        </w:tc>
        <w:tc>
          <w:tcPr>
            <w:tcW w:w="7573" w:type="dxa"/>
            <w:tcBorders/>
          </w:tcPr>
          <w:p>
            <w:pPr>
              <w:pStyle w:val="Normal"/>
              <w:widowControl w:val="false"/>
              <w:spacing w:lineRule="auto" w:line="276" w:before="60" w:after="60"/>
              <w:rPr>
                <w:rFonts w:cs="" w:cstheme="minorHAnsi"/>
                <w:color w:val="0A3650"/>
              </w:rPr>
            </w:pPr>
            <w:permStart w:id="870149261" w:edGrp="everyone1"/>
            <w:permStart w:id="870149261" w:edGrp="everyone"/>
            <w:r>
              <w:rPr>
                <w:rFonts w:cs="" w:cstheme="minorHAnsi"/>
                <w:color w:val="0A3650"/>
              </w:rPr>
              <w:t>waste_minimisation_plan_8168.docx</w:t>
            </w:r>
            <w:permEnd w:id="870149261"/>
            <w:permEnd w:id="870149261"/>
          </w:p>
        </w:tc>
      </w:tr>
    </w:tbl>
    <w:p>
      <w:pPr>
        <w:pStyle w:val="Normal"/>
        <w:spacing w:lineRule="auto" w:line="259" w:before="0" w:after="0"/>
        <w:jc w:val="left"/>
        <w:rPr>
          <w:color w:val="auto"/>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AU" w:eastAsia="zh-CN" w:bidi="hi-IN"/>
    </w:rPr>
  </w:style>
  <w:style w:type="paragraph" w:styleId="Heading1">
    <w:name w:val="Heading 1"/>
    <w:basedOn w:val="Normal"/>
    <w:next w:val="Normal"/>
    <w:qFormat/>
    <w:pPr>
      <w:keepNext w:val="true"/>
      <w:keepLines/>
      <w:spacing w:lineRule="auto" w:line="259" w:before="240" w:after="0"/>
      <w:jc w:val="left"/>
      <w:outlineLvl w:val="0"/>
    </w:pPr>
    <w:rPr>
      <w:rFonts w:eastAsia="" w:cs="" w:asciiTheme="majorHAnsi" w:cstheme="majorBidi" w:eastAsiaTheme="majorEastAsia" w:hAnsiTheme="majorHAnsi"/>
      <w:color w:val="2F5496" w:themeColor="accent1" w:themeShade="bf"/>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lineRule="auto" w:line="276" w:before="120" w:after="200"/>
      <w:ind w:left="720" w:hanging="0"/>
      <w:contextualSpacing/>
    </w:pPr>
    <w:rPr>
      <w:rFonts w:eastAsia="SimSun" w:cs="Times New Roman"/>
      <w:lang w:eastAsia="zh-CN"/>
    </w:rPr>
  </w:style>
  <w:style w:type="paragraph" w:styleId="Tablecopy">
    <w:name w:val="table copy"/>
    <w:basedOn w:val="Normal"/>
    <w:qFormat/>
    <w:pPr>
      <w:spacing w:lineRule="auto" w:line="259" w:before="60" w:after="60"/>
      <w:jc w:val="left"/>
    </w:pPr>
    <w:rPr>
      <w:rFonts w:eastAsia="Calibri" w:cs="Times New Roman"/>
      <w:color w:val="auto"/>
    </w:rPr>
  </w:style>
  <w:style w:type="paragraph" w:styleId="BulletsCopy">
    <w:name w:val="Bullets Copy"/>
    <w:basedOn w:val="Normal"/>
    <w:qFormat/>
    <w:pPr>
      <w:ind w:left="302" w:hanging="360"/>
      <w:jc w:val="left"/>
    </w:pPr>
    <w:rPr>
      <w:rFonts w:ascii="Calibri" w:hAnsi="Calibri" w:eastAsia="Calibri" w:cs="Times New Roman"/>
      <w:color w:val="FF0000"/>
      <w:sz w:val="20"/>
      <w:szCs w:val="20"/>
      <w:lang w:val="en-U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cord_keeping@buildingbuildings.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10922</TotalTime>
  <Application>LibreOffice/7.3.0.3$MacOSX_X86_64 LibreOffice_project/0f246aa12d0eee4a0f7adcefbf7c878fc2238db3</Application>
  <AppVersion>15.0000</AppVersion>
  <Pages>4</Pages>
  <Words>876</Words>
  <Characters>4553</Characters>
  <CharactersWithSpaces>5377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2023-09-21T18:17:37Z</dcterms:created>
  <dc:creator/>
  <dc:description/>
  <dc:language>en-AU</dc:language>
  <cp:lastModifiedBy/>
  <dcterms:modified xsi:type="dcterms:W3CDTF">2023-11-02T22:15:20Z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