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DC" w:rsidRPr="001873DC" w:rsidRDefault="001873DC" w:rsidP="001873DC">
      <w:pPr>
        <w:jc w:val="center"/>
        <w:rPr>
          <w:rFonts w:ascii="黑体" w:eastAsia="黑体" w:hAnsi="黑体" w:hint="eastAsia"/>
          <w:sz w:val="44"/>
          <w:szCs w:val="44"/>
        </w:rPr>
      </w:pPr>
      <w:r w:rsidRPr="001873DC">
        <w:rPr>
          <w:rFonts w:ascii="黑体" w:eastAsia="黑体" w:hAnsi="黑体" w:hint="eastAsia"/>
          <w:sz w:val="44"/>
          <w:szCs w:val="44"/>
        </w:rPr>
        <w:t>缓存听牌检测时可共用的</w:t>
      </w:r>
      <w:proofErr w:type="gramStart"/>
      <w:r w:rsidRPr="001873DC">
        <w:rPr>
          <w:rFonts w:ascii="黑体" w:eastAsia="黑体" w:hAnsi="黑体" w:hint="eastAsia"/>
          <w:sz w:val="44"/>
          <w:szCs w:val="44"/>
        </w:rPr>
        <w:t>胡牌</w:t>
      </w:r>
      <w:proofErr w:type="gramEnd"/>
      <w:r w:rsidRPr="001873DC">
        <w:rPr>
          <w:rFonts w:ascii="黑体" w:eastAsia="黑体" w:hAnsi="黑体" w:hint="eastAsia"/>
          <w:sz w:val="44"/>
          <w:szCs w:val="44"/>
        </w:rPr>
        <w:t>组合信息【key=手牌映射值（3N+1）】</w:t>
      </w:r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>性能优化相关文件：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bin\game\common\core\Base\</w:t>
      </w:r>
      <w:proofErr w:type="spellStart"/>
      <w:r>
        <w:rPr>
          <w:rFonts w:hint="eastAsia"/>
        </w:rPr>
        <w:t>CacheManager.lua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【缓存管理类】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bin\game\common\core\Base\</w:t>
      </w:r>
      <w:proofErr w:type="spellStart"/>
      <w:r>
        <w:rPr>
          <w:rFonts w:hint="eastAsia"/>
        </w:rPr>
        <w:t>mahjongUtil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cacheUtils.lua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【缓存方法集】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bin\game\common\core\Base\</w:t>
      </w:r>
      <w:proofErr w:type="spellStart"/>
      <w:r>
        <w:rPr>
          <w:rFonts w:hint="eastAsia"/>
        </w:rPr>
        <w:t>mahjongUtil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CheckUtils.lua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【性能优化方法集】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适用情况：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调用了听牌检测且无特殊将、刻、顺组合，且未使用缓存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组合【</w:t>
      </w:r>
      <w:r>
        <w:rPr>
          <w:rFonts w:hint="eastAsia"/>
        </w:rPr>
        <w:t>key=</w:t>
      </w:r>
      <w:r>
        <w:rPr>
          <w:rFonts w:hint="eastAsia"/>
        </w:rPr>
        <w:t>手牌映射值（</w:t>
      </w:r>
      <w:r>
        <w:rPr>
          <w:rFonts w:hint="eastAsia"/>
        </w:rPr>
        <w:t>3N+1</w:t>
      </w:r>
      <w:r>
        <w:rPr>
          <w:rFonts w:hint="eastAsia"/>
        </w:rPr>
        <w:t>）】缓存逻辑的无癞子麻将。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使用方式</w:t>
      </w:r>
    </w:p>
    <w:p w:rsidR="001873DC" w:rsidRDefault="003D4B6D" w:rsidP="003D4B6D">
      <w:r>
        <w:rPr>
          <w:rFonts w:hint="eastAsia"/>
        </w:rPr>
        <w:t>略</w:t>
      </w:r>
      <w:r w:rsidR="001873DC">
        <w:rPr>
          <w:rFonts w:hint="eastAsia"/>
        </w:rPr>
        <w:t>。</w:t>
      </w:r>
    </w:p>
    <w:p w:rsidR="003D4B6D" w:rsidRDefault="003D4B6D" w:rsidP="003D4B6D">
      <w:pPr>
        <w:rPr>
          <w:rFonts w:hint="eastAsia"/>
        </w:rPr>
      </w:pP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暂无</w:t>
      </w:r>
      <w:bookmarkStart w:id="0" w:name="_GoBack"/>
      <w:bookmarkEnd w:id="0"/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流程解析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该优化方式，主要是</w:t>
      </w:r>
      <w:proofErr w:type="gramStart"/>
      <w:r>
        <w:rPr>
          <w:rFonts w:hint="eastAsia"/>
        </w:rPr>
        <w:t>针对听</w:t>
      </w:r>
      <w:proofErr w:type="gramEnd"/>
      <w:r>
        <w:rPr>
          <w:rFonts w:hint="eastAsia"/>
        </w:rPr>
        <w:t>牌检测中，减少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组合检测的调用次数。所以会分别在听牌检测和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检测的逻辑中</w:t>
      </w:r>
      <w:proofErr w:type="gramStart"/>
      <w:r>
        <w:rPr>
          <w:rFonts w:hint="eastAsia"/>
        </w:rPr>
        <w:t>插入听</w:t>
      </w:r>
      <w:proofErr w:type="gramEnd"/>
      <w:r>
        <w:rPr>
          <w:rFonts w:hint="eastAsia"/>
        </w:rPr>
        <w:t>牌缓存信息的获取和处理逻辑。</w:t>
      </w:r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>以下简要说明缓存信息获取及处理的简要步骤：</w:t>
      </w:r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获取及保存听牌缓存信息（对应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getTingGroupInfoList</w:t>
      </w:r>
      <w:proofErr w:type="spellEnd"/>
      <w:r>
        <w:rPr>
          <w:rFonts w:hint="eastAsia"/>
        </w:rPr>
        <w:t>函数）【调用位置：</w:t>
      </w:r>
      <w:proofErr w:type="spellStart"/>
      <w:r>
        <w:rPr>
          <w:rFonts w:hint="eastAsia"/>
        </w:rPr>
        <w:t>tingUtil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isTing</w:t>
      </w:r>
      <w:proofErr w:type="spellEnd"/>
      <w:r>
        <w:rPr>
          <w:rFonts w:hint="eastAsia"/>
        </w:rPr>
        <w:t>方法】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该逻辑主要分为五个步骤：</w:t>
      </w:r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根据传入的玩家的手牌，获取对应的映射值（可调用</w:t>
      </w:r>
      <w:proofErr w:type="spellStart"/>
      <w:r>
        <w:rPr>
          <w:rFonts w:hint="eastAsia"/>
        </w:rPr>
        <w:t>CacheManager:getMappingValByHandCards</w:t>
      </w:r>
      <w:proofErr w:type="spellEnd"/>
      <w:r>
        <w:rPr>
          <w:rFonts w:hint="eastAsia"/>
        </w:rPr>
        <w:t>获取）；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判断缓存数据中是否已存在该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>的信息，若已存在则直接跳到（</w:t>
      </w:r>
      <w:r>
        <w:rPr>
          <w:rFonts w:hint="eastAsia"/>
        </w:rPr>
        <w:t>5</w:t>
      </w:r>
      <w:r>
        <w:rPr>
          <w:rFonts w:hint="eastAsia"/>
        </w:rPr>
        <w:t>）；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通过传入的</w:t>
      </w:r>
      <w:proofErr w:type="spellStart"/>
      <w:r>
        <w:rPr>
          <w:rFonts w:hint="eastAsia"/>
        </w:rPr>
        <w:t>groupMap</w:t>
      </w:r>
      <w:proofErr w:type="spellEnd"/>
      <w:r>
        <w:rPr>
          <w:rFonts w:hint="eastAsia"/>
        </w:rPr>
        <w:t>参数（默认有将、刻、顺、四人帮），从手牌中获取所有对应的组合（调用</w:t>
      </w:r>
      <w:proofErr w:type="spellStart"/>
      <w:r>
        <w:rPr>
          <w:rFonts w:hint="eastAsia"/>
        </w:rPr>
        <w:t>CacheManager:getGroupInfoList</w:t>
      </w:r>
      <w:proofErr w:type="spellEnd"/>
      <w:r>
        <w:rPr>
          <w:rFonts w:hint="eastAsia"/>
        </w:rPr>
        <w:t>获取）；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将所获得的缓存数据信息保存到指定的变量；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返回对应该手牌</w:t>
      </w:r>
      <w:proofErr w:type="gramStart"/>
      <w:r>
        <w:rPr>
          <w:rFonts w:hint="eastAsia"/>
        </w:rPr>
        <w:t>映射值</w:t>
      </w:r>
      <w:proofErr w:type="gramEnd"/>
      <w:r>
        <w:rPr>
          <w:rFonts w:hint="eastAsia"/>
        </w:rPr>
        <w:t>的缓存数据。</w:t>
      </w:r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听牌缓存信息的处理逻辑（对应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getResultGroupsByCacheTingGroupInfoList</w:t>
      </w:r>
      <w:proofErr w:type="spellEnd"/>
      <w:r>
        <w:rPr>
          <w:rFonts w:hint="eastAsia"/>
        </w:rPr>
        <w:t>函数）【调用位置：</w:t>
      </w:r>
      <w:proofErr w:type="spellStart"/>
      <w:r>
        <w:rPr>
          <w:rFonts w:hint="eastAsia"/>
        </w:rPr>
        <w:t>huUtil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getCardsGroups</w:t>
      </w:r>
      <w:proofErr w:type="spellEnd"/>
      <w:r>
        <w:rPr>
          <w:rFonts w:hint="eastAsia"/>
        </w:rPr>
        <w:t>方法】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该逻辑主要分为六个步骤：</w:t>
      </w:r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params.exParams.tingCheckCacheInfo</w:t>
      </w:r>
      <w:proofErr w:type="spellEnd"/>
      <w:r>
        <w:rPr>
          <w:rFonts w:hint="eastAsia"/>
        </w:rPr>
        <w:t>参数是否存在，若不存在则直接返回</w:t>
      </w:r>
      <w:r>
        <w:rPr>
          <w:rFonts w:hint="eastAsia"/>
        </w:rPr>
        <w:t>nil</w:t>
      </w:r>
      <w:r>
        <w:rPr>
          <w:rFonts w:hint="eastAsia"/>
        </w:rPr>
        <w:t>值，该函数外面会调用默认的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组合检测逻辑；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checkGroupMap</w:t>
      </w:r>
      <w:proofErr w:type="spellEnd"/>
      <w:r>
        <w:rPr>
          <w:rFonts w:hint="eastAsia"/>
        </w:rPr>
        <w:t>函数，判断当前基础牌型所要检测的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组合类型配置，是否包含了不在传入参数中的</w:t>
      </w:r>
      <w:proofErr w:type="spellStart"/>
      <w:r>
        <w:rPr>
          <w:rFonts w:hint="eastAsia"/>
        </w:rPr>
        <w:t>baseGroupMap</w:t>
      </w:r>
      <w:proofErr w:type="spellEnd"/>
      <w:r>
        <w:rPr>
          <w:rFonts w:hint="eastAsia"/>
        </w:rPr>
        <w:t>（对应上文出现的</w:t>
      </w:r>
      <w:proofErr w:type="spellStart"/>
      <w:r>
        <w:rPr>
          <w:rFonts w:hint="eastAsia"/>
        </w:rPr>
        <w:t>groupMap</w:t>
      </w:r>
      <w:proofErr w:type="spellEnd"/>
      <w:r>
        <w:rPr>
          <w:rFonts w:hint="eastAsia"/>
        </w:rPr>
        <w:t>）的组合类型，若不存在则直接返回</w:t>
      </w:r>
      <w:r>
        <w:rPr>
          <w:rFonts w:hint="eastAsia"/>
        </w:rPr>
        <w:t>nil</w:t>
      </w:r>
      <w:r>
        <w:rPr>
          <w:rFonts w:hint="eastAsia"/>
        </w:rPr>
        <w:t>值，该函数外面会调用默认的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组合检测逻辑；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判断缓存数据中，是否已存在对</w:t>
      </w:r>
      <w:proofErr w:type="gramStart"/>
      <w:r>
        <w:rPr>
          <w:rFonts w:hint="eastAsia"/>
        </w:rPr>
        <w:t>应手牌映射值</w:t>
      </w:r>
      <w:proofErr w:type="gramEnd"/>
      <w:r>
        <w:rPr>
          <w:rFonts w:hint="eastAsia"/>
        </w:rPr>
        <w:t>和基础牌型</w:t>
      </w:r>
      <w:r>
        <w:rPr>
          <w:rFonts w:hint="eastAsia"/>
        </w:rPr>
        <w:t>ID</w:t>
      </w:r>
      <w:r>
        <w:rPr>
          <w:rFonts w:hint="eastAsia"/>
        </w:rPr>
        <w:t>的信息，若已存在则直接跳到（</w:t>
      </w:r>
      <w:r>
        <w:rPr>
          <w:rFonts w:hint="eastAsia"/>
        </w:rPr>
        <w:t>5</w:t>
      </w:r>
      <w:r>
        <w:rPr>
          <w:rFonts w:hint="eastAsia"/>
        </w:rPr>
        <w:t>）；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从手牌中移除要胡的牌，然后根据手牌、组合类型配置和听牌缓存信息，找出缺一张牌</w:t>
      </w:r>
      <w:proofErr w:type="gramStart"/>
      <w:r>
        <w:rPr>
          <w:rFonts w:hint="eastAsia"/>
        </w:rPr>
        <w:t>就能胡的胡牌</w:t>
      </w:r>
      <w:proofErr w:type="gramEnd"/>
      <w:r>
        <w:rPr>
          <w:rFonts w:hint="eastAsia"/>
        </w:rPr>
        <w:t>组合信息，然后将要胡的牌加入到手牌中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有点类似缓存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key=</w:t>
      </w:r>
      <w:r>
        <w:rPr>
          <w:rFonts w:hint="eastAsia"/>
        </w:rPr>
        <w:t>手牌映射值（</w:t>
      </w:r>
      <w:r>
        <w:rPr>
          <w:rFonts w:hint="eastAsia"/>
        </w:rPr>
        <w:t>3N+1</w:t>
      </w:r>
      <w:r>
        <w:rPr>
          <w:rFonts w:hint="eastAsia"/>
        </w:rPr>
        <w:t>）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中的第三大点的第</w:t>
      </w:r>
      <w:r>
        <w:rPr>
          <w:rFonts w:hint="eastAsia"/>
        </w:rPr>
        <w:t>1</w:t>
      </w:r>
      <w:r>
        <w:rPr>
          <w:rFonts w:hint="eastAsia"/>
        </w:rPr>
        <w:t>小点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组合信息，调用</w:t>
      </w:r>
      <w:proofErr w:type="spellStart"/>
      <w:r>
        <w:rPr>
          <w:rFonts w:hint="eastAsia"/>
        </w:rPr>
        <w:t>CacheManager:getTotalGroupsByCacheHuGroupsInfos</w:t>
      </w:r>
      <w:proofErr w:type="spellEnd"/>
      <w:r>
        <w:rPr>
          <w:rFonts w:hint="eastAsia"/>
        </w:rPr>
        <w:t>函数，获取所有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跟缓存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key=</w:t>
      </w:r>
      <w:r>
        <w:rPr>
          <w:rFonts w:hint="eastAsia"/>
        </w:rPr>
        <w:t>手牌映射值（</w:t>
      </w:r>
      <w:r>
        <w:rPr>
          <w:rFonts w:hint="eastAsia"/>
        </w:rPr>
        <w:t>3N+1</w:t>
      </w:r>
      <w:r>
        <w:rPr>
          <w:rFonts w:hint="eastAsia"/>
        </w:rPr>
        <w:t>）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中的第三大点的第</w:t>
      </w:r>
      <w:r>
        <w:rPr>
          <w:rFonts w:hint="eastAsia"/>
        </w:rPr>
        <w:t>2</w:t>
      </w:r>
      <w:r>
        <w:rPr>
          <w:rFonts w:hint="eastAsia"/>
        </w:rPr>
        <w:t>小点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返回所有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组合。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特点分析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优点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在听牌检测中，会减少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组合检测函数的调用次数；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具有可扩展性，对于</w:t>
      </w:r>
      <w:proofErr w:type="gramStart"/>
      <w:r>
        <w:rPr>
          <w:rFonts w:hint="eastAsia"/>
        </w:rPr>
        <w:t>特殊将刻顺</w:t>
      </w:r>
      <w:proofErr w:type="gramEnd"/>
      <w:r>
        <w:rPr>
          <w:rFonts w:hint="eastAsia"/>
        </w:rPr>
        <w:t>组合类型，可以通过判断是否启用某规则</w:t>
      </w:r>
      <w:r>
        <w:rPr>
          <w:rFonts w:hint="eastAsia"/>
        </w:rPr>
        <w:t>ID</w:t>
      </w:r>
      <w:r>
        <w:rPr>
          <w:rFonts w:hint="eastAsia"/>
        </w:rPr>
        <w:t>，来扩展</w:t>
      </w:r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>中相应的组合校验函数；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由于目前是一局结束后，立即清除缓存，所以不会造成多局后运行内存增长过快的情况。</w:t>
      </w:r>
    </w:p>
    <w:p w:rsidR="001873DC" w:rsidRDefault="001873DC" w:rsidP="001873DC"/>
    <w:p w:rsidR="001873DC" w:rsidRDefault="001873DC" w:rsidP="001873D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缺点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跟缓存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组合【</w:t>
      </w:r>
      <w:r>
        <w:rPr>
          <w:rFonts w:hint="eastAsia"/>
        </w:rPr>
        <w:t>key=</w:t>
      </w:r>
      <w:r>
        <w:rPr>
          <w:rFonts w:hint="eastAsia"/>
        </w:rPr>
        <w:t>手牌映射值（</w:t>
      </w:r>
      <w:r>
        <w:rPr>
          <w:rFonts w:hint="eastAsia"/>
        </w:rPr>
        <w:t>3N+1</w:t>
      </w:r>
      <w:r>
        <w:rPr>
          <w:rFonts w:hint="eastAsia"/>
        </w:rPr>
        <w:t>）】同时使用时，会造成部分缓存逻辑和数据上的重叠，可能导致</w:t>
      </w:r>
      <w:proofErr w:type="gramStart"/>
      <w:r>
        <w:rPr>
          <w:rFonts w:hint="eastAsia"/>
        </w:rPr>
        <w:t>胡牌</w:t>
      </w:r>
      <w:proofErr w:type="gramEnd"/>
      <w:r>
        <w:rPr>
          <w:rFonts w:hint="eastAsia"/>
        </w:rPr>
        <w:t>检测的耗时增加。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当前优化只针对无</w:t>
      </w:r>
      <w:proofErr w:type="gramStart"/>
      <w:r>
        <w:rPr>
          <w:rFonts w:hint="eastAsia"/>
        </w:rPr>
        <w:t>癞子且普通</w:t>
      </w:r>
      <w:proofErr w:type="gramEnd"/>
      <w:r>
        <w:rPr>
          <w:rFonts w:hint="eastAsia"/>
        </w:rPr>
        <w:t>的将、刻、顺组合类型的麻将，至于有特殊的顺子（如</w:t>
      </w:r>
      <w:r>
        <w:rPr>
          <w:rFonts w:hint="eastAsia"/>
        </w:rPr>
        <w:t xml:space="preserve"> </w:t>
      </w:r>
      <w:r>
        <w:rPr>
          <w:rFonts w:hint="eastAsia"/>
        </w:rPr>
        <w:t>风牌可以</w:t>
      </w:r>
      <w:proofErr w:type="gramStart"/>
      <w:r>
        <w:rPr>
          <w:rFonts w:hint="eastAsia"/>
        </w:rPr>
        <w:t>组合成顺子</w:t>
      </w:r>
      <w:proofErr w:type="gramEnd"/>
      <w:r>
        <w:rPr>
          <w:rFonts w:hint="eastAsia"/>
        </w:rPr>
        <w:t>）的麻将，会出现组合检测不全的情况。若有该特殊顺子组合的麻将要使用该优化逻辑，需要对优化逻辑进行扩展。</w:t>
      </w:r>
    </w:p>
    <w:p w:rsidR="001873DC" w:rsidRDefault="001873DC" w:rsidP="001873D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其他</w:t>
      </w:r>
    </w:p>
    <w:p w:rsidR="000F722E" w:rsidRPr="001873DC" w:rsidRDefault="001873DC" w:rsidP="001873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对于不调听牌检测函数的麻将，并无性能上的提升（如</w:t>
      </w:r>
      <w:r>
        <w:rPr>
          <w:rFonts w:hint="eastAsia"/>
        </w:rPr>
        <w:t xml:space="preserve"> </w:t>
      </w:r>
      <w:r>
        <w:rPr>
          <w:rFonts w:hint="eastAsia"/>
        </w:rPr>
        <w:t>福建泉州麻将）。</w:t>
      </w:r>
    </w:p>
    <w:sectPr w:rsidR="000F722E" w:rsidRPr="001873DC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18" w:right="1077" w:bottom="1440" w:left="1264" w:header="284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936" w:rsidRDefault="001B1936">
      <w:pPr>
        <w:spacing w:line="240" w:lineRule="auto"/>
      </w:pPr>
      <w:r>
        <w:separator/>
      </w:r>
    </w:p>
  </w:endnote>
  <w:endnote w:type="continuationSeparator" w:id="0">
    <w:p w:rsidR="001B1936" w:rsidRDefault="001B1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0001F2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0001F2" w:rsidRDefault="000001F2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3D4B6D" w:rsidRPr="003D4B6D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3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3D4B6D" w:rsidRPr="003D4B6D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3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0001F2" w:rsidRDefault="000001F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A06D83" w:rsidTr="002C6700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A06D8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3D4B6D" w:rsidRPr="003D4B6D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3D4B6D" w:rsidRPr="003D4B6D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3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A06D83" w:rsidRDefault="00A06D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936" w:rsidRDefault="001B1936">
      <w:pPr>
        <w:spacing w:line="240" w:lineRule="auto"/>
      </w:pPr>
      <w:r>
        <w:separator/>
      </w:r>
    </w:p>
  </w:footnote>
  <w:footnote w:type="continuationSeparator" w:id="0">
    <w:p w:rsidR="001B1936" w:rsidRDefault="001B19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257D7A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257D7A" w:rsidRPr="00D95903" w:rsidRDefault="005D7990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57D7A"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57D7A" w:rsidRPr="00A252B8" w:rsidRDefault="00257D7A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257D7A" w:rsidRPr="00A252B8" w:rsidRDefault="00257D7A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0001F2" w:rsidRDefault="000001F2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A06D83" w:rsidRPr="00D97246" w:rsidTr="002C6700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A06D83" w:rsidRPr="00D95903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06D83" w:rsidRPr="00A252B8" w:rsidRDefault="00A06D83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A06D83" w:rsidRPr="00A252B8" w:rsidRDefault="00A06D83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 w:rsidR="00683A34"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A06D83" w:rsidRDefault="00A06D8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1E"/>
    <w:rsid w:val="000001F2"/>
    <w:rsid w:val="00016CBC"/>
    <w:rsid w:val="000253A9"/>
    <w:rsid w:val="0006163C"/>
    <w:rsid w:val="0009281E"/>
    <w:rsid w:val="000E1C6D"/>
    <w:rsid w:val="000F722E"/>
    <w:rsid w:val="00186842"/>
    <w:rsid w:val="001873DC"/>
    <w:rsid w:val="0019515F"/>
    <w:rsid w:val="00197B74"/>
    <w:rsid w:val="001A0832"/>
    <w:rsid w:val="001B1936"/>
    <w:rsid w:val="001D5CE4"/>
    <w:rsid w:val="00214580"/>
    <w:rsid w:val="002440B9"/>
    <w:rsid w:val="002564A8"/>
    <w:rsid w:val="00257D7A"/>
    <w:rsid w:val="00300F0F"/>
    <w:rsid w:val="00333E18"/>
    <w:rsid w:val="003B2BD0"/>
    <w:rsid w:val="003C7CC0"/>
    <w:rsid w:val="003D4B6D"/>
    <w:rsid w:val="003E6E01"/>
    <w:rsid w:val="00406156"/>
    <w:rsid w:val="004142B1"/>
    <w:rsid w:val="00445B34"/>
    <w:rsid w:val="0050473B"/>
    <w:rsid w:val="00516B4A"/>
    <w:rsid w:val="00581DC1"/>
    <w:rsid w:val="00592769"/>
    <w:rsid w:val="005A2FD6"/>
    <w:rsid w:val="005A6236"/>
    <w:rsid w:val="005D2B64"/>
    <w:rsid w:val="005D7990"/>
    <w:rsid w:val="005E29F1"/>
    <w:rsid w:val="00602F46"/>
    <w:rsid w:val="00634676"/>
    <w:rsid w:val="00655A76"/>
    <w:rsid w:val="0067085C"/>
    <w:rsid w:val="00683A34"/>
    <w:rsid w:val="006D0C6B"/>
    <w:rsid w:val="00704F33"/>
    <w:rsid w:val="007053F5"/>
    <w:rsid w:val="0079049E"/>
    <w:rsid w:val="007B5DDB"/>
    <w:rsid w:val="007C47EB"/>
    <w:rsid w:val="00800A18"/>
    <w:rsid w:val="00807F86"/>
    <w:rsid w:val="00823354"/>
    <w:rsid w:val="008265FA"/>
    <w:rsid w:val="008F7C80"/>
    <w:rsid w:val="00987EC3"/>
    <w:rsid w:val="00A06800"/>
    <w:rsid w:val="00A06D83"/>
    <w:rsid w:val="00A84548"/>
    <w:rsid w:val="00AA49E4"/>
    <w:rsid w:val="00AC79EB"/>
    <w:rsid w:val="00AD4565"/>
    <w:rsid w:val="00AE43CC"/>
    <w:rsid w:val="00AE53C0"/>
    <w:rsid w:val="00B74F28"/>
    <w:rsid w:val="00BB1575"/>
    <w:rsid w:val="00C638C3"/>
    <w:rsid w:val="00C71E01"/>
    <w:rsid w:val="00CB4A4F"/>
    <w:rsid w:val="00D9713B"/>
    <w:rsid w:val="00DC4311"/>
    <w:rsid w:val="00DF3B10"/>
    <w:rsid w:val="00E86319"/>
    <w:rsid w:val="00E9716C"/>
    <w:rsid w:val="00ED78A7"/>
    <w:rsid w:val="00F54438"/>
    <w:rsid w:val="00F9554F"/>
    <w:rsid w:val="00FD429A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D96DF06-B3E4-4F85-9C48-88E85760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2880F-C078-4DC2-A2A9-01AA8CA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张锦</dc:creator>
  <cp:keywords/>
  <dc:description/>
  <cp:lastModifiedBy>张锦</cp:lastModifiedBy>
  <cp:revision>4</cp:revision>
  <cp:lastPrinted>2006-06-18T16:37:00Z</cp:lastPrinted>
  <dcterms:created xsi:type="dcterms:W3CDTF">2018-11-19T08:38:00Z</dcterms:created>
  <dcterms:modified xsi:type="dcterms:W3CDTF">2018-11-19T08:43:00Z</dcterms:modified>
</cp:coreProperties>
</file>