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指標上，本框架之</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relevance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分別達</w:t>
      </w:r>
      <w:r>
        <w:rPr>
          <w:rFonts w:eastAsia="標楷體" w:hint="eastAsia" w:ascii="Times New Roman" w:hAnsi="Times New Roman" w:cs="Times New Roman"/>
          <w:sz w:val="20"/>
        </w:rPr>
        <w:t xml:space="preserve"> 0.86</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0.83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0.64</w:t>
      </w:r>
      <w:r>
        <w:rPr>
          <w:rFonts w:eastAsia="標楷體" w:hint="eastAsia" w:ascii="Times New Roman" w:hAnsi="Times New Roman" w:cs="Times New Roman"/>
          <w:sz w:val="20"/>
        </w:rPr>
        <w:t>（皆介於</w:t>
      </w:r>
      <w:r>
        <w:rPr>
          <w:rFonts w:eastAsia="標楷體" w:hint="eastAsia" w:ascii="Times New Roman" w:hAnsi="Times New Roman" w:cs="Times New Roman"/>
          <w:sz w:val="20"/>
        </w:rPr>
        <w:t xml:space="preserve"> 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w:t>
      </w:r>
      <w:r>
        <w:rPr>
          <w:rFonts w:eastAsia="標楷體" w:hint="eastAsia" w:ascii="Times New Roman" w:hAnsi="Times New Roman" w:cs="Times New Roman"/>
          <w:sz w:val="20"/>
        </w:rPr>
        <w:t>，越接近</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越好），均優於基準。消融分析顯示，多階段提示詞為整合框架中單項貢獻最大之一環（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轉移至輕量化學生模型（現行基底為 gemma-4-31B-it，Google 釋出之開放權重大型語言模型）</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）格式、過濾錯誤樣本等前處理，整理為微調資料集，以該批資料對學生模型（gemma-4-31B-it）進行監督式微調</w:t>
      </w:r>
      <w:r>
        <w:rPr>
          <w:rFonts w:eastAsia="標楷體" w:hint="eastAsia" w:ascii="Times New Roman" w:hAnsi="Times New Roman" w:cs="Times New Roman"/>
          <w:sz w:val="20"/>
        </w:rPr>
        <w:t/>
      </w:r>
      <w:r>
        <w:rPr>
          <w:rFonts w:eastAsia="標楷體" w:hint="eastAsia" w:ascii="Times New Roman" w:hAnsi="Times New Roman" w:cs="Times New Roman"/>
          <w:sz w:val="20"/>
        </w:rPr>
        <w:t>（</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），使其學習教師之輸出分佈與推理模式以逼近教師效能。微調採低秩適應：僅針對少量低秩適配器（LoRA adapter）參數進行更新，使 30B 等級之模型亦可於有限硬體下高效訓練；視部署硬體之記憶體條件，模型權重可先以 4-bit 量化載入（QLoRA，本文表一至表三之實驗配置採此）或直接以 bf16 載入訓練（現行基底採此）。訓練後 LoRA 適配器保持未與基座合併，以保留動態切換之彈性。</w:t>
      </w:r>
      <w:proofErr w:type="gramStart"/>
      <w:r>
        <w:rPr>
          <w:rFonts w:eastAsia="標楷體" w:hint="eastAsia" w:ascii="Times New Roman" w:hAnsi="Times New Roman" w:cs="Times New Roman"/>
          <w:sz w:val="20"/>
        </w:rPr>
        <w:t/>
      </w:r>
      <w:proofErr w:type="gramEnd"/>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 gemma-4-31B-it 與訓練完成之 LoRA 權重</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提示詞送入經 LoRA 微調之 gemma-4-31B-it 模型執行</w:t>
      </w:r>
      <w:proofErr w:type="gramEnd"/>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 GitHub Actions CI/CD，於 Pull Request 事件對整份 PR 執行端到端審查：逐一就各變更檔產生多階段審查、彙整為行內 finding 與一則 PR 級摘要留言，並由上述 JudgeStep 裁決映射為合併閘門，此端到端整份 PR 審查為本框架之工程貢獻。</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為確保評估之客觀性，評審工作由獨立於本框架審查模型之外部大型語言模型（如 GPT-5）擔任</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Qwen3-Coder-30B</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Qwen3</w:t>
            </w:r>
            <w:r w:rsidR="005365A7" w:rsidRPr="005365A7">
              <w:rPr>
                <w:rFonts w:eastAsia="標楷體" w:hint="eastAsia"/>
                <w:bCs/>
                <w:sz w:val="14"/>
                <w:szCs w:val="14"/>
              </w:rPr>
              <w:t xml:space="preserve"> </w:t>
            </w:r>
            <w:r w:rsidRPr="005365A7">
              <w:rPr>
                <w:rFonts w:eastAsia="標楷體" w:hint="eastAsia" w:ascii="Times New Roman" w:hAnsi="Times New Roman" w:cs="Times New Roman"/>
                <w:bCs/>
                <w:sz w:val="14"/>
                <w:szCs w:val="14"/>
              </w:rPr>
              <w:t>7B</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Qwen2.5</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Coder</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0.64</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0.83</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所提出之整合框架</w:t>
      </w:r>
      <w:r>
        <w:rPr>
          <w:rFonts w:eastAsia="標楷體" w:hint="eastAsia" w:ascii="Times New Roman" w:hAnsi="Times New Roman" w:cs="Times New Roman"/>
          <w:sz w:val="20"/>
        </w:rPr>
        <w:t>相較</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，在</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0.86 vs 0.67</w:t>
      </w:r>
      <w:r>
        <w:rPr>
          <w:rFonts w:eastAsia="標楷體" w:hint="eastAsia" w:ascii="Times New Roman" w:hAnsi="Times New Roman" w:cs="Times New Roman"/>
          <w:sz w:val="20"/>
        </w:rPr>
        <w:t>）、</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w:t>
      </w:r>
      <w:r>
        <w:rPr>
          <w:rFonts w:eastAsia="標楷體" w:hint="eastAsia" w:ascii="Times New Roman" w:hAnsi="Times New Roman" w:cs="Times New Roman"/>
          <w:sz w:val="20"/>
        </w:rPr>
        <w:t>0.64 vs 0.57</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w:t>
      </w:r>
      <w:r>
        <w:rPr>
          <w:rFonts w:eastAsia="標楷體" w:hint="eastAsia" w:ascii="Times New Roman" w:hAnsi="Times New Roman" w:cs="Times New Roman"/>
          <w:sz w:val="20"/>
        </w:rPr>
        <w:t>（</w:t>
      </w:r>
      <w:r>
        <w:rPr>
          <w:rFonts w:eastAsia="標楷體" w:hint="eastAsia" w:ascii="Times New Roman" w:hAnsi="Times New Roman" w:cs="Times New Roman"/>
          <w:sz w:val="20"/>
        </w:rPr>
        <w:t>0.83 vs 0.63</w:t>
      </w:r>
      <w:r>
        <w:rPr>
          <w:rFonts w:eastAsia="標楷體" w:hint="eastAsia" w:ascii="Times New Roman" w:hAnsi="Times New Roman" w:cs="Times New Roman"/>
          <w:sz w:val="20"/>
        </w:rPr>
        <w:t>）三個面向皆明顯提升（表一，三項皆介於 0 至 1，越接近 1 越好）</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，其中以完整性之增幅最為明顯：</w:t>
      </w:r>
      <w:r>
        <w:rPr>
          <w:rFonts w:eastAsia="標楷體" w:hint="eastAsia" w:ascii="Times New Roman" w:hAnsi="Times New Roman" w:cs="Times New Roman"/>
          <w:sz w:val="20"/>
        </w:rPr>
        <w:t xml:space="preserve">0.86 </w:t>
      </w:r>
      <w:r>
        <w:rPr>
          <w:rFonts w:eastAsia="標楷體" w:hint="eastAsia" w:ascii="Times New Roman" w:hAnsi="Times New Roman" w:cs="Times New Roman"/>
          <w:sz w:val="20"/>
        </w:rPr>
        <w:t>對</w:t>
      </w:r>
      <w:r>
        <w:rPr>
          <w:rFonts w:eastAsia="標楷體" w:hint="eastAsia" w:ascii="Times New Roman" w:hAnsi="Times New Roman" w:cs="Times New Roman"/>
          <w:sz w:val="20"/>
        </w:rPr>
        <w:t xml:space="preserve"> 0.67 </w:t>
      </w:r>
      <w:r>
        <w:rPr>
          <w:rFonts w:eastAsia="標楷體" w:hint="eastAsia" w:ascii="Times New Roman" w:hAnsi="Times New Roman" w:cs="Times New Roman"/>
          <w:sz w:val="20"/>
        </w:rPr>
        <w:t>代表</w:t>
      </w:r>
      <w:proofErr w:type="gramStart"/>
      <w:r>
        <w:rPr>
          <w:rFonts w:eastAsia="標楷體" w:hint="eastAsia" w:ascii="Times New Roman" w:hAnsi="Times New Roman" w:cs="Times New Roman"/>
          <w:sz w:val="20"/>
        </w:rPr>
        <w:t>更少漏看</w:t>
      </w:r>
      <w:proofErr w:type="gramEnd"/>
      <w:r>
        <w:rPr>
          <w:rFonts w:eastAsia="標楷體" w:hint="eastAsia" w:ascii="Times New Roman" w:hAnsi="Times New Roman" w:cs="Times New Roman"/>
          <w:sz w:val="20"/>
        </w:rPr>
        <w:t>真正該提的問題，此即多階段拆解、</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規則注入與微調整合後的整體效果。</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量化評估，所提框架於完整性、簡潔性與相關性面向均優於基準（表一：0.86 / 0.64 / 0.83 對 0.67 / 0.57 / 0.63）</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，並由人工評分交叉驗證。消融分析則將此成效分解為各元件之貢獻：多階段流程之結構化設計為單項貢獻最大之一環（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規則注入之貢獻（所有結果皆於檢索層啟用之配置下取得），此等統計穩健性與模組級消融之檢驗，連同上列各項，均留待後續逐項驗證；另，跨模型重放之第一步已完成——框架基底現已更換為 gemma-4-31B-it 並加掛專屬 LoRA 轉接器，於同一 44 筆基準資料與同一管線端到端重放並歸檔逐案輸出，本文表一至表三之數字均屬前代學生模型配置（如表一欄名所列）之結果，gemma 系列之評審評分尚未執行，本文不引用其分數，其量化比較仍屬未來工作。</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