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Incident handler's journal</w:t>
      </w:r>
    </w:p>
    <w:p w:rsidR="00000000" w:rsidDel="00000000" w:rsidP="00000000" w:rsidRDefault="00000000" w:rsidRPr="00000000" w14:paraId="0000000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You can also use this journal as a way to log the key takeaways about the different cybersecurity tools or concepts you encounter in this course.</w:t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1F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3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5B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79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98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B6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bookmarkStart w:colFirst="0" w:colLast="0" w:name="_x4etn4i8hw8t" w:id="0"/>
      <w:bookmarkEnd w:id="0"/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Need another journal entry template?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you want to add more journal entries, please copy one of the tables above and paste it into the template to use for future entries.</w:t>
      </w:r>
    </w:p>
    <w:p w:rsidR="00000000" w:rsidDel="00000000" w:rsidP="00000000" w:rsidRDefault="00000000" w:rsidRPr="00000000" w14:paraId="000000B9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Reflections/Notes: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additional notes.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/>
      <w:drawing>
        <wp:inline distB="19050" distT="19050" distL="19050" distR="19050">
          <wp:extent cx="820591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