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_______________________________________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4"/>
        </w:rPr>
        <w:t>КТ №11. Автоматизированное тестирование с Robot Framework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Дата: 2026-10-10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задания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Реализовать ровно 10 различимых тест-кейсов на native синтаксисе Robot Framework с SeleniumLibrary, keyword-driven архитектурой, локальным приложением и стандартными отчётами Robot Framework.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Презентация cloud.ithub.ru (КТ11) без авторизации недоступна; полное соответствие скрытым слайдам не утверждается.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Обзор Robot Framework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Robot Framework — keyword-driven фреймворк приёмочного тестирования. Тесты описываются в файлах .robot секциями Settings, Variables, Test Cases, Keywords. Отчёты: output.xml (машиночитаемый), log.html (детальный лог), report.html (сводка).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SeleniumLibrary и keyword-driven архитектура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SeleniumLibrary предоставляет ключевые слова браузерной автоматизации (Open Browser, Click Element, Select Frame, Switch Window и др.). Высокоуровневые ключевые слова вынесены в resources: Open Test Application, Submit Registration Form, Verify Form Validation, Open Secondary Tab, Return To Main Page, Interact Inside Demo Iframe.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Python-хелпер FixtureServer.py используется только для локального HTTP (динамический порт) — логика проверок остаётся в .robot файлах.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Среда и версии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10; Python 3.13.2; Robot Framework 7.5; SeleniumLibrary 6.9.0; Selenium 4.50.0; Chrome. Зависимости: robot/requirements.txt (selenium зафиксирован на 4.50.0, чтобы не ломать KT01–KT10).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Тестовое приложение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Локальные HTML-страницы robot/fixtures/: навигация, форма, checkbox/radio/dropdown, iframe, вторичная вкладка, динамический статус. Без публичных сайтов и VPN.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Таблица из 10 тест-кейсов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ID</w:t>
            </w:r>
          </w:p>
        </w:tc>
        <w:tc>
          <w:tcPr>
            <w:tcW w:type="dxa" w:w="2493"/>
          </w:tcPr>
          <w:p>
            <w:r>
              <w:t>Сценарий</w:t>
            </w:r>
          </w:p>
        </w:tc>
        <w:tc>
          <w:tcPr>
            <w:tcW w:type="dxa" w:w="2493"/>
          </w:tcPr>
          <w:p>
            <w:r>
              <w:t>Статус</w:t>
            </w:r>
          </w:p>
        </w:tc>
        <w:tc>
          <w:tcPr>
            <w:tcW w:type="dxa" w:w="2493"/>
          </w:tcPr>
          <w:p>
            <w:r>
              <w:t>с</w:t>
            </w:r>
          </w:p>
        </w:tc>
      </w:tr>
      <w:tr>
        <w:tc>
          <w:tcPr>
            <w:tcW w:type="dxa" w:w="2493"/>
          </w:tcPr>
          <w:p>
            <w:r>
              <w:t>TC-11-01</w:t>
            </w:r>
          </w:p>
        </w:tc>
        <w:tc>
          <w:tcPr>
            <w:tcW w:type="dxa" w:w="2493"/>
          </w:tcPr>
          <w:p>
            <w:r>
              <w:t>Page opens / title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2.74</w:t>
            </w:r>
          </w:p>
        </w:tc>
      </w:tr>
      <w:tr>
        <w:tc>
          <w:tcPr>
            <w:tcW w:type="dxa" w:w="2493"/>
          </w:tcPr>
          <w:p>
            <w:r>
              <w:t>TC-11-02</w:t>
            </w:r>
          </w:p>
        </w:tc>
        <w:tc>
          <w:tcPr>
            <w:tcW w:type="dxa" w:w="2493"/>
          </w:tcPr>
          <w:p>
            <w:r>
              <w:t>Navigation link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2.80</w:t>
            </w:r>
          </w:p>
        </w:tc>
      </w:tr>
      <w:tr>
        <w:tc>
          <w:tcPr>
            <w:tcW w:type="dxa" w:w="2493"/>
          </w:tcPr>
          <w:p>
            <w:r>
              <w:t>TC-11-03</w:t>
            </w:r>
          </w:p>
        </w:tc>
        <w:tc>
          <w:tcPr>
            <w:tcW w:type="dxa" w:w="2493"/>
          </w:tcPr>
          <w:p>
            <w:r>
              <w:t>Valid form submit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2.81</w:t>
            </w:r>
          </w:p>
        </w:tc>
      </w:tr>
      <w:tr>
        <w:tc>
          <w:tcPr>
            <w:tcW w:type="dxa" w:w="2493"/>
          </w:tcPr>
          <w:p>
            <w:r>
              <w:t>TC-11-04</w:t>
            </w:r>
          </w:p>
        </w:tc>
        <w:tc>
          <w:tcPr>
            <w:tcW w:type="dxa" w:w="2493"/>
          </w:tcPr>
          <w:p>
            <w:r>
              <w:t>Invalid form rejected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2.81</w:t>
            </w:r>
          </w:p>
        </w:tc>
      </w:tr>
      <w:tr>
        <w:tc>
          <w:tcPr>
            <w:tcW w:type="dxa" w:w="2493"/>
          </w:tcPr>
          <w:p>
            <w:r>
              <w:t>TC-11-05</w:t>
            </w:r>
          </w:p>
        </w:tc>
        <w:tc>
          <w:tcPr>
            <w:tcW w:type="dxa" w:w="2493"/>
          </w:tcPr>
          <w:p>
            <w:r>
              <w:t>Checkbox select/deselect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2.78</w:t>
            </w:r>
          </w:p>
        </w:tc>
      </w:tr>
      <w:tr>
        <w:tc>
          <w:tcPr>
            <w:tcW w:type="dxa" w:w="2493"/>
          </w:tcPr>
          <w:p>
            <w:r>
              <w:t>TC-11-06</w:t>
            </w:r>
          </w:p>
        </w:tc>
        <w:tc>
          <w:tcPr>
            <w:tcW w:type="dxa" w:w="2493"/>
          </w:tcPr>
          <w:p>
            <w:r>
              <w:t>Radio button selection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2.79</w:t>
            </w:r>
          </w:p>
        </w:tc>
      </w:tr>
      <w:tr>
        <w:tc>
          <w:tcPr>
            <w:tcW w:type="dxa" w:w="2493"/>
          </w:tcPr>
          <w:p>
            <w:r>
              <w:t>TC-11-07</w:t>
            </w:r>
          </w:p>
        </w:tc>
        <w:tc>
          <w:tcPr>
            <w:tcW w:type="dxa" w:w="2493"/>
          </w:tcPr>
          <w:p>
            <w:r>
              <w:t>Dropdown selection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2.80</w:t>
            </w:r>
          </w:p>
        </w:tc>
      </w:tr>
      <w:tr>
        <w:tc>
          <w:tcPr>
            <w:tcW w:type="dxa" w:w="2493"/>
          </w:tcPr>
          <w:p>
            <w:r>
              <w:t>TC-11-08</w:t>
            </w:r>
          </w:p>
        </w:tc>
        <w:tc>
          <w:tcPr>
            <w:tcW w:type="dxa" w:w="2493"/>
          </w:tcPr>
          <w:p>
            <w:r>
              <w:t>Iframe interact + return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2.82</w:t>
            </w:r>
          </w:p>
        </w:tc>
      </w:tr>
      <w:tr>
        <w:tc>
          <w:tcPr>
            <w:tcW w:type="dxa" w:w="2493"/>
          </w:tcPr>
          <w:p>
            <w:r>
              <w:t>TC-11-09</w:t>
            </w:r>
          </w:p>
        </w:tc>
        <w:tc>
          <w:tcPr>
            <w:tcW w:type="dxa" w:w="2493"/>
          </w:tcPr>
          <w:p>
            <w:r>
              <w:t>New tab switch + return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2.88</w:t>
            </w:r>
          </w:p>
        </w:tc>
      </w:tr>
      <w:tr>
        <w:tc>
          <w:tcPr>
            <w:tcW w:type="dxa" w:w="2493"/>
          </w:tcPr>
          <w:p>
            <w:r>
              <w:t>TC-11-10</w:t>
            </w:r>
          </w:p>
        </w:tc>
        <w:tc>
          <w:tcPr>
            <w:tcW w:type="dxa" w:w="2493"/>
          </w:tcPr>
          <w:p>
            <w:r>
              <w:t>Dynamic UI update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2.77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Пример кода .robot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*** Test Cases ***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TC-11-03 Valid Form Submission Succeeds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   [Tags]    KT11    form    positive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   Open Registration Page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   Submit Registration Form    Анна Тестова    anna.kt11@example.com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   Verify Form Accepted    Анна Тестова    anna.kt11@example.com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   Capture Scenario Screenshot    03_form_valid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Переиспользуемые keywords и resources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common.resource — Suite Bootstrap/Teardown, Open/Close Test Application, скриншоты. pages.resource — страничные keywords (формы, iframe, вкладки, dynamic).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.\scripts\run_kt11.ps1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.\.venv\Scripts\python.exe -m robot --outputdir robot\artifacts\kt11 robot\tests\kt11.robot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Фактические результаты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Dry-run: 10 tests discovered. Diagnostic TC-11-01: PASS.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Полный suite: 10 tests, 10 passed, 0 failed; elapsed ≈ 28.39 с.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10 tests, 10 passed, 0 failed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SUITE PASS elapsed= 28.389725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Артефакты: output.xml, log.html, report.html, xunit.xml в robot/artifacts/kt11/.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10–11. Скриншоты браузера и отчётов Robot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_tit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Home / title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avigation_regis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Навигация на регистрацию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orm_val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Валидная форма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form_inval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Ошибка валидации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heckbo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Checkbox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ad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Radio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ropdow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Dropdown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ifra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IFrame host после взаимодействия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econdary_ta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9 — Вторичная вкладка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dynamic_upda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10 — Динамический статус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robot_repo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11 — Robot report.html (10 passed)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robot_lo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12 — Robot log.html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12. Заключение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КТ 11 выполнена: 10 native Robot-тестов, SeleniumLibrary, keyword-driven resources, локальные фикстуры, suite 10/10 PASS (~28.4 с), отчёты Robot и DOCX. KT12 не начиналась.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