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4"/>
        </w:rPr>
        <w:t>Дисциплина: Модульное тестирование веб-приложений</w:t>
      </w:r>
    </w:p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4"/>
        </w:rPr>
        <w:t>Студент: Прилепов Никита Алексеевич</w:t>
      </w:r>
    </w:p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4"/>
        </w:rPr>
        <w:t>Группа: 4P1.23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after="120"/>
        <w:jc w:val="center"/>
      </w:pPr>
      <w:r>
        <w:rPr>
          <w:rFonts w:ascii="Times New Roman" w:hAnsi="Times New Roman" w:eastAsia="Times New Roman"/>
          <w:b/>
          <w:sz w:val="24"/>
        </w:rPr>
        <w:t>КТ №11. Автоматизированное тестирование с Robot Framework</w:t>
      </w:r>
    </w:p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4"/>
        </w:rPr>
        <w:t>Отчёт по контрольной точке</w:t>
      </w:r>
    </w:p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4"/>
        </w:rPr>
        <w:t>Дата: 2026-10-10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1. Цель задания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Реализовать ровно 10 различимых тест-кейсов на native синтаксисе Robot Framework с SeleniumLibrary, keyword-driven архитектурой, локальным приложением и стандартными отчётами Robot Framework.</w:t>
      </w:r>
    </w:p>
    <w:p>
      <w:pPr>
        <w:spacing w:after="120"/>
      </w:pPr>
      <w:r>
        <w:rPr>
          <w:rFonts w:ascii="Times New Roman" w:hAnsi="Times New Roman" w:eastAsia="Times New Roman"/>
          <w:b/>
          <w:sz w:val="24"/>
        </w:rPr>
        <w:t>Презентация cloud.ithub.ru (КТ11) без авторизации недоступна; полное соответствие скрытым слайдам не утверждается.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2. Обзор Robot Framework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Robot Framework — keyword-driven фреймворк приёмочного тестирования. Тесты описываются в файлах .robot секциями Settings, Variables, Test Cases, Keywords. Отчёты: output.xml (машиночитаемый), log.html (детальный лог), report.html (сводка).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3. SeleniumLibrary и keyword-driven архитектура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SeleniumLibrary предоставляет ключевые слова браузерной автоматизации (Open Browser, Click Element, Select Frame, Switch Window и др.). Высокоуровневые ключевые слова вынесены в resources: Open Test Application, Submit Registration Form, Verify Form Validation, Open Secondary Tab, Return To Main Page, Interact Inside Demo Iframe.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Python-хелпер FixtureServer.py используется только для локального HTTP (динамический порт) — логика проверок остаётся в .robot файлах.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4. Среда и версии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Windows 10; Python 3.13.2; Robot Framework 7.5; SeleniumLibrary 6.9.0; Selenium 4.50.0; Chrome. Зависимости: robot/requirements.txt (selenium зафиксирован на 4.50.0, чтобы не ломать KT01–KT10).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5. Тестовое приложение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Локальные HTML-страницы robot/fixtures/: навигация, форма, checkbox/radio/dropdown, iframe, вторичная вкладка, динамический статус. Без публичных сайтов и VPN.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6. Таблица из 10 тест-кейсов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>
              <w:t>ID</w:t>
            </w:r>
          </w:p>
        </w:tc>
        <w:tc>
          <w:tcPr>
            <w:tcW w:type="dxa" w:w="2493"/>
          </w:tcPr>
          <w:p>
            <w:r>
              <w:t>Сценарий</w:t>
            </w:r>
          </w:p>
        </w:tc>
        <w:tc>
          <w:tcPr>
            <w:tcW w:type="dxa" w:w="2493"/>
          </w:tcPr>
          <w:p>
            <w:r>
              <w:t>Статус</w:t>
            </w:r>
          </w:p>
        </w:tc>
        <w:tc>
          <w:tcPr>
            <w:tcW w:type="dxa" w:w="2493"/>
          </w:tcPr>
          <w:p>
            <w:r>
              <w:t>с</w:t>
            </w:r>
          </w:p>
        </w:tc>
      </w:tr>
      <w:tr>
        <w:tc>
          <w:tcPr>
            <w:tcW w:type="dxa" w:w="2493"/>
          </w:tcPr>
          <w:p>
            <w:r>
              <w:t>TC-11-01</w:t>
            </w:r>
          </w:p>
        </w:tc>
        <w:tc>
          <w:tcPr>
            <w:tcW w:type="dxa" w:w="2493"/>
          </w:tcPr>
          <w:p>
            <w:r>
              <w:t>Page opens / title</w:t>
            </w:r>
          </w:p>
        </w:tc>
        <w:tc>
          <w:tcPr>
            <w:tcW w:type="dxa" w:w="2493"/>
          </w:tcPr>
          <w:p>
            <w:r>
              <w:t>PASS</w:t>
            </w:r>
          </w:p>
        </w:tc>
        <w:tc>
          <w:tcPr>
            <w:tcW w:type="dxa" w:w="2493"/>
          </w:tcPr>
          <w:p>
            <w:r>
              <w:t>2.74</w:t>
            </w:r>
          </w:p>
        </w:tc>
      </w:tr>
      <w:tr>
        <w:tc>
          <w:tcPr>
            <w:tcW w:type="dxa" w:w="2493"/>
          </w:tcPr>
          <w:p>
            <w:r>
              <w:t>TC-11-02</w:t>
            </w:r>
          </w:p>
        </w:tc>
        <w:tc>
          <w:tcPr>
            <w:tcW w:type="dxa" w:w="2493"/>
          </w:tcPr>
          <w:p>
            <w:r>
              <w:t>Navigation link</w:t>
            </w:r>
          </w:p>
        </w:tc>
        <w:tc>
          <w:tcPr>
            <w:tcW w:type="dxa" w:w="2493"/>
          </w:tcPr>
          <w:p>
            <w:r>
              <w:t>PASS</w:t>
            </w:r>
          </w:p>
        </w:tc>
        <w:tc>
          <w:tcPr>
            <w:tcW w:type="dxa" w:w="2493"/>
          </w:tcPr>
          <w:p>
            <w:r>
              <w:t>2.80</w:t>
            </w:r>
          </w:p>
        </w:tc>
      </w:tr>
      <w:tr>
        <w:tc>
          <w:tcPr>
            <w:tcW w:type="dxa" w:w="2493"/>
          </w:tcPr>
          <w:p>
            <w:r>
              <w:t>TC-11-03</w:t>
            </w:r>
          </w:p>
        </w:tc>
        <w:tc>
          <w:tcPr>
            <w:tcW w:type="dxa" w:w="2493"/>
          </w:tcPr>
          <w:p>
            <w:r>
              <w:t>Valid form submit</w:t>
            </w:r>
          </w:p>
        </w:tc>
        <w:tc>
          <w:tcPr>
            <w:tcW w:type="dxa" w:w="2493"/>
          </w:tcPr>
          <w:p>
            <w:r>
              <w:t>PASS</w:t>
            </w:r>
          </w:p>
        </w:tc>
        <w:tc>
          <w:tcPr>
            <w:tcW w:type="dxa" w:w="2493"/>
          </w:tcPr>
          <w:p>
            <w:r>
              <w:t>2.81</w:t>
            </w:r>
          </w:p>
        </w:tc>
      </w:tr>
      <w:tr>
        <w:tc>
          <w:tcPr>
            <w:tcW w:type="dxa" w:w="2493"/>
          </w:tcPr>
          <w:p>
            <w:r>
              <w:t>TC-11-04</w:t>
            </w:r>
          </w:p>
        </w:tc>
        <w:tc>
          <w:tcPr>
            <w:tcW w:type="dxa" w:w="2493"/>
          </w:tcPr>
          <w:p>
            <w:r>
              <w:t>Invalid form rejected</w:t>
            </w:r>
          </w:p>
        </w:tc>
        <w:tc>
          <w:tcPr>
            <w:tcW w:type="dxa" w:w="2493"/>
          </w:tcPr>
          <w:p>
            <w:r>
              <w:t>PASS</w:t>
            </w:r>
          </w:p>
        </w:tc>
        <w:tc>
          <w:tcPr>
            <w:tcW w:type="dxa" w:w="2493"/>
          </w:tcPr>
          <w:p>
            <w:r>
              <w:t>2.81</w:t>
            </w:r>
          </w:p>
        </w:tc>
      </w:tr>
      <w:tr>
        <w:tc>
          <w:tcPr>
            <w:tcW w:type="dxa" w:w="2493"/>
          </w:tcPr>
          <w:p>
            <w:r>
              <w:t>TC-11-05</w:t>
            </w:r>
          </w:p>
        </w:tc>
        <w:tc>
          <w:tcPr>
            <w:tcW w:type="dxa" w:w="2493"/>
          </w:tcPr>
          <w:p>
            <w:r>
              <w:t>Checkbox select/deselect</w:t>
            </w:r>
          </w:p>
        </w:tc>
        <w:tc>
          <w:tcPr>
            <w:tcW w:type="dxa" w:w="2493"/>
          </w:tcPr>
          <w:p>
            <w:r>
              <w:t>PASS</w:t>
            </w:r>
          </w:p>
        </w:tc>
        <w:tc>
          <w:tcPr>
            <w:tcW w:type="dxa" w:w="2493"/>
          </w:tcPr>
          <w:p>
            <w:r>
              <w:t>2.78</w:t>
            </w:r>
          </w:p>
        </w:tc>
      </w:tr>
      <w:tr>
        <w:tc>
          <w:tcPr>
            <w:tcW w:type="dxa" w:w="2493"/>
          </w:tcPr>
          <w:p>
            <w:r>
              <w:t>TC-11-06</w:t>
            </w:r>
          </w:p>
        </w:tc>
        <w:tc>
          <w:tcPr>
            <w:tcW w:type="dxa" w:w="2493"/>
          </w:tcPr>
          <w:p>
            <w:r>
              <w:t>Radio button selection</w:t>
            </w:r>
          </w:p>
        </w:tc>
        <w:tc>
          <w:tcPr>
            <w:tcW w:type="dxa" w:w="2493"/>
          </w:tcPr>
          <w:p>
            <w:r>
              <w:t>PASS</w:t>
            </w:r>
          </w:p>
        </w:tc>
        <w:tc>
          <w:tcPr>
            <w:tcW w:type="dxa" w:w="2493"/>
          </w:tcPr>
          <w:p>
            <w:r>
              <w:t>2.79</w:t>
            </w:r>
          </w:p>
        </w:tc>
      </w:tr>
      <w:tr>
        <w:tc>
          <w:tcPr>
            <w:tcW w:type="dxa" w:w="2493"/>
          </w:tcPr>
          <w:p>
            <w:r>
              <w:t>TC-11-07</w:t>
            </w:r>
          </w:p>
        </w:tc>
        <w:tc>
          <w:tcPr>
            <w:tcW w:type="dxa" w:w="2493"/>
          </w:tcPr>
          <w:p>
            <w:r>
              <w:t>Dropdown selection</w:t>
            </w:r>
          </w:p>
        </w:tc>
        <w:tc>
          <w:tcPr>
            <w:tcW w:type="dxa" w:w="2493"/>
          </w:tcPr>
          <w:p>
            <w:r>
              <w:t>PASS</w:t>
            </w:r>
          </w:p>
        </w:tc>
        <w:tc>
          <w:tcPr>
            <w:tcW w:type="dxa" w:w="2493"/>
          </w:tcPr>
          <w:p>
            <w:r>
              <w:t>2.80</w:t>
            </w:r>
          </w:p>
        </w:tc>
      </w:tr>
      <w:tr>
        <w:tc>
          <w:tcPr>
            <w:tcW w:type="dxa" w:w="2493"/>
          </w:tcPr>
          <w:p>
            <w:r>
              <w:t>TC-11-08</w:t>
            </w:r>
          </w:p>
        </w:tc>
        <w:tc>
          <w:tcPr>
            <w:tcW w:type="dxa" w:w="2493"/>
          </w:tcPr>
          <w:p>
            <w:r>
              <w:t>Iframe interact + return</w:t>
            </w:r>
          </w:p>
        </w:tc>
        <w:tc>
          <w:tcPr>
            <w:tcW w:type="dxa" w:w="2493"/>
          </w:tcPr>
          <w:p>
            <w:r>
              <w:t>PASS</w:t>
            </w:r>
          </w:p>
        </w:tc>
        <w:tc>
          <w:tcPr>
            <w:tcW w:type="dxa" w:w="2493"/>
          </w:tcPr>
          <w:p>
            <w:r>
              <w:t>2.82</w:t>
            </w:r>
          </w:p>
        </w:tc>
      </w:tr>
      <w:tr>
        <w:tc>
          <w:tcPr>
            <w:tcW w:type="dxa" w:w="2493"/>
          </w:tcPr>
          <w:p>
            <w:r>
              <w:t>TC-11-09</w:t>
            </w:r>
          </w:p>
        </w:tc>
        <w:tc>
          <w:tcPr>
            <w:tcW w:type="dxa" w:w="2493"/>
          </w:tcPr>
          <w:p>
            <w:r>
              <w:t>New tab switch + return</w:t>
            </w:r>
          </w:p>
        </w:tc>
        <w:tc>
          <w:tcPr>
            <w:tcW w:type="dxa" w:w="2493"/>
          </w:tcPr>
          <w:p>
            <w:r>
              <w:t>PASS</w:t>
            </w:r>
          </w:p>
        </w:tc>
        <w:tc>
          <w:tcPr>
            <w:tcW w:type="dxa" w:w="2493"/>
          </w:tcPr>
          <w:p>
            <w:r>
              <w:t>2.88</w:t>
            </w:r>
          </w:p>
        </w:tc>
      </w:tr>
      <w:tr>
        <w:tc>
          <w:tcPr>
            <w:tcW w:type="dxa" w:w="2493"/>
          </w:tcPr>
          <w:p>
            <w:r>
              <w:t>TC-11-10</w:t>
            </w:r>
          </w:p>
        </w:tc>
        <w:tc>
          <w:tcPr>
            <w:tcW w:type="dxa" w:w="2493"/>
          </w:tcPr>
          <w:p>
            <w:r>
              <w:t>Dynamic UI update</w:t>
            </w:r>
          </w:p>
        </w:tc>
        <w:tc>
          <w:tcPr>
            <w:tcW w:type="dxa" w:w="2493"/>
          </w:tcPr>
          <w:p>
            <w:r>
              <w:t>PASS</w:t>
            </w:r>
          </w:p>
        </w:tc>
        <w:tc>
          <w:tcPr>
            <w:tcW w:type="dxa" w:w="2493"/>
          </w:tcPr>
          <w:p>
            <w:r>
              <w:t>2.77</w:t>
            </w:r>
          </w:p>
        </w:tc>
      </w:tr>
    </w:tbl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7. Пример кода .robot</w:t>
      </w:r>
    </w:p>
    <w:p>
      <w:pPr>
        <w:spacing w:after="0"/>
      </w:pPr>
      <w:r>
        <w:rPr>
          <w:rFonts w:ascii="Consolas" w:hAnsi="Consolas" w:eastAsia="Consolas"/>
          <w:b w:val="0"/>
          <w:sz w:val="18"/>
        </w:rPr>
        <w:t>*** Test Cases ***</w:t>
      </w:r>
    </w:p>
    <w:p>
      <w:pPr>
        <w:spacing w:after="0"/>
      </w:pPr>
      <w:r>
        <w:rPr>
          <w:rFonts w:ascii="Consolas" w:hAnsi="Consolas" w:eastAsia="Consolas"/>
          <w:b w:val="0"/>
          <w:sz w:val="18"/>
        </w:rPr>
        <w:t>TC-11-03 Valid Form Submission Succeeds</w:t>
      </w:r>
    </w:p>
    <w:p>
      <w:pPr>
        <w:spacing w:after="0"/>
      </w:pPr>
      <w:r>
        <w:rPr>
          <w:rFonts w:ascii="Consolas" w:hAnsi="Consolas" w:eastAsia="Consolas"/>
          <w:b w:val="0"/>
          <w:sz w:val="18"/>
        </w:rPr>
        <w:t xml:space="preserve">    [Tags]    KT11    form    positive</w:t>
      </w:r>
    </w:p>
    <w:p>
      <w:pPr>
        <w:spacing w:after="0"/>
      </w:pPr>
      <w:r>
        <w:rPr>
          <w:rFonts w:ascii="Consolas" w:hAnsi="Consolas" w:eastAsia="Consolas"/>
          <w:b w:val="0"/>
          <w:sz w:val="18"/>
        </w:rPr>
        <w:t xml:space="preserve">    Open Registration Page</w:t>
      </w:r>
    </w:p>
    <w:p>
      <w:pPr>
        <w:spacing w:after="0"/>
      </w:pPr>
      <w:r>
        <w:rPr>
          <w:rFonts w:ascii="Consolas" w:hAnsi="Consolas" w:eastAsia="Consolas"/>
          <w:b w:val="0"/>
          <w:sz w:val="18"/>
        </w:rPr>
        <w:t xml:space="preserve">    Submit Registration Form    Анна Тестова    anna.kt11@example.com</w:t>
      </w:r>
    </w:p>
    <w:p>
      <w:pPr>
        <w:spacing w:after="0"/>
      </w:pPr>
      <w:r>
        <w:rPr>
          <w:rFonts w:ascii="Consolas" w:hAnsi="Consolas" w:eastAsia="Consolas"/>
          <w:b w:val="0"/>
          <w:sz w:val="18"/>
        </w:rPr>
        <w:t xml:space="preserve">    Verify Form Accepted    Анна Тестова    anna.kt11@example.com</w:t>
      </w:r>
    </w:p>
    <w:p>
      <w:pPr>
        <w:spacing w:after="0"/>
      </w:pPr>
      <w:r>
        <w:rPr>
          <w:rFonts w:ascii="Consolas" w:hAnsi="Consolas" w:eastAsia="Consolas"/>
          <w:b w:val="0"/>
          <w:sz w:val="18"/>
        </w:rPr>
        <w:t xml:space="preserve">    Capture Scenario Screenshot    03_form_valid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8. Переиспользуемые keywords и resources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common.resource — Suite Bootstrap/Teardown, Open/Close Test Application, скриншоты. pages.resource — страничные keywords (формы, iframe, вкладки, dynamic).</w:t>
      </w:r>
    </w:p>
    <w:p>
      <w:pPr>
        <w:spacing w:after="0"/>
      </w:pPr>
      <w:r>
        <w:rPr>
          <w:rFonts w:ascii="Consolas" w:hAnsi="Consolas" w:eastAsia="Consolas"/>
          <w:b w:val="0"/>
          <w:sz w:val="18"/>
        </w:rPr>
        <w:t>.\scripts\run_kt11.ps1</w:t>
      </w:r>
    </w:p>
    <w:p>
      <w:pPr>
        <w:spacing w:after="0"/>
      </w:pPr>
      <w:r>
        <w:rPr>
          <w:rFonts w:ascii="Consolas" w:hAnsi="Consolas" w:eastAsia="Consolas"/>
          <w:b w:val="0"/>
          <w:sz w:val="18"/>
        </w:rPr>
        <w:t>.\.venv\Scripts\python.exe -m robot --outputdir robot\artifacts\kt11 robot\tests\kt11.robot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9. Фактические результаты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Dry-run: 10 tests discovered. Diagnostic TC-11-01: PASS.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Полный suite: 10 tests, 10 passed, 0 failed; elapsed ≈ 28.39 с.</w:t>
      </w:r>
    </w:p>
    <w:p>
      <w:pPr>
        <w:spacing w:after="0"/>
      </w:pPr>
      <w:r>
        <w:rPr>
          <w:rFonts w:ascii="Consolas" w:hAnsi="Consolas" w:eastAsia="Consolas"/>
          <w:b w:val="0"/>
          <w:sz w:val="18"/>
        </w:rPr>
        <w:t>10 tests, 10 passed, 0 failed</w:t>
      </w:r>
    </w:p>
    <w:p>
      <w:pPr>
        <w:spacing w:after="0"/>
      </w:pPr>
      <w:r>
        <w:rPr>
          <w:rFonts w:ascii="Consolas" w:hAnsi="Consolas" w:eastAsia="Consolas"/>
          <w:b w:val="0"/>
          <w:sz w:val="18"/>
        </w:rPr>
        <w:t>SUITE PASS elapsed= 28.389725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Артефакты: output.xml, log.html, report.html, xunit.xml в robot/artifacts/kt11/.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10–11. Скриншоты браузера и отчётов Robot</w:t>
      </w:r>
    </w:p>
    <w:p>
      <w:r>
        <w:drawing>
          <wp:inline xmlns:a="http://schemas.openxmlformats.org/drawingml/2006/main" xmlns:pic="http://schemas.openxmlformats.org/drawingml/2006/picture">
            <wp:extent cx="2700000" cy="16562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home_titl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1656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1 — Home / title</w:t>
      </w:r>
    </w:p>
    <w:p>
      <w:r>
        <w:drawing>
          <wp:inline xmlns:a="http://schemas.openxmlformats.org/drawingml/2006/main" xmlns:pic="http://schemas.openxmlformats.org/drawingml/2006/picture">
            <wp:extent cx="2700000" cy="165628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navigation_regist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1656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2 — Навигация на регистрацию</w:t>
      </w:r>
    </w:p>
    <w:p>
      <w:r>
        <w:drawing>
          <wp:inline xmlns:a="http://schemas.openxmlformats.org/drawingml/2006/main" xmlns:pic="http://schemas.openxmlformats.org/drawingml/2006/picture">
            <wp:extent cx="2700000" cy="165628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form_vali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1656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3 — Валидная форма</w:t>
      </w:r>
    </w:p>
    <w:p>
      <w:r>
        <w:drawing>
          <wp:inline xmlns:a="http://schemas.openxmlformats.org/drawingml/2006/main" xmlns:pic="http://schemas.openxmlformats.org/drawingml/2006/picture">
            <wp:extent cx="2700000" cy="165628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form_invali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1656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4 — Ошибка валидации</w:t>
      </w:r>
    </w:p>
    <w:p>
      <w:r>
        <w:drawing>
          <wp:inline xmlns:a="http://schemas.openxmlformats.org/drawingml/2006/main" xmlns:pic="http://schemas.openxmlformats.org/drawingml/2006/picture">
            <wp:extent cx="2700000" cy="165628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checkbox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1656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5 — Checkbox</w:t>
      </w:r>
    </w:p>
    <w:p>
      <w:r>
        <w:drawing>
          <wp:inline xmlns:a="http://schemas.openxmlformats.org/drawingml/2006/main" xmlns:pic="http://schemas.openxmlformats.org/drawingml/2006/picture">
            <wp:extent cx="2700000" cy="165628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radi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1656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6 — Radio</w:t>
      </w:r>
    </w:p>
    <w:p>
      <w:r>
        <w:drawing>
          <wp:inline xmlns:a="http://schemas.openxmlformats.org/drawingml/2006/main" xmlns:pic="http://schemas.openxmlformats.org/drawingml/2006/picture">
            <wp:extent cx="2700000" cy="165628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dropdow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1656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7 — Dropdown</w:t>
      </w:r>
    </w:p>
    <w:p>
      <w:r>
        <w:drawing>
          <wp:inline xmlns:a="http://schemas.openxmlformats.org/drawingml/2006/main" xmlns:pic="http://schemas.openxmlformats.org/drawingml/2006/picture">
            <wp:extent cx="2700000" cy="165628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ifram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1656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8 — IFrame host после взаимодействия</w:t>
      </w:r>
    </w:p>
    <w:p>
      <w:r>
        <w:drawing>
          <wp:inline xmlns:a="http://schemas.openxmlformats.org/drawingml/2006/main" xmlns:pic="http://schemas.openxmlformats.org/drawingml/2006/picture">
            <wp:extent cx="2700000" cy="165628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secondary_tab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1656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9 — Вторичная вкладка</w:t>
      </w:r>
    </w:p>
    <w:p>
      <w:r>
        <w:drawing>
          <wp:inline xmlns:a="http://schemas.openxmlformats.org/drawingml/2006/main" xmlns:pic="http://schemas.openxmlformats.org/drawingml/2006/picture">
            <wp:extent cx="2700000" cy="165628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dynamic_updat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1656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10 — Динамический статус</w:t>
      </w:r>
    </w:p>
    <w:p>
      <w:r>
        <w:drawing>
          <wp:inline xmlns:a="http://schemas.openxmlformats.org/drawingml/2006/main" xmlns:pic="http://schemas.openxmlformats.org/drawingml/2006/picture">
            <wp:extent cx="5040000" cy="309173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robot_repor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91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11 — Robot report.html (10 passed)</w:t>
      </w:r>
    </w:p>
    <w:p>
      <w:r>
        <w:drawing>
          <wp:inline xmlns:a="http://schemas.openxmlformats.org/drawingml/2006/main" xmlns:pic="http://schemas.openxmlformats.org/drawingml/2006/picture">
            <wp:extent cx="5040000" cy="309173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robot_log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91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12 — Robot log.html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12. Заключение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КТ 11 выполнена: 10 native Robot-тестов, SeleniumLibrary, keyword-driven resources, локальные фикстуры, suite 10/10 PASS (~28.4 с), отчёты Robot и DOCX. KT12 не начиналась.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