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Дисциплина: Модульное тестирование веб-приложений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Студент: Прилепов Никита Алексеевич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Группа: 4P1.23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/>
          <w:sz w:val="24"/>
        </w:rPr>
        <w:t>КТ №11. Автоматизированное тестирование с Robot Framework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Отчёт по контрольной точке</w:t>
      </w:r>
    </w:p>
    <w:p>
      <w:pPr>
        <w:spacing w:after="12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Дата: 2026-10-10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1. Что требовалось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Сделать ровно десять разных тест-кейсов на «родном» синтаксисе Robot Framework, подключить SeleniumLibrary, разложить шаги по keywords, поднять локальное приложение и сдать стандартные отчёты Robot (report/log/output).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sz w:val="24"/>
        </w:rPr>
        <w:t>Слайды cloud.ithub.ru по КТ11 без логина не открываются, поэтому на «один в один со скрытой презентацией» не претендую — опирался на формулировку задания и здравый смысл.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2. Коротко про Robot Framework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Robot — это keyword-driven штука: сценарии пишешь таблицами в .robot, а переиспользуемые шаги выносишь в resource-файлы. Секции обычные — Settings, Variables, Test Cases, Keywords. После прогона получаешь output.xml, подробный log.html и сводный report.html.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3. SeleniumLibrary и как разложил keywords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SeleniumLibrary даёт низкоуровневые слова вроде Open Browser, Click Element, Select Frame, Switch Window. Я поверх них собрал свои: Open Test Application, Submit Registration Form, Verify Form Validation, Open Secondary Tab, Return To Main Page, Interact Inside Demo Iframe — чтобы в тест-кейсах читалось «что делаю», а не xpath.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Python-хелпер FixtureServer.py только крутит локальный HTTP на свободном порту. Сами проверки живут в .robot, логику в питон не утаскивал.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4. Окружение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Windows 10, Python 3.13.2, Robot Framework 7.5, SeleniumLibrary 6.9.0, Selenium 4.50.0, Chrome. Зависимости в robot/requirements.txt — selenium специально зафиксировал на 4.50.0, чтобы не разъехались КТ01–КТ10.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5. На чём гонял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Локальные HTML из robot/fixtures/: навигация, форма, checkbox/radio/dropdown, iframe, вторая вкладка, динамический статус. Без чужих сайтов и VPN — так стабильнее и не зависит от капчи.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6. Десять тест-кейсов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</w:tcPr>
          <w:p>
            <w:r>
              <w:t>ID</w:t>
            </w:r>
          </w:p>
        </w:tc>
        <w:tc>
          <w:tcPr>
            <w:tcW w:type="dxa" w:w="2410"/>
          </w:tcPr>
          <w:p>
            <w:r>
              <w:t>Сценарий</w:t>
            </w:r>
          </w:p>
        </w:tc>
        <w:tc>
          <w:tcPr>
            <w:tcW w:type="dxa" w:w="2410"/>
          </w:tcPr>
          <w:p>
            <w:r>
              <w:t>Статус</w:t>
            </w:r>
          </w:p>
        </w:tc>
        <w:tc>
          <w:tcPr>
            <w:tcW w:type="dxa" w:w="2410"/>
          </w:tcPr>
          <w:p>
            <w:r>
              <w:t>с</w:t>
            </w:r>
          </w:p>
        </w:tc>
      </w:tr>
      <w:tr>
        <w:tc>
          <w:tcPr>
            <w:tcW w:type="dxa" w:w="2410"/>
          </w:tcPr>
          <w:p>
            <w:r>
              <w:t>TC-11-01</w:t>
            </w:r>
          </w:p>
        </w:tc>
        <w:tc>
          <w:tcPr>
            <w:tcW w:type="dxa" w:w="2410"/>
          </w:tcPr>
          <w:p>
            <w:r>
              <w:t>страница открывается / title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  <w:tc>
          <w:tcPr>
            <w:tcW w:type="dxa" w:w="2410"/>
          </w:tcPr>
          <w:p>
            <w:r>
              <w:t>2.74</w:t>
            </w:r>
          </w:p>
        </w:tc>
      </w:tr>
      <w:tr>
        <w:tc>
          <w:tcPr>
            <w:tcW w:type="dxa" w:w="2410"/>
          </w:tcPr>
          <w:p>
            <w:r>
              <w:t>TC-11-02</w:t>
            </w:r>
          </w:p>
        </w:tc>
        <w:tc>
          <w:tcPr>
            <w:tcW w:type="dxa" w:w="2410"/>
          </w:tcPr>
          <w:p>
            <w:r>
              <w:t>навигация по ссылке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  <w:tc>
          <w:tcPr>
            <w:tcW w:type="dxa" w:w="2410"/>
          </w:tcPr>
          <w:p>
            <w:r>
              <w:t>2.80</w:t>
            </w:r>
          </w:p>
        </w:tc>
      </w:tr>
      <w:tr>
        <w:tc>
          <w:tcPr>
            <w:tcW w:type="dxa" w:w="2410"/>
          </w:tcPr>
          <w:p>
            <w:r>
              <w:t>TC-11-03</w:t>
            </w:r>
          </w:p>
        </w:tc>
        <w:tc>
          <w:tcPr>
            <w:tcW w:type="dxa" w:w="2410"/>
          </w:tcPr>
          <w:p>
            <w:r>
              <w:t>валидная отправка формы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  <w:tc>
          <w:tcPr>
            <w:tcW w:type="dxa" w:w="2410"/>
          </w:tcPr>
          <w:p>
            <w:r>
              <w:t>2.81</w:t>
            </w:r>
          </w:p>
        </w:tc>
      </w:tr>
      <w:tr>
        <w:tc>
          <w:tcPr>
            <w:tcW w:type="dxa" w:w="2410"/>
          </w:tcPr>
          <w:p>
            <w:r>
              <w:t>TC-11-04</w:t>
            </w:r>
          </w:p>
        </w:tc>
        <w:tc>
          <w:tcPr>
            <w:tcW w:type="dxa" w:w="2410"/>
          </w:tcPr>
          <w:p>
            <w:r>
              <w:t>невалидная форма отклоняется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  <w:tc>
          <w:tcPr>
            <w:tcW w:type="dxa" w:w="2410"/>
          </w:tcPr>
          <w:p>
            <w:r>
              <w:t>2.81</w:t>
            </w:r>
          </w:p>
        </w:tc>
      </w:tr>
      <w:tr>
        <w:tc>
          <w:tcPr>
            <w:tcW w:type="dxa" w:w="2410"/>
          </w:tcPr>
          <w:p>
            <w:r>
              <w:t>TC-11-05</w:t>
            </w:r>
          </w:p>
        </w:tc>
        <w:tc>
          <w:tcPr>
            <w:tcW w:type="dxa" w:w="2410"/>
          </w:tcPr>
          <w:p>
            <w:r>
              <w:t>checkbox вкл/выкл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  <w:tc>
          <w:tcPr>
            <w:tcW w:type="dxa" w:w="2410"/>
          </w:tcPr>
          <w:p>
            <w:r>
              <w:t>2.78</w:t>
            </w:r>
          </w:p>
        </w:tc>
      </w:tr>
      <w:tr>
        <w:tc>
          <w:tcPr>
            <w:tcW w:type="dxa" w:w="2410"/>
          </w:tcPr>
          <w:p>
            <w:r>
              <w:t>TC-11-06</w:t>
            </w:r>
          </w:p>
        </w:tc>
        <w:tc>
          <w:tcPr>
            <w:tcW w:type="dxa" w:w="2410"/>
          </w:tcPr>
          <w:p>
            <w:r>
              <w:t>выбор radio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  <w:tc>
          <w:tcPr>
            <w:tcW w:type="dxa" w:w="2410"/>
          </w:tcPr>
          <w:p>
            <w:r>
              <w:t>2.79</w:t>
            </w:r>
          </w:p>
        </w:tc>
      </w:tr>
      <w:tr>
        <w:tc>
          <w:tcPr>
            <w:tcW w:type="dxa" w:w="2410"/>
          </w:tcPr>
          <w:p>
            <w:r>
              <w:t>TC-11-07</w:t>
            </w:r>
          </w:p>
        </w:tc>
        <w:tc>
          <w:tcPr>
            <w:tcW w:type="dxa" w:w="2410"/>
          </w:tcPr>
          <w:p>
            <w:r>
              <w:t>dropdown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  <w:tc>
          <w:tcPr>
            <w:tcW w:type="dxa" w:w="2410"/>
          </w:tcPr>
          <w:p>
            <w:r>
              <w:t>2.80</w:t>
            </w:r>
          </w:p>
        </w:tc>
      </w:tr>
      <w:tr>
        <w:tc>
          <w:tcPr>
            <w:tcW w:type="dxa" w:w="2410"/>
          </w:tcPr>
          <w:p>
            <w:r>
              <w:t>TC-11-08</w:t>
            </w:r>
          </w:p>
        </w:tc>
        <w:tc>
          <w:tcPr>
            <w:tcW w:type="dxa" w:w="2410"/>
          </w:tcPr>
          <w:p>
            <w:r>
              <w:t>iframe: действие и возврат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  <w:tc>
          <w:tcPr>
            <w:tcW w:type="dxa" w:w="2410"/>
          </w:tcPr>
          <w:p>
            <w:r>
              <w:t>2.82</w:t>
            </w:r>
          </w:p>
        </w:tc>
      </w:tr>
      <w:tr>
        <w:tc>
          <w:tcPr>
            <w:tcW w:type="dxa" w:w="2410"/>
          </w:tcPr>
          <w:p>
            <w:r>
              <w:t>TC-11-09</w:t>
            </w:r>
          </w:p>
        </w:tc>
        <w:tc>
          <w:tcPr>
            <w:tcW w:type="dxa" w:w="2410"/>
          </w:tcPr>
          <w:p>
            <w:r>
              <w:t>новая вкладка и возврат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  <w:tc>
          <w:tcPr>
            <w:tcW w:type="dxa" w:w="2410"/>
          </w:tcPr>
          <w:p>
            <w:r>
              <w:t>2.88</w:t>
            </w:r>
          </w:p>
        </w:tc>
      </w:tr>
      <w:tr>
        <w:tc>
          <w:tcPr>
            <w:tcW w:type="dxa" w:w="2410"/>
          </w:tcPr>
          <w:p>
            <w:r>
              <w:t>TC-11-10</w:t>
            </w:r>
          </w:p>
        </w:tc>
        <w:tc>
          <w:tcPr>
            <w:tcW w:type="dxa" w:w="2410"/>
          </w:tcPr>
          <w:p>
            <w:r>
              <w:t>динамическое обновление UI</w:t>
            </w:r>
          </w:p>
        </w:tc>
        <w:tc>
          <w:tcPr>
            <w:tcW w:type="dxa" w:w="2410"/>
          </w:tcPr>
          <w:p>
            <w:r>
              <w:t>PASS</w:t>
            </w:r>
          </w:p>
        </w:tc>
        <w:tc>
          <w:tcPr>
            <w:tcW w:type="dxa" w:w="2410"/>
          </w:tcPr>
          <w:p>
            <w:r>
              <w:t>2.77</w:t>
            </w:r>
          </w:p>
        </w:tc>
      </w:tr>
    </w:tbl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7. Кусок .robot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Пример позитивного кейса с формой — видно, как вызываются keywords: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*** Test Cases ***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TC-11-03 Valid Form Submission Succeeds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[Tags]    KT11    form    positive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Open Registration Page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Submit Registration Form    Анна Тестова    anna.kt11@example.com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Verify Form Accepted    Анна Тестова    anna.kt11@example.com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 xml:space="preserve">    Capture Scenario Screenshot    03_form_valid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8. Resources и как запускал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common.resource — bootstrap/teardown сьюта, Open/Close Test Application, скриншоты. pages.resource — страничные keywords (формы, iframe, вкладки, dynamic).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.\scripts\run_kt11.ps1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.\.venv\Scripts\python.exe -m robot --outputdir robot\artifacts\kt11 robot\tests\kt11.robot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9. Фактический прогон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Dry-run нашёл 10 тестов. Отдельно прогнал TC-11-01 — PASS.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Полный suite: 10 tests, 10 passed, 0 failed; по времени вышло ≈ 28.39 с.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10 tests, 10 passed, 0 failed</w:t>
      </w:r>
    </w:p>
    <w:p>
      <w:pPr>
        <w:spacing w:after="0" w:before="0" w:line="240" w:lineRule="auto"/>
      </w:pPr>
      <w:r>
        <w:rPr>
          <w:rFonts w:ascii="Consolas" w:hAnsi="Consolas" w:eastAsia="Consolas"/>
          <w:b w:val="0"/>
          <w:sz w:val="18"/>
        </w:rPr>
        <w:t>SUITE PASS elapsed= 28.389725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Артефакты лежат в robot/artifacts/kt11/: output.xml, log.html, report.html, xunit.xml.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10. Скриншоты сценариев и отчётов Robot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Десять кадров по шагам плюс report.html и log.html — всего 12 картинок.</w:t>
      </w:r>
    </w:p>
    <w:p>
      <w:r>
        <w:drawing>
          <wp:inline xmlns:a="http://schemas.openxmlformats.org/drawingml/2006/main" xmlns:pic="http://schemas.openxmlformats.org/drawingml/2006/picture">
            <wp:extent cx="2700000" cy="165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tit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5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 — Home / title</w:t>
      </w:r>
    </w:p>
    <w:p>
      <w:r>
        <w:drawing>
          <wp:inline xmlns:a="http://schemas.openxmlformats.org/drawingml/2006/main" xmlns:pic="http://schemas.openxmlformats.org/drawingml/2006/picture">
            <wp:extent cx="2700000" cy="165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avigation_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5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2 — Переход на регистрацию</w:t>
      </w:r>
    </w:p>
    <w:p>
      <w:r>
        <w:drawing>
          <wp:inline xmlns:a="http://schemas.openxmlformats.org/drawingml/2006/main" xmlns:pic="http://schemas.openxmlformats.org/drawingml/2006/picture">
            <wp:extent cx="2700000" cy="165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orm_val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5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3 — Валидная форма принята</w:t>
      </w:r>
    </w:p>
    <w:p>
      <w:r>
        <w:drawing>
          <wp:inline xmlns:a="http://schemas.openxmlformats.org/drawingml/2006/main" xmlns:pic="http://schemas.openxmlformats.org/drawingml/2006/picture">
            <wp:extent cx="2700000" cy="165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orm_inval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5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4 — Ошибка валидации</w:t>
      </w:r>
    </w:p>
    <w:p>
      <w:r>
        <w:drawing>
          <wp:inline xmlns:a="http://schemas.openxmlformats.org/drawingml/2006/main" xmlns:pic="http://schemas.openxmlformats.org/drawingml/2006/picture">
            <wp:extent cx="2700000" cy="1656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heckbo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5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5 — Checkbox</w:t>
      </w:r>
    </w:p>
    <w:p>
      <w:r>
        <w:drawing>
          <wp:inline xmlns:a="http://schemas.openxmlformats.org/drawingml/2006/main" xmlns:pic="http://schemas.openxmlformats.org/drawingml/2006/picture">
            <wp:extent cx="2700000" cy="165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ad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5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6 — Radio</w:t>
      </w:r>
    </w:p>
    <w:p>
      <w:r>
        <w:drawing>
          <wp:inline xmlns:a="http://schemas.openxmlformats.org/drawingml/2006/main" xmlns:pic="http://schemas.openxmlformats.org/drawingml/2006/picture">
            <wp:extent cx="2700000" cy="1656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ropdow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5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7 — Dropdown</w:t>
      </w:r>
    </w:p>
    <w:p>
      <w:r>
        <w:drawing>
          <wp:inline xmlns:a="http://schemas.openxmlformats.org/drawingml/2006/main" xmlns:pic="http://schemas.openxmlformats.org/drawingml/2006/picture">
            <wp:extent cx="2700000" cy="16562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ifra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5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8 — IFrame после взаимодействия</w:t>
      </w:r>
    </w:p>
    <w:p>
      <w:r>
        <w:drawing>
          <wp:inline xmlns:a="http://schemas.openxmlformats.org/drawingml/2006/main" xmlns:pic="http://schemas.openxmlformats.org/drawingml/2006/picture">
            <wp:extent cx="2700000" cy="1656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condary_ta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5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9 — Вторая вкладка</w:t>
      </w:r>
    </w:p>
    <w:p>
      <w:r>
        <w:drawing>
          <wp:inline xmlns:a="http://schemas.openxmlformats.org/drawingml/2006/main" xmlns:pic="http://schemas.openxmlformats.org/drawingml/2006/picture">
            <wp:extent cx="2700000" cy="16562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ynamic_upda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65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10 — Динамический статус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obot_re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11 — Robot report.html (10 passed)</w:t>
      </w:r>
    </w:p>
    <w:p>
      <w:r>
        <w:drawing>
          <wp:inline xmlns:a="http://schemas.openxmlformats.org/drawingml/2006/main" xmlns:pic="http://schemas.openxmlformats.org/drawingml/2006/picture">
            <wp:extent cx="5040000" cy="30917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obot_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9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12 — Robot log.html</w:t>
      </w:r>
    </w:p>
    <w:p>
      <w:pPr>
        <w:pStyle w:val="Heading1"/>
      </w:pPr>
      <w:r>
        <w:rPr>
          <w:rFonts w:ascii="Times New Roman" w:hAnsi="Times New Roman" w:eastAsia="Times New Roman"/>
          <w:b/>
          <w:sz w:val="28"/>
        </w:rPr>
        <w:t>11. Заключение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sz w:val="24"/>
        </w:rPr>
        <w:t>КТ 11 закрыл: десять native Robot-тестов, SeleniumLibrary, keyword-driven resources, локальные фикстуры. Suite прошёл 10/10 за ~28.39 с, отчёты Robot и этот DOCX на месте. КТ12 отдельно.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