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57D"/>
          <w:sz w:val="36"/>
        </w:rPr>
        <w:t>InnoSynth  x  L&amp;T Semiconductor Technologies (LTSCT)</w:t>
      </w:r>
    </w:p>
    <w:p>
      <w:r>
        <w:rPr>
          <w:b/>
          <w:sz w:val="28"/>
        </w:rPr>
        <w:t>FORJINN — PCB CAD / Schematic AI Agent</w:t>
      </w:r>
    </w:p>
    <w:p>
      <w:r>
        <w:rPr>
          <w:b w:val="0"/>
          <w:i/>
          <w:sz w:val="22"/>
        </w:rPr>
        <w:t>POC Capability Statement &amp; Work Plan (Response to the POC Technical Discovery Form, v1.0)</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457D"/>
          </w:tcPr>
          <w:p>
            <w:r/>
            <w:r>
              <w:rPr>
                <w:b/>
                <w:color w:val="FFFFFF"/>
                <w:sz w:val="20"/>
              </w:rPr>
              <w:t>Document title</w:t>
            </w:r>
          </w:p>
        </w:tc>
        <w:tc>
          <w:tcPr>
            <w:tcW w:type="dxa" w:w="4986"/>
            <w:shd w:val="clear" w:color="auto" w:fill="1F457D"/>
          </w:tcPr>
          <w:p>
            <w:r/>
            <w:r>
              <w:rPr>
                <w:b/>
                <w:color w:val="FFFFFF"/>
                <w:sz w:val="20"/>
              </w:rPr>
              <w:t>FORJINN PCB CAD / Schematic AI Agent — POC Capability Statement &amp; Work Plan</w:t>
            </w:r>
          </w:p>
        </w:tc>
      </w:tr>
    </w:tbl>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1F457D"/>
          </w:tcPr>
          <w:p>
            <w:r/>
            <w:r>
              <w:rPr>
                <w:b/>
                <w:color w:val="FFFFFF"/>
                <w:sz w:val="20"/>
              </w:rPr>
              <w:t>Field</w:t>
            </w:r>
          </w:p>
        </w:tc>
        <w:tc>
          <w:tcPr>
            <w:tcW w:type="dxa" w:w="6803"/>
            <w:shd w:val="clear" w:color="auto" w:fill="1F457D"/>
          </w:tcPr>
          <w:p>
            <w:r/>
            <w:r>
              <w:rPr>
                <w:b/>
                <w:color w:val="FFFFFF"/>
                <w:sz w:val="20"/>
              </w:rPr>
              <w:t>Value</w:t>
            </w:r>
          </w:p>
        </w:tc>
      </w:tr>
      <w:tr>
        <w:tc>
          <w:tcPr>
            <w:tcW w:type="dxa" w:w="2551"/>
          </w:tcPr>
          <w:p>
            <w:r/>
            <w:r>
              <w:rPr>
                <w:sz w:val="20"/>
              </w:rPr>
              <w:t>Prepared by</w:t>
            </w:r>
          </w:p>
        </w:tc>
        <w:tc>
          <w:tcPr>
            <w:tcW w:type="dxa" w:w="6803"/>
          </w:tcPr>
          <w:p>
            <w:r/>
            <w:r>
              <w:rPr>
                <w:sz w:val="20"/>
              </w:rPr>
              <w:t>InnoSynth</w:t>
            </w:r>
          </w:p>
        </w:tc>
      </w:tr>
      <w:tr>
        <w:tc>
          <w:tcPr>
            <w:tcW w:type="dxa" w:w="2551"/>
            <w:shd w:val="clear" w:color="auto" w:fill="F2F6FC"/>
          </w:tcPr>
          <w:p>
            <w:r/>
            <w:r>
              <w:rPr>
                <w:sz w:val="20"/>
              </w:rPr>
              <w:t>Prepared for</w:t>
            </w:r>
          </w:p>
        </w:tc>
        <w:tc>
          <w:tcPr>
            <w:tcW w:type="dxa" w:w="6803"/>
            <w:shd w:val="clear" w:color="auto" w:fill="F2F6FC"/>
          </w:tcPr>
          <w:p>
            <w:r/>
            <w:r>
              <w:rPr>
                <w:sz w:val="20"/>
              </w:rPr>
              <w:t>L&amp;T Semiconductor Technologies (LTSCT)</w:t>
            </w:r>
          </w:p>
        </w:tc>
      </w:tr>
      <w:tr>
        <w:tc>
          <w:tcPr>
            <w:tcW w:type="dxa" w:w="2551"/>
          </w:tcPr>
          <w:p>
            <w:r/>
            <w:r>
              <w:rPr>
                <w:sz w:val="20"/>
              </w:rPr>
              <w:t>Version</w:t>
            </w:r>
          </w:p>
        </w:tc>
        <w:tc>
          <w:tcPr>
            <w:tcW w:type="dxa" w:w="6803"/>
          </w:tcPr>
          <w:p>
            <w:r/>
            <w:r>
              <w:rPr>
                <w:sz w:val="20"/>
              </w:rPr>
              <w:t>1.1</w:t>
            </w:r>
          </w:p>
        </w:tc>
      </w:tr>
      <w:tr>
        <w:tc>
          <w:tcPr>
            <w:tcW w:type="dxa" w:w="2551"/>
            <w:shd w:val="clear" w:color="auto" w:fill="F2F6FC"/>
          </w:tcPr>
          <w:p>
            <w:r/>
            <w:r>
              <w:rPr>
                <w:sz w:val="20"/>
              </w:rPr>
              <w:t>Date</w:t>
            </w:r>
          </w:p>
        </w:tc>
        <w:tc>
          <w:tcPr>
            <w:tcW w:type="dxa" w:w="6803"/>
            <w:shd w:val="clear" w:color="auto" w:fill="F2F6FC"/>
          </w:tcPr>
          <w:p>
            <w:r/>
            <w:r>
              <w:rPr>
                <w:sz w:val="20"/>
              </w:rPr>
              <w:t>2026-09-20</w:t>
            </w:r>
          </w:p>
        </w:tc>
      </w:tr>
      <w:tr>
        <w:tc>
          <w:tcPr>
            <w:tcW w:type="dxa" w:w="2551"/>
          </w:tcPr>
          <w:p>
            <w:r/>
            <w:r>
              <w:rPr>
                <w:sz w:val="20"/>
              </w:rPr>
              <w:t>Responds to</w:t>
            </w:r>
          </w:p>
        </w:tc>
        <w:tc>
          <w:tcPr>
            <w:tcW w:type="dxa" w:w="6803"/>
          </w:tcPr>
          <w:p>
            <w:r/>
            <w:r>
              <w:rPr>
                <w:sz w:val="20"/>
              </w:rPr>
              <w:t>FORJINN POC Technical Discovery Form v1.0 (signed by LTSCT HW Design Lead, 12-09-2026)</w:t>
            </w:r>
          </w:p>
        </w:tc>
      </w:tr>
    </w:tbl>
    <w:p/>
    <w:p>
      <w:pPr>
        <w:pStyle w:val="Heading1"/>
      </w:pPr>
      <w:r>
        <w:rPr>
          <w:color w:val="1F457D"/>
          <w:sz w:val="30"/>
        </w:rPr>
        <w:t>1.  Our Position — the Study Platform is Already Built and Validated</w:t>
      </w:r>
    </w:p>
    <w:p>
      <w:r>
        <w:rPr>
          <w:b w:val="0"/>
          <w:i w:val="0"/>
          <w:sz w:val="21"/>
        </w:rPr>
        <w:t>Before this POC, InnoSynth built and validated a complete automation study platform against the exact same tool chain LTSCT listed in the discovery form — Cadence Allegro PCB Editor / OrCAD Capture (SPB 22.1) and Cadence Sigrity (2024.0, Aurora-class SI/PI). The platform exposes 188+ automation tools across 8 domains, driven entirely through the vendors' own automation surfaces (SKILL, Tcl, headless batch CLI). We did not prototype this during this response: the platform already exists, and our own end-to-end evaluation of it passed 12/12 representative engineering tasks on self-hosted AI inference — full-board DRC + auto-placement, schematic design database-to-power-integrity signoff, Gerber / IPC-2581 / STEP manufacturing export, and a multi-physics thermal stress signoff.</w:t>
      </w:r>
    </w:p>
    <w:p>
      <w:r>
        <w:rPr>
          <w:b w:val="0"/>
          <w:i w:val="0"/>
          <w:sz w:val="21"/>
        </w:rPr>
        <w:t>What this means for the POC: LTSCT does not wait for us to learn the tools. Once the POC workstations and AI nodes are available (Section 4), we install the platform, validate it against LTSCT's own two benchmark boards, and begin engineer-facing delivery immediately. Everything below is split into what we have already done, and what we will implement on LTSCT infrastructure once the machines are provisioned.</w:t>
      </w:r>
    </w:p>
    <w:p>
      <w:pPr>
        <w:pStyle w:val="Heading1"/>
      </w:pPr>
      <w:r>
        <w:rPr>
          <w:color w:val="1F457D"/>
          <w:sz w:val="30"/>
        </w:rPr>
        <w:t>2.  What We Have Already Done (Study Phase — Complete)</w:t>
      </w:r>
    </w:p>
    <w:p>
      <w:pPr>
        <w:pStyle w:val="Heading2"/>
      </w:pPr>
      <w:r>
        <w:rPr>
          <w:color w:val="1F457D"/>
          <w:sz w:val="25"/>
        </w:rPr>
        <w:t>2.1  Automation platform — 188+ tools, 8 domains, one deployment</w:t>
      </w:r>
    </w:p>
    <w:tbl>
      <w:tblPr>
        <w:tblStyle w:val="TableGrid"/>
        <w:tblW w:type="auto" w:w="0"/>
        <w:jc w:val="center"/>
        <w:tblLook w:firstColumn="1" w:firstRow="1" w:lastColumn="0" w:lastRow="0" w:noHBand="0" w:noVBand="1" w:val="04A0"/>
      </w:tblPr>
      <w:tblGrid>
        <w:gridCol w:w="4986"/>
        <w:gridCol w:w="4986"/>
      </w:tblGrid>
      <w:tr>
        <w:tc>
          <w:tcPr>
            <w:tcW w:type="dxa" w:w="2381"/>
            <w:shd w:val="clear" w:color="auto" w:fill="1F457D"/>
          </w:tcPr>
          <w:p>
            <w:r/>
            <w:r>
              <w:rPr>
                <w:b/>
                <w:color w:val="FFFFFF"/>
                <w:sz w:val="20"/>
              </w:rPr>
              <w:t>Domain</w:t>
            </w:r>
          </w:p>
        </w:tc>
        <w:tc>
          <w:tcPr>
            <w:tcW w:type="dxa" w:w="6973"/>
            <w:shd w:val="clear" w:color="auto" w:fill="1F457D"/>
          </w:tcPr>
          <w:p>
            <w:r/>
            <w:r>
              <w:rPr>
                <w:b/>
                <w:color w:val="FFFFFF"/>
                <w:sz w:val="20"/>
              </w:rPr>
              <w:t>What we built and validated</w:t>
            </w:r>
          </w:p>
        </w:tc>
      </w:tr>
      <w:tr>
        <w:tc>
          <w:tcPr>
            <w:tcW w:type="dxa" w:w="2381"/>
          </w:tcPr>
          <w:p>
            <w:r/>
            <w:r>
              <w:rPr>
                <w:sz w:val="20"/>
              </w:rPr>
              <w:t>Power Integrity (PI)</w:t>
            </w:r>
          </w:p>
        </w:tc>
        <w:tc>
          <w:tcPr>
            <w:tcW w:type="dxa" w:w="6973"/>
          </w:tcPr>
          <w:p>
            <w:r/>
            <w:r>
              <w:rPr>
                <w:sz w:val="20"/>
              </w:rPr>
              <w:t>PowerDC (IR-drop), XcitePI, OptimizePI — headless batch runs with real results; board-aware extraction paths.</w:t>
            </w:r>
          </w:p>
        </w:tc>
      </w:tr>
      <w:tr>
        <w:tc>
          <w:tcPr>
            <w:tcW w:type="dxa" w:w="2381"/>
            <w:shd w:val="clear" w:color="auto" w:fill="F2F6FC"/>
          </w:tcPr>
          <w:p>
            <w:r/>
            <w:r>
              <w:rPr>
                <w:sz w:val="20"/>
              </w:rPr>
              <w:t>Signal Integrity (SI)</w:t>
            </w:r>
          </w:p>
        </w:tc>
        <w:tc>
          <w:tcPr>
            <w:tcW w:type="dxa" w:w="6973"/>
            <w:shd w:val="clear" w:color="auto" w:fill="F2F6FC"/>
          </w:tcPr>
          <w:p>
            <w:r/>
            <w:r>
              <w:rPr>
                <w:sz w:val="20"/>
              </w:rPr>
              <w:t>PowerSI (drives directly from a real .brd file — auto-extraction to simulation confirmed), SPDSIM, BroadbandSPICE.</w:t>
            </w:r>
          </w:p>
        </w:tc>
      </w:tr>
      <w:tr>
        <w:tc>
          <w:tcPr>
            <w:tcW w:type="dxa" w:w="2381"/>
          </w:tcPr>
          <w:p>
            <w:r/>
            <w:r>
              <w:rPr>
                <w:sz w:val="20"/>
              </w:rPr>
              <w:t>Extraction &amp; Modeling</w:t>
            </w:r>
          </w:p>
        </w:tc>
        <w:tc>
          <w:tcPr>
            <w:tcW w:type="dxa" w:w="6973"/>
          </w:tcPr>
          <w:p>
            <w:r/>
            <w:r>
              <w:rPr>
                <w:sz w:val="20"/>
              </w:rPr>
              <w:t>Layout translators including Altium .PcbDoc and DXF ingestion (real conversions produced), Clarity 3D EM extraction, XtractIM, Touchstone de-embedding, rigid-flex 2D cross-hatch field solver.</w:t>
            </w:r>
          </w:p>
        </w:tc>
      </w:tr>
      <w:tr>
        <w:tc>
          <w:tcPr>
            <w:tcW w:type="dxa" w:w="2381"/>
            <w:shd w:val="clear" w:color="auto" w:fill="F2F6FC"/>
          </w:tcPr>
          <w:p>
            <w:r/>
            <w:r>
              <w:rPr>
                <w:sz w:val="20"/>
              </w:rPr>
              <w:t>In-Design Analysis (Aurora)</w:t>
            </w:r>
          </w:p>
        </w:tc>
        <w:tc>
          <w:tcPr>
            <w:tcW w:type="dxa" w:w="6973"/>
            <w:shd w:val="clear" w:color="auto" w:fill="F2F6FC"/>
          </w:tcPr>
          <w:p>
            <w:r/>
            <w:r>
              <w:rPr>
                <w:sz w:val="20"/>
              </w:rPr>
              <w:t>Aurora Workflow Manager automation for all six checks (impedance, coupling, crosstalk, return path, reflection, IR drop) via Allegro batch form replay — plus mapping of each check to the standalone high-throughput solver.</w:t>
            </w:r>
          </w:p>
        </w:tc>
      </w:tr>
      <w:tr>
        <w:tc>
          <w:tcPr>
            <w:tcW w:type="dxa" w:w="2381"/>
          </w:tcPr>
          <w:p>
            <w:r/>
            <w:r>
              <w:rPr>
                <w:sz w:val="20"/>
              </w:rPr>
              <w:t>CAD Creation (Allegro / OrCAD)</w:t>
            </w:r>
          </w:p>
        </w:tc>
        <w:tc>
          <w:tcPr>
            <w:tcW w:type="dxa" w:w="6973"/>
          </w:tcPr>
          <w:p>
            <w:r/>
            <w:r>
              <w:rPr>
                <w:sz w:val="20"/>
              </w:rPr>
              <w:t>Batch DRC and design reports; database mutation (net creation/assignment verified persisted on disk); SKILL-scripted trace / via / padstack / placement authoring; Constraint Manager scripting (~60 rule functions — spacing, physical, electrical constraint sets); full-board headless SPECCTRA autorouting (100% connected, 0 conflicts on study boards); via / pin-escape fanout routing (Z-Router) with connections control file; auto-placement engine; from-scratch board creation (DXF / IPC-2581 import / blank template); 18-layer rigid-flex stackup definitions; high-speed constraint presets (DDR4/5, PCIe Gen4/5, USB4, MIPI, 1000BASE-T); IPC-2581 / IPC-356 / ODB++-class / STEP / RS274X Gerber / drill / netlist / BOM manufacturing exports; PSpice batch simulation; schematic checklist rule engine (decoupling, pull-up/down, floating clocks, reset, test points); requirement-to-schematic authoring chain; manufacturing-package structural validation.</w:t>
            </w:r>
          </w:p>
        </w:tc>
      </w:tr>
      <w:tr>
        <w:tc>
          <w:tcPr>
            <w:tcW w:type="dxa" w:w="2381"/>
            <w:shd w:val="clear" w:color="auto" w:fill="F2F6FC"/>
          </w:tcPr>
          <w:p>
            <w:r/>
            <w:r>
              <w:rPr>
                <w:sz w:val="20"/>
              </w:rPr>
              <w:t>Thermal (Celsius)</w:t>
            </w:r>
          </w:p>
        </w:tc>
        <w:tc>
          <w:tcPr>
            <w:tcW w:type="dxa" w:w="6973"/>
            <w:shd w:val="clear" w:color="auto" w:fill="F2F6FC"/>
          </w:tcPr>
          <w:p>
            <w:r/>
            <w:r>
              <w:rPr>
                <w:sz w:val="20"/>
              </w:rPr>
              <w:t>Celsius3D electrothermal / stress, CelsiusCFD, Celsius2D — real displacement / strain / stress results produced.</w:t>
            </w:r>
          </w:p>
        </w:tc>
      </w:tr>
      <w:tr>
        <w:tc>
          <w:tcPr>
            <w:tcW w:type="dxa" w:w="2381"/>
          </w:tcPr>
          <w:p>
            <w:r/>
            <w:r>
              <w:rPr>
                <w:sz w:val="20"/>
              </w:rPr>
              <w:t>Component Sourcing &amp; Policy</w:t>
            </w:r>
          </w:p>
        </w:tc>
        <w:tc>
          <w:tcPr>
            <w:tcW w:type="dxa" w:w="6973"/>
          </w:tcPr>
          <w:p>
            <w:r/>
            <w:r>
              <w:rPr>
                <w:sz w:val="20"/>
              </w:rPr>
              <w:t>Single tool querying DigiKey, Mouser, Farnell/element14, Arrow and Avnet concurrently for stock, lead time, price, lifecycle and alternates — matching the supplier list in the LTSCT form — plus a configurable vendor-preference / AVL policy engine with BOM compliance scoring.</w:t>
            </w:r>
          </w:p>
        </w:tc>
      </w:tr>
      <w:tr>
        <w:tc>
          <w:tcPr>
            <w:tcW w:type="dxa" w:w="2381"/>
            <w:shd w:val="clear" w:color="auto" w:fill="F2F6FC"/>
          </w:tcPr>
          <w:p>
            <w:r/>
            <w:r>
              <w:rPr>
                <w:sz w:val="20"/>
              </w:rPr>
              <w:t>Platform / Enterprise</w:t>
            </w:r>
          </w:p>
        </w:tc>
        <w:tc>
          <w:tcPr>
            <w:tcW w:type="dxa" w:w="6973"/>
            <w:shd w:val="clear" w:color="auto" w:fill="F2F6FC"/>
          </w:tcPr>
          <w:p>
            <w:r/>
            <w:r>
              <w:rPr>
                <w:sz w:val="20"/>
              </w:rPr>
              <w:t>FlexNet license diagnostics (per-feature, live), install introspection, model-library tools, SharePoint and network-drive sync for designs and component libraries, declarative multi-step pipeline orchestrator, job monitoring (status / logs / cancel), stale-lock and session health handling, AI revision watermarking, change-comparison impact reports, and engineering sign-off (approval) gates.</w:t>
            </w:r>
          </w:p>
        </w:tc>
      </w:tr>
    </w:tbl>
    <w:p/>
    <w:p>
      <w:pPr>
        <w:pStyle w:val="Heading2"/>
      </w:pPr>
      <w:r>
        <w:rPr>
          <w:color w:val="1F457D"/>
          <w:sz w:val="25"/>
        </w:rPr>
        <w:t>2.2  FORJINN-form capabilities — built ahead of the POC</w:t>
      </w:r>
    </w:p>
    <w:tbl>
      <w:tblPr>
        <w:tblStyle w:val="TableGrid"/>
        <w:tblW w:type="auto" w:w="0"/>
        <w:jc w:val="center"/>
        <w:tblLook w:firstColumn="1" w:firstRow="1" w:lastColumn="0" w:lastRow="0" w:noHBand="0" w:noVBand="1" w:val="04A0"/>
      </w:tblPr>
      <w:tblGrid>
        <w:gridCol w:w="4986"/>
        <w:gridCol w:w="4986"/>
      </w:tblGrid>
      <w:tr>
        <w:tc>
          <w:tcPr>
            <w:tcW w:type="dxa" w:w="3515"/>
            <w:shd w:val="clear" w:color="auto" w:fill="1F457D"/>
          </w:tcPr>
          <w:p>
            <w:r/>
            <w:r>
              <w:rPr>
                <w:b/>
                <w:color w:val="FFFFFF"/>
                <w:sz w:val="20"/>
              </w:rPr>
              <w:t>LTSCT capability (form priority #)</w:t>
            </w:r>
          </w:p>
        </w:tc>
        <w:tc>
          <w:tcPr>
            <w:tcW w:type="dxa" w:w="5839"/>
            <w:shd w:val="clear" w:color="auto" w:fill="1F457D"/>
          </w:tcPr>
          <w:p>
            <w:r/>
            <w:r>
              <w:rPr>
                <w:b/>
                <w:color w:val="FFFFFF"/>
                <w:sz w:val="20"/>
              </w:rPr>
              <w:t>Status in our study platform</w:t>
            </w:r>
          </w:p>
        </w:tc>
      </w:tr>
      <w:tr>
        <w:tc>
          <w:tcPr>
            <w:tcW w:type="dxa" w:w="3515"/>
          </w:tcPr>
          <w:p>
            <w:r/>
            <w:r>
              <w:rPr>
                <w:sz w:val="20"/>
              </w:rPr>
              <w:t>1. Requirement-to-schematic creation</w:t>
            </w:r>
          </w:p>
        </w:tc>
        <w:tc>
          <w:tcPr>
            <w:tcW w:type="dxa" w:w="5839"/>
          </w:tcPr>
          <w:p>
            <w:r/>
            <w:r>
              <w:rPr>
                <w:sz w:val="20"/>
              </w:rPr>
              <w:t>Schematic authoring chain (part/wire/pin placement, annotate, netlist, save) + project creation from template + PSpice batch simulation — built; runs against LTSCT boards once machines are available.</w:t>
            </w:r>
          </w:p>
        </w:tc>
      </w:tr>
      <w:tr>
        <w:tc>
          <w:tcPr>
            <w:tcW w:type="dxa" w:w="3515"/>
            <w:shd w:val="clear" w:color="auto" w:fill="F2F6FC"/>
          </w:tcPr>
          <w:p>
            <w:r/>
            <w:r>
              <w:rPr>
                <w:sz w:val="20"/>
              </w:rPr>
              <w:t>2. Schematic review &amp; validation</w:t>
            </w:r>
          </w:p>
        </w:tc>
        <w:tc>
          <w:tcPr>
            <w:tcW w:type="dxa" w:w="5839"/>
            <w:shd w:val="clear" w:color="auto" w:fill="F2F6FC"/>
          </w:tcPr>
          <w:p>
            <w:r/>
            <w:r>
              <w:rPr>
                <w:sz w:val="20"/>
              </w:rPr>
              <w:t>Design-rule / ERC checks driven from Capture's own rule matrix; design reports and BOM parsing — built.</w:t>
            </w:r>
          </w:p>
        </w:tc>
      </w:tr>
      <w:tr>
        <w:tc>
          <w:tcPr>
            <w:tcW w:type="dxa" w:w="3515"/>
          </w:tcPr>
          <w:p>
            <w:r/>
            <w:r>
              <w:rPr>
                <w:sz w:val="20"/>
              </w:rPr>
              <w:t>3. Schematic checklist verification (user-defined rules)</w:t>
            </w:r>
          </w:p>
        </w:tc>
        <w:tc>
          <w:tcPr>
            <w:tcW w:type="dxa" w:w="5839"/>
          </w:tcPr>
          <w:p>
            <w:r/>
            <w:r>
              <w:rPr>
                <w:sz w:val="20"/>
              </w:rPr>
              <w:t>Rule engine over real net/BOM data (decoupling, pull-up/down, clocks, reset, test points) — built, unit-tested against real report output.</w:t>
            </w:r>
          </w:p>
        </w:tc>
      </w:tr>
      <w:tr>
        <w:tc>
          <w:tcPr>
            <w:tcW w:type="dxa" w:w="3515"/>
            <w:shd w:val="clear" w:color="auto" w:fill="F2F6FC"/>
          </w:tcPr>
          <w:p>
            <w:r/>
            <w:r>
              <w:rPr>
                <w:sz w:val="20"/>
              </w:rPr>
              <w:t>4. Component / BOM recommendation</w:t>
            </w:r>
          </w:p>
        </w:tc>
        <w:tc>
          <w:tcPr>
            <w:tcW w:type="dxa" w:w="5839"/>
            <w:shd w:val="clear" w:color="auto" w:fill="F2F6FC"/>
          </w:tcPr>
          <w:p>
            <w:r/>
            <w:r>
              <w:rPr>
                <w:sz w:val="20"/>
              </w:rPr>
              <w:t>5-distributor live lookup (stock/lead time/price/lifecycle/alternates) — built; needs LTSCT API credentials to activate on their network.</w:t>
            </w:r>
          </w:p>
        </w:tc>
      </w:tr>
      <w:tr>
        <w:tc>
          <w:tcPr>
            <w:tcW w:type="dxa" w:w="3515"/>
          </w:tcPr>
          <w:p>
            <w:r/>
            <w:r>
              <w:rPr>
                <w:sz w:val="20"/>
              </w:rPr>
              <w:t>5. BOM checklist verification (user-defined rules)</w:t>
            </w:r>
          </w:p>
        </w:tc>
        <w:tc>
          <w:tcPr>
            <w:tcW w:type="dxa" w:w="5839"/>
          </w:tcPr>
          <w:p>
            <w:r/>
            <w:r>
              <w:rPr>
                <w:sz w:val="20"/>
              </w:rPr>
              <w:t>Vendor-preference / AVL policy engine with BOM compliance scoring — built.</w:t>
            </w:r>
          </w:p>
        </w:tc>
      </w:tr>
      <w:tr>
        <w:tc>
          <w:tcPr>
            <w:tcW w:type="dxa" w:w="3515"/>
            <w:shd w:val="clear" w:color="auto" w:fill="F2F6FC"/>
          </w:tcPr>
          <w:p>
            <w:r/>
            <w:r>
              <w:rPr>
                <w:sz w:val="20"/>
              </w:rPr>
              <w:t>6. Documentation intelligence (read &amp; correlate docs)</w:t>
            </w:r>
          </w:p>
        </w:tc>
        <w:tc>
          <w:tcPr>
            <w:tcW w:type="dxa" w:w="5839"/>
            <w:shd w:val="clear" w:color="auto" w:fill="F2F6FC"/>
          </w:tcPr>
          <w:p>
            <w:r/>
            <w:r>
              <w:rPr>
                <w:sz w:val="20"/>
              </w:rPr>
              <w:t>Self-hosted retrieval over PDF / DOCX / XLSX / PPTX / CSV / HTML / images; SharePoint &amp; network-drive sync — built.</w:t>
            </w:r>
          </w:p>
        </w:tc>
      </w:tr>
      <w:tr>
        <w:tc>
          <w:tcPr>
            <w:tcW w:type="dxa" w:w="3515"/>
          </w:tcPr>
          <w:p>
            <w:r/>
            <w:r>
              <w:rPr>
                <w:sz w:val="20"/>
              </w:rPr>
              <w:t>7. Design document generation (HDD, reports, etc.)</w:t>
            </w:r>
          </w:p>
        </w:tc>
        <w:tc>
          <w:tcPr>
            <w:tcW w:type="dxa" w:w="5839"/>
          </w:tcPr>
          <w:p>
            <w:r/>
            <w:r>
              <w:rPr>
                <w:sz w:val="20"/>
              </w:rPr>
              <w:t>Hardware Design Document, architecture / interface descriptions, BOM summaries, design review reports, requirement-to-design traceability matrix — auto-generated — built.</w:t>
            </w:r>
          </w:p>
        </w:tc>
      </w:tr>
      <w:tr>
        <w:tc>
          <w:tcPr>
            <w:tcW w:type="dxa" w:w="3515"/>
            <w:shd w:val="clear" w:color="auto" w:fill="F2F6FC"/>
          </w:tcPr>
          <w:p>
            <w:r/>
            <w:r>
              <w:rPr>
                <w:sz w:val="20"/>
              </w:rPr>
              <w:t>8. Test plan creation</w:t>
            </w:r>
          </w:p>
        </w:tc>
        <w:tc>
          <w:tcPr>
            <w:tcW w:type="dxa" w:w="5839"/>
            <w:shd w:val="clear" w:color="auto" w:fill="F2F6FC"/>
          </w:tcPr>
          <w:p>
            <w:r/>
            <w:r>
              <w:rPr>
                <w:sz w:val="20"/>
              </w:rPr>
              <w:t>Validation &amp; bring-up test plan generation from requirements / schematics / interfaces / power architecture — built.</w:t>
            </w:r>
          </w:p>
        </w:tc>
      </w:tr>
      <w:tr>
        <w:tc>
          <w:tcPr>
            <w:tcW w:type="dxa" w:w="3515"/>
          </w:tcPr>
          <w:p>
            <w:r/>
            <w:r>
              <w:rPr>
                <w:sz w:val="20"/>
              </w:rPr>
              <w:t>9. User guide creation</w:t>
            </w:r>
          </w:p>
        </w:tc>
        <w:tc>
          <w:tcPr>
            <w:tcW w:type="dxa" w:w="5839"/>
          </w:tcPr>
          <w:p>
            <w:r/>
            <w:r>
              <w:rPr>
                <w:sz w:val="20"/>
              </w:rPr>
              <w:t>Board user guide generation (setup, connectors, interfaces, power, jumpers, test points, troubleshooting) — built.</w:t>
            </w:r>
          </w:p>
        </w:tc>
      </w:tr>
      <w:tr>
        <w:tc>
          <w:tcPr>
            <w:tcW w:type="dxa" w:w="3515"/>
            <w:shd w:val="clear" w:color="auto" w:fill="F2F6FC"/>
          </w:tcPr>
          <w:p>
            <w:r/>
            <w:r>
              <w:rPr>
                <w:sz w:val="20"/>
              </w:rPr>
              <w:t>10. DRC/ERC &amp; constraint checking</w:t>
            </w:r>
          </w:p>
        </w:tc>
        <w:tc>
          <w:tcPr>
            <w:tcW w:type="dxa" w:w="5839"/>
            <w:shd w:val="clear" w:color="auto" w:fill="F2F6FC"/>
          </w:tcPr>
          <w:p>
            <w:r/>
            <w:r>
              <w:rPr>
                <w:sz w:val="20"/>
              </w:rPr>
              <w:t>Batch DRC, constraint validation, checklist compliance — confirmed live on real boards.</w:t>
            </w:r>
          </w:p>
        </w:tc>
      </w:tr>
      <w:tr>
        <w:tc>
          <w:tcPr>
            <w:tcW w:type="dxa" w:w="3515"/>
          </w:tcPr>
          <w:p>
            <w:r/>
            <w:r>
              <w:rPr>
                <w:sz w:val="20"/>
              </w:rPr>
              <w:t>11. Placement &amp; routing assistance</w:t>
            </w:r>
          </w:p>
        </w:tc>
        <w:tc>
          <w:tcPr>
            <w:tcW w:type="dxa" w:w="5839"/>
          </w:tcPr>
          <w:p>
            <w:r/>
            <w:r>
              <w:rPr>
                <w:sz w:val="20"/>
              </w:rPr>
              <w:t>Auto-placement + full-board autorouting + Z-Router fanout + constraint-driven rules — confirmed (100% connected on study boards).</w:t>
            </w:r>
          </w:p>
        </w:tc>
      </w:tr>
      <w:tr>
        <w:tc>
          <w:tcPr>
            <w:tcW w:type="dxa" w:w="3515"/>
            <w:shd w:val="clear" w:color="auto" w:fill="F2F6FC"/>
          </w:tcPr>
          <w:p>
            <w:r/>
            <w:r>
              <w:rPr>
                <w:sz w:val="20"/>
              </w:rPr>
              <w:t>12. Gerber / manufacturing package analysis</w:t>
            </w:r>
          </w:p>
        </w:tc>
        <w:tc>
          <w:tcPr>
            <w:tcW w:type="dxa" w:w="5839"/>
            <w:shd w:val="clear" w:color="auto" w:fill="F2F6FC"/>
          </w:tcPr>
          <w:p>
            <w:r/>
            <w:r>
              <w:rPr>
                <w:sz w:val="20"/>
              </w:rPr>
              <w:t>Gerber / IPC-2581 / IPC-356 / STEP / drill generation + structural validation of every artifact — confirmed live.</w:t>
            </w:r>
          </w:p>
        </w:tc>
      </w:tr>
    </w:tbl>
    <w:p/>
    <w:p>
      <w:pPr>
        <w:pStyle w:val="Heading2"/>
      </w:pPr>
      <w:r>
        <w:rPr>
          <w:color w:val="1F457D"/>
          <w:sz w:val="25"/>
        </w:rPr>
        <w:t>2.3  Evaluation evidence — 12/12 end-to-end tasks passed</w:t>
      </w:r>
    </w:p>
    <w:p>
      <w:r>
        <w:rPr>
          <w:b w:val="0"/>
          <w:i w:val="0"/>
          <w:sz w:val="21"/>
        </w:rPr>
        <w:t>We evaluated the platform by running realistic engineering tasks driven by self-hosted AI models (two separate inference nodes on an internal LAN, no external internet) against the full tool suite. All twelve task-and-endpoint runs reached a verified final answer:</w:t>
      </w:r>
    </w:p>
    <w:tbl>
      <w:tblPr>
        <w:tblStyle w:val="TableGrid"/>
        <w:tblW w:type="auto" w:w="0"/>
        <w:jc w:val="center"/>
        <w:tblLook w:firstColumn="1" w:firstRow="1" w:lastColumn="0" w:lastRow="0" w:noHBand="0" w:noVBand="1" w:val="04A0"/>
      </w:tblPr>
      <w:tblGrid>
        <w:gridCol w:w="4986"/>
        <w:gridCol w:w="4986"/>
      </w:tblGrid>
      <w:tr>
        <w:tc>
          <w:tcPr>
            <w:tcW w:type="dxa" w:w="5953"/>
            <w:shd w:val="clear" w:color="auto" w:fill="1F457D"/>
          </w:tcPr>
          <w:p>
            <w:r/>
            <w:r>
              <w:rPr>
                <w:b/>
                <w:color w:val="FFFFFF"/>
                <w:sz w:val="20"/>
              </w:rPr>
              <w:t>Task (as executed by the AI agent)</w:t>
            </w:r>
          </w:p>
        </w:tc>
        <w:tc>
          <w:tcPr>
            <w:tcW w:type="dxa" w:w="3402"/>
            <w:shd w:val="clear" w:color="auto" w:fill="1F457D"/>
          </w:tcPr>
          <w:p>
            <w:r/>
            <w:r>
              <w:rPr>
                <w:b/>
                <w:color w:val="FFFFFF"/>
                <w:sz w:val="20"/>
              </w:rPr>
              <w:t>Result</w:t>
            </w:r>
          </w:p>
        </w:tc>
      </w:tr>
      <w:tr>
        <w:tc>
          <w:tcPr>
            <w:tcW w:type="dxa" w:w="5953"/>
          </w:tcPr>
          <w:p>
            <w:r/>
            <w:r>
              <w:rPr>
                <w:sz w:val="20"/>
              </w:rPr>
              <w:t>Schematic DB / .brd → PowerSI power-integrity signoff (end to end)</w:t>
            </w:r>
          </w:p>
        </w:tc>
        <w:tc>
          <w:tcPr>
            <w:tcW w:type="dxa" w:w="3402"/>
          </w:tcPr>
          <w:p>
            <w:r/>
            <w:r>
              <w:rPr>
                <w:sz w:val="20"/>
              </w:rPr>
              <w:t>OK, 92–227 s, 0 errors</w:t>
            </w:r>
          </w:p>
        </w:tc>
      </w:tr>
      <w:tr>
        <w:tc>
          <w:tcPr>
            <w:tcW w:type="dxa" w:w="5953"/>
            <w:shd w:val="clear" w:color="auto" w:fill="F2F6FC"/>
          </w:tcPr>
          <w:p>
            <w:r/>
            <w:r>
              <w:rPr>
                <w:sz w:val="20"/>
              </w:rPr>
              <w:t>Allegro design report + design-integrity check on a real board</w:t>
            </w:r>
          </w:p>
        </w:tc>
        <w:tc>
          <w:tcPr>
            <w:tcW w:type="dxa" w:w="3402"/>
            <w:shd w:val="clear" w:color="auto" w:fill="F2F6FC"/>
          </w:tcPr>
          <w:p>
            <w:r/>
            <w:r>
              <w:rPr>
                <w:sz w:val="20"/>
              </w:rPr>
              <w:t>OK, 26–89 s, 0 errors</w:t>
            </w:r>
          </w:p>
        </w:tc>
      </w:tr>
      <w:tr>
        <w:tc>
          <w:tcPr>
            <w:tcW w:type="dxa" w:w="5953"/>
          </w:tcPr>
          <w:p>
            <w:r/>
            <w:r>
              <w:rPr>
                <w:sz w:val="20"/>
              </w:rPr>
              <w:t>In-design analysis scope + solver recommendations</w:t>
            </w:r>
          </w:p>
        </w:tc>
        <w:tc>
          <w:tcPr>
            <w:tcW w:type="dxa" w:w="3402"/>
          </w:tcPr>
          <w:p>
            <w:r/>
            <w:r>
              <w:rPr>
                <w:sz w:val="20"/>
              </w:rPr>
              <w:t>OK, 25–81 s, 0 errors</w:t>
            </w:r>
          </w:p>
        </w:tc>
      </w:tr>
      <w:tr>
        <w:tc>
          <w:tcPr>
            <w:tcW w:type="dxa" w:w="5953"/>
            <w:shd w:val="clear" w:color="auto" w:fill="F2F6FC"/>
          </w:tcPr>
          <w:p>
            <w:r/>
            <w:r>
              <w:rPr>
                <w:sz w:val="20"/>
              </w:rPr>
              <w:t>Batch DRC + auto-placement on a real board (incl. honest reporting of a genuine board issue)</w:t>
            </w:r>
          </w:p>
        </w:tc>
        <w:tc>
          <w:tcPr>
            <w:tcW w:type="dxa" w:w="3402"/>
            <w:shd w:val="clear" w:color="auto" w:fill="F2F6FC"/>
          </w:tcPr>
          <w:p>
            <w:r/>
            <w:r>
              <w:rPr>
                <w:sz w:val="20"/>
              </w:rPr>
              <w:t>OK, 21–82 s, 0 errors</w:t>
            </w:r>
          </w:p>
        </w:tc>
      </w:tr>
      <w:tr>
        <w:tc>
          <w:tcPr>
            <w:tcW w:type="dxa" w:w="5953"/>
          </w:tcPr>
          <w:p>
            <w:r/>
            <w:r>
              <w:rPr>
                <w:sz w:val="20"/>
              </w:rPr>
              <w:t>Manufacturing export (IPC-2581 + STEP) + IBIS model check</w:t>
            </w:r>
          </w:p>
        </w:tc>
        <w:tc>
          <w:tcPr>
            <w:tcW w:type="dxa" w:w="3402"/>
          </w:tcPr>
          <w:p>
            <w:r/>
            <w:r>
              <w:rPr>
                <w:sz w:val="20"/>
              </w:rPr>
              <w:t>OK, 63–117 s, 0 errors</w:t>
            </w:r>
          </w:p>
        </w:tc>
      </w:tr>
      <w:tr>
        <w:tc>
          <w:tcPr>
            <w:tcW w:type="dxa" w:w="5953"/>
            <w:shd w:val="clear" w:color="auto" w:fill="F2F6FC"/>
          </w:tcPr>
          <w:p>
            <w:r/>
            <w:r>
              <w:rPr>
                <w:sz w:val="20"/>
              </w:rPr>
              <w:t>Full Celsius3D electrothermal / stress signoff</w:t>
            </w:r>
          </w:p>
        </w:tc>
        <w:tc>
          <w:tcPr>
            <w:tcW w:type="dxa" w:w="3402"/>
            <w:shd w:val="clear" w:color="auto" w:fill="F2F6FC"/>
          </w:tcPr>
          <w:p>
            <w:r/>
            <w:r>
              <w:rPr>
                <w:sz w:val="20"/>
              </w:rPr>
              <w:t>OK, 662–784 s, 0 errors</w:t>
            </w:r>
          </w:p>
        </w:tc>
      </w:tr>
    </w:tbl>
    <w:p/>
    <w:p>
      <w:r>
        <w:rPr>
          <w:b w:val="0"/>
          <w:i w:val="0"/>
          <w:sz w:val="21"/>
        </w:rPr>
        <w:t>The same evaluation demonstrated the operating behaviour LTSCT requires in Section 5.2 of the form: the agent runs only on customer-controlled infrastructure, reports honest tool outcomes rather than fabricating success, and leaves a full audit trail of every run (prompt, tool calls, results, time).</w:t>
      </w:r>
    </w:p>
    <w:p>
      <w:pPr>
        <w:pStyle w:val="Heading1"/>
      </w:pPr>
      <w:r>
        <w:rPr>
          <w:color w:val="1F457D"/>
          <w:sz w:val="30"/>
        </w:rPr>
        <w:t>3.  What We Will Implement on LTSCT Infrastructure</w:t>
      </w:r>
    </w:p>
    <w:p>
      <w:r>
        <w:rPr>
          <w:b w:val="0"/>
          <w:i w:val="0"/>
          <w:sz w:val="21"/>
        </w:rPr>
        <w:t>These are the remaining implementation steps. They require no new development — they are deployment, configuration, and the first runs on LTSCT's own boards and documents. We will execute them as soon as the machines in Section 4 are available:</w:t>
      </w:r>
    </w:p>
    <w:tbl>
      <w:tblPr>
        <w:tblStyle w:val="TableGrid"/>
        <w:tblW w:type="auto" w:w="0"/>
        <w:jc w:val="center"/>
        <w:tblLook w:firstColumn="1" w:firstRow="1" w:lastColumn="0" w:lastRow="0" w:noHBand="0" w:noVBand="1" w:val="04A0"/>
      </w:tblPr>
      <w:tblGrid>
        <w:gridCol w:w="3324"/>
        <w:gridCol w:w="3324"/>
        <w:gridCol w:w="3324"/>
      </w:tblGrid>
      <w:tr>
        <w:tc>
          <w:tcPr>
            <w:tcW w:type="dxa" w:w="680"/>
            <w:shd w:val="clear" w:color="auto" w:fill="1F457D"/>
          </w:tcPr>
          <w:p>
            <w:r/>
            <w:r>
              <w:rPr>
                <w:b/>
                <w:color w:val="FFFFFF"/>
                <w:sz w:val="20"/>
              </w:rPr>
              <w:t>#</w:t>
            </w:r>
          </w:p>
        </w:tc>
        <w:tc>
          <w:tcPr>
            <w:tcW w:type="dxa" w:w="6236"/>
            <w:shd w:val="clear" w:color="auto" w:fill="1F457D"/>
          </w:tcPr>
          <w:p>
            <w:r/>
            <w:r>
              <w:rPr>
                <w:b/>
                <w:color w:val="FFFFFF"/>
                <w:sz w:val="20"/>
              </w:rPr>
              <w:t>Implementation item</w:t>
            </w:r>
          </w:p>
        </w:tc>
        <w:tc>
          <w:tcPr>
            <w:tcW w:type="dxa" w:w="2438"/>
            <w:shd w:val="clear" w:color="auto" w:fill="1F457D"/>
          </w:tcPr>
          <w:p>
            <w:r/>
            <w:r>
              <w:rPr>
                <w:b/>
                <w:color w:val="FFFFFF"/>
                <w:sz w:val="20"/>
              </w:rPr>
              <w:t>Blocked on</w:t>
            </w:r>
          </w:p>
        </w:tc>
      </w:tr>
      <w:tr>
        <w:tc>
          <w:tcPr>
            <w:tcW w:type="dxa" w:w="680"/>
          </w:tcPr>
          <w:p>
            <w:r/>
            <w:r>
              <w:rPr>
                <w:sz w:val="20"/>
              </w:rPr>
              <w:t>W1</w:t>
            </w:r>
          </w:p>
        </w:tc>
        <w:tc>
          <w:tcPr>
            <w:tcW w:type="dxa" w:w="6236"/>
          </w:tcPr>
          <w:p>
            <w:r/>
            <w:r>
              <w:rPr>
                <w:sz w:val="20"/>
              </w:rPr>
              <w:t>Install &amp; validate the tool platform on LTSCT Windows 10 workstations against LTSCT's installed Allegro 22.1 / Sigrity 24.1; run the 12-task evaluation suite on LTSCT infrastructure as the green baseline</w:t>
            </w:r>
          </w:p>
        </w:tc>
        <w:tc>
          <w:tcPr>
            <w:tcW w:type="dxa" w:w="2438"/>
          </w:tcPr>
          <w:p>
            <w:r/>
            <w:r>
              <w:rPr>
                <w:sz w:val="20"/>
              </w:rPr>
              <w:t>Workstations + license reachability (form 2.2)</w:t>
            </w:r>
          </w:p>
        </w:tc>
      </w:tr>
      <w:tr>
        <w:tc>
          <w:tcPr>
            <w:tcW w:type="dxa" w:w="680"/>
            <w:shd w:val="clear" w:color="auto" w:fill="F2F6FC"/>
          </w:tcPr>
          <w:p>
            <w:r/>
            <w:r>
              <w:rPr>
                <w:sz w:val="20"/>
              </w:rPr>
              <w:t>W2</w:t>
            </w:r>
          </w:p>
        </w:tc>
        <w:tc>
          <w:tcPr>
            <w:tcW w:type="dxa" w:w="6236"/>
            <w:shd w:val="clear" w:color="auto" w:fill="F2F6FC"/>
          </w:tcPr>
          <w:p>
            <w:r/>
            <w:r>
              <w:rPr>
                <w:sz w:val="20"/>
              </w:rPr>
              <w:t>Wire the self-hosted AI model nodes (per the deployment option confirmed in Section 5) to the agent service</w:t>
            </w:r>
          </w:p>
        </w:tc>
        <w:tc>
          <w:tcPr>
            <w:tcW w:type="dxa" w:w="2438"/>
            <w:shd w:val="clear" w:color="auto" w:fill="F2F6FC"/>
          </w:tcPr>
          <w:p>
            <w:r/>
            <w:r>
              <w:rPr>
                <w:sz w:val="20"/>
              </w:rPr>
              <w:t>AI node provisioning (Section 5)</w:t>
            </w:r>
          </w:p>
        </w:tc>
      </w:tr>
      <w:tr>
        <w:tc>
          <w:tcPr>
            <w:tcW w:type="dxa" w:w="680"/>
          </w:tcPr>
          <w:p>
            <w:r/>
            <w:r>
              <w:rPr>
                <w:sz w:val="20"/>
              </w:rPr>
              <w:t>W3</w:t>
            </w:r>
          </w:p>
        </w:tc>
        <w:tc>
          <w:tcPr>
            <w:tcW w:type="dxa" w:w="6236"/>
          </w:tcPr>
          <w:p>
            <w:r/>
            <w:r>
              <w:rPr>
                <w:sz w:val="20"/>
              </w:rPr>
              <w:t>Ingest LTSCT's two benchmark boards (.dsn / .brd) + reference documents into the design index, component knowledge base, and retrieval index; wire SharePoint / network-drive sync</w:t>
            </w:r>
          </w:p>
        </w:tc>
        <w:tc>
          <w:tcPr>
            <w:tcW w:type="dxa" w:w="2438"/>
          </w:tcPr>
          <w:p>
            <w:r/>
            <w:r>
              <w:rPr>
                <w:sz w:val="20"/>
              </w:rPr>
              <w:t>LTSCT data drop (Section 4)</w:t>
            </w:r>
          </w:p>
        </w:tc>
      </w:tr>
      <w:tr>
        <w:tc>
          <w:tcPr>
            <w:tcW w:type="dxa" w:w="680"/>
            <w:shd w:val="clear" w:color="auto" w:fill="F2F6FC"/>
          </w:tcPr>
          <w:p>
            <w:r/>
            <w:r>
              <w:rPr>
                <w:sz w:val="20"/>
              </w:rPr>
              <w:t>W4</w:t>
            </w:r>
          </w:p>
        </w:tc>
        <w:tc>
          <w:tcPr>
            <w:tcW w:type="dxa" w:w="6236"/>
            <w:shd w:val="clear" w:color="auto" w:fill="F2F6FC"/>
          </w:tcPr>
          <w:p>
            <w:r/>
            <w:r>
              <w:rPr>
                <w:sz w:val="20"/>
              </w:rPr>
              <w:t>Measure LTSCT's current baseline: manual schematic creation / review timing per engineer, on the benchmark module — the number the POC success criteria are measured against</w:t>
            </w:r>
          </w:p>
        </w:tc>
        <w:tc>
          <w:tcPr>
            <w:tcW w:type="dxa" w:w="2438"/>
            <w:shd w:val="clear" w:color="auto" w:fill="F2F6FC"/>
          </w:tcPr>
          <w:p>
            <w:r/>
            <w:r>
              <w:rPr>
                <w:sz w:val="20"/>
              </w:rPr>
              <w:t>2 POC users</w:t>
            </w:r>
          </w:p>
        </w:tc>
      </w:tr>
      <w:tr>
        <w:tc>
          <w:tcPr>
            <w:tcW w:type="dxa" w:w="680"/>
          </w:tcPr>
          <w:p>
            <w:r/>
            <w:r>
              <w:rPr>
                <w:sz w:val="20"/>
              </w:rPr>
              <w:t>W5</w:t>
            </w:r>
          </w:p>
        </w:tc>
        <w:tc>
          <w:tcPr>
            <w:tcW w:type="dxa" w:w="6236"/>
          </w:tcPr>
          <w:p>
            <w:r/>
            <w:r>
              <w:rPr>
                <w:sz w:val="20"/>
              </w:rPr>
              <w:t>Configure LTSCT's design-rule values (trace / clearance, via / annular ring, differential-pair impedance, copper weight) and internal standards into the constraint + checklist rule engines (Section 4.2 of the form, currently blank)</w:t>
            </w:r>
          </w:p>
        </w:tc>
        <w:tc>
          <w:tcPr>
            <w:tcW w:type="dxa" w:w="2438"/>
          </w:tcPr>
          <w:p>
            <w:r/>
            <w:r>
              <w:rPr>
                <w:sz w:val="20"/>
              </w:rPr>
              <w:t>LTSCT rule documentation</w:t>
            </w:r>
          </w:p>
        </w:tc>
      </w:tr>
      <w:tr>
        <w:tc>
          <w:tcPr>
            <w:tcW w:type="dxa" w:w="680"/>
            <w:shd w:val="clear" w:color="auto" w:fill="F2F6FC"/>
          </w:tcPr>
          <w:p>
            <w:r/>
            <w:r>
              <w:rPr>
                <w:sz w:val="20"/>
              </w:rPr>
              <w:t>W6</w:t>
            </w:r>
          </w:p>
        </w:tc>
        <w:tc>
          <w:tcPr>
            <w:tcW w:type="dxa" w:w="6236"/>
            <w:shd w:val="clear" w:color="auto" w:fill="F2F6FC"/>
          </w:tcPr>
          <w:p>
            <w:r/>
            <w:r>
              <w:rPr>
                <w:sz w:val="20"/>
              </w:rPr>
              <w:t>Activate supplier-portal credentials (DigiKey / Mouser / Farnell / Arrow / Avnet) and load the project's preferred-vendor / AVL policy</w:t>
            </w:r>
          </w:p>
        </w:tc>
        <w:tc>
          <w:tcPr>
            <w:tcW w:type="dxa" w:w="2438"/>
            <w:shd w:val="clear" w:color="auto" w:fill="F2F6FC"/>
          </w:tcPr>
          <w:p>
            <w:r/>
            <w:r>
              <w:rPr>
                <w:sz w:val="20"/>
              </w:rPr>
              <w:t>LTSCT API keys + InfoSec egress sign-off</w:t>
            </w:r>
          </w:p>
        </w:tc>
      </w:tr>
      <w:tr>
        <w:tc>
          <w:tcPr>
            <w:tcW w:type="dxa" w:w="680"/>
          </w:tcPr>
          <w:p>
            <w:r/>
            <w:r>
              <w:rPr>
                <w:sz w:val="20"/>
              </w:rPr>
              <w:t>W7</w:t>
            </w:r>
          </w:p>
        </w:tc>
        <w:tc>
          <w:tcPr>
            <w:tcW w:type="dxa" w:w="6236"/>
          </w:tcPr>
          <w:p>
            <w:r/>
            <w:r>
              <w:rPr>
                <w:sz w:val="20"/>
              </w:rPr>
              <w:t>Stand up the approval gateway (human sign-off roles, AI-revision tags, audit logging, retention values per LTSCT IT policy)</w:t>
            </w:r>
          </w:p>
        </w:tc>
        <w:tc>
          <w:tcPr>
            <w:tcW w:type="dxa" w:w="2438"/>
          </w:tcPr>
          <w:p>
            <w:r/>
            <w:r>
              <w:rPr>
                <w:sz w:val="20"/>
              </w:rPr>
              <w:t>LTSCT IT sign-off (Section 5, items 3–5)</w:t>
            </w:r>
          </w:p>
        </w:tc>
      </w:tr>
      <w:tr>
        <w:tc>
          <w:tcPr>
            <w:tcW w:type="dxa" w:w="680"/>
            <w:shd w:val="clear" w:color="auto" w:fill="F2F6FC"/>
          </w:tcPr>
          <w:p>
            <w:r/>
            <w:r>
              <w:rPr>
                <w:sz w:val="20"/>
              </w:rPr>
              <w:t>W8</w:t>
            </w:r>
          </w:p>
        </w:tc>
        <w:tc>
          <w:tcPr>
            <w:tcW w:type="dxa" w:w="6236"/>
            <w:shd w:val="clear" w:color="auto" w:fill="F2F6FC"/>
          </w:tcPr>
          <w:p>
            <w:r/>
            <w:r>
              <w:rPr>
                <w:sz w:val="20"/>
              </w:rPr>
              <w:t>End-to-end POC delivery on both benchmark boards, per the timeline in Section 6</w:t>
            </w:r>
          </w:p>
        </w:tc>
        <w:tc>
          <w:tcPr>
            <w:tcW w:type="dxa" w:w="2438"/>
            <w:shd w:val="clear" w:color="auto" w:fill="F2F6FC"/>
          </w:tcPr>
          <w:p>
            <w:r/>
            <w:r>
              <w:rPr>
                <w:sz w:val="20"/>
              </w:rPr>
              <w:t>All of the above</w:t>
            </w:r>
          </w:p>
        </w:tc>
      </w:tr>
    </w:tbl>
    <w:p/>
    <w:p>
      <w:pPr>
        <w:pStyle w:val="Heading1"/>
      </w:pPr>
      <w:r>
        <w:rPr>
          <w:color w:val="1F457D"/>
          <w:sz w:val="30"/>
        </w:rPr>
        <w:t>4.  POC Inputs We Need from LTSCT (Week-1 checklist)</w:t>
      </w:r>
    </w:p>
    <w:p>
      <w:pPr>
        <w:pStyle w:val="ListBullet"/>
      </w:pPr>
      <w:r>
        <w:t>Workstation pool — see Section 4.1 minimum specification.</w:t>
      </w:r>
    </w:p>
    <w:p>
      <w:pPr>
        <w:pStyle w:val="ListBullet"/>
      </w:pPr>
      <w:r>
        <w:t>Native .dsn / .brd of the two benchmark boards (FRDM-IMX91 class) plus 3–5 reference designs if available (simple to complex).</w:t>
      </w:r>
    </w:p>
    <w:p>
      <w:pPr>
        <w:pStyle w:val="ListBullet"/>
      </w:pPr>
      <w:r>
        <w:t>Reference documents: datasheets, reference manuals, errata, application notes, HRS / PRD, board &amp; SI/PI design guidelines, DFM/DFA checklists, AVL.</w:t>
      </w:r>
    </w:p>
    <w:p>
      <w:pPr>
        <w:pStyle w:val="ListBullet"/>
      </w:pPr>
      <w:r>
        <w:t>Design-rule values from Section 4.2 of the form (currently blank) — or the internal PCB layout guideline document containing them.</w:t>
      </w:r>
    </w:p>
    <w:p>
      <w:pPr>
        <w:pStyle w:val="ListBullet"/>
      </w:pPr>
      <w:r>
        <w:t>Supplier API credentials (DigiKey / Mouser / Farnell / Arrow / Avnet) and the InfoSec-approved egress allow-list.</w:t>
      </w:r>
    </w:p>
    <w:p>
      <w:pPr>
        <w:pStyle w:val="ListBullet"/>
      </w:pPr>
      <w:r>
        <w:t>SSO / identity details (protocol and service account) for the two POC users.</w:t>
      </w:r>
    </w:p>
    <w:p>
      <w:pPr>
        <w:pStyle w:val="ListBullet"/>
      </w:pPr>
      <w:r>
        <w:t>Log-retention values per LTSCT IT / security policy.</w:t>
      </w:r>
    </w:p>
    <w:p>
      <w:pPr>
        <w:pStyle w:val="Heading2"/>
      </w:pPr>
      <w:r>
        <w:rPr>
          <w:color w:val="1F457D"/>
          <w:sz w:val="25"/>
        </w:rPr>
        <w:t>4.1  Workstation &amp; compute specification (minimum)</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color="auto" w:fill="1F457D"/>
          </w:tcPr>
          <w:p>
            <w:r/>
            <w:r>
              <w:rPr>
                <w:b/>
                <w:color w:val="FFFFFF"/>
                <w:sz w:val="20"/>
              </w:rPr>
              <w:t>Resource</w:t>
            </w:r>
          </w:p>
        </w:tc>
        <w:tc>
          <w:tcPr>
            <w:tcW w:type="dxa" w:w="2268"/>
            <w:shd w:val="clear" w:color="auto" w:fill="1F457D"/>
          </w:tcPr>
          <w:p>
            <w:r/>
            <w:r>
              <w:rPr>
                <w:b/>
                <w:color w:val="FFFFFF"/>
                <w:sz w:val="20"/>
              </w:rPr>
              <w:t>Minimum for 2-user POC</w:t>
            </w:r>
          </w:p>
        </w:tc>
        <w:tc>
          <w:tcPr>
            <w:tcW w:type="dxa" w:w="5272"/>
            <w:shd w:val="clear" w:color="auto" w:fill="1F457D"/>
          </w:tcPr>
          <w:p>
            <w:r/>
            <w:r>
              <w:rPr>
                <w:b/>
                <w:color w:val="FFFFFF"/>
                <w:sz w:val="20"/>
              </w:rPr>
              <w:t>Purpose</w:t>
            </w:r>
          </w:p>
        </w:tc>
      </w:tr>
      <w:tr>
        <w:tc>
          <w:tcPr>
            <w:tcW w:type="dxa" w:w="1814"/>
          </w:tcPr>
          <w:p>
            <w:r/>
            <w:r>
              <w:rPr>
                <w:sz w:val="20"/>
              </w:rPr>
              <w:t>Windows 10 workstations</w:t>
            </w:r>
          </w:p>
        </w:tc>
        <w:tc>
          <w:tcPr>
            <w:tcW w:type="dxa" w:w="2268"/>
          </w:tcPr>
          <w:p>
            <w:r/>
            <w:r>
              <w:rPr>
                <w:sz w:val="20"/>
              </w:rPr>
              <w:t>1–2</w:t>
            </w:r>
          </w:p>
        </w:tc>
        <w:tc>
          <w:tcPr>
            <w:tcW w:type="dxa" w:w="5272"/>
          </w:tcPr>
          <w:p>
            <w:r/>
            <w:r>
              <w:rPr>
                <w:sz w:val="20"/>
              </w:rPr>
              <w:t>Run the Cadence study / test environment (Allegro PCB Editor + Sigrity 24.1, enterprise FlexNet licenses — named or floating as LTSCT holds; reachability to the license server is already confirmed in form 2.2). The FORJINN platform runs as a local service on these same hosts and checks out floating seats the same way the engineers' interactive tools do — no additional EDA seats required.</w:t>
            </w:r>
          </w:p>
        </w:tc>
      </w:tr>
      <w:tr>
        <w:tc>
          <w:tcPr>
            <w:tcW w:type="dxa" w:w="1814"/>
            <w:shd w:val="clear" w:color="auto" w:fill="F2F6FC"/>
          </w:tcPr>
          <w:p>
            <w:r/>
            <w:r>
              <w:rPr>
                <w:sz w:val="20"/>
              </w:rPr>
              <w:t>AI inference node</w:t>
            </w:r>
          </w:p>
        </w:tc>
        <w:tc>
          <w:tcPr>
            <w:tcW w:type="dxa" w:w="2268"/>
            <w:shd w:val="clear" w:color="auto" w:fill="F2F6FC"/>
          </w:tcPr>
          <w:p>
            <w:r/>
            <w:r>
              <w:rPr>
                <w:sz w:val="20"/>
              </w:rPr>
              <w:t>1 GPU server (≈80 GB-class VRAM, e.g. one 100+ GB GPU or two 48–80 GB GPUs; 32-GB-class minimum acceptable with a smaller model)</w:t>
            </w:r>
          </w:p>
        </w:tc>
        <w:tc>
          <w:tcPr>
            <w:tcW w:type="dxa" w:w="5272"/>
            <w:shd w:val="clear" w:color="auto" w:fill="F2F6FC"/>
          </w:tcPr>
          <w:p>
            <w:r/>
            <w:r>
              <w:rPr>
                <w:sz w:val="20"/>
              </w:rPr>
              <w:t>Self-hosted LLM serving the agent core. Our own 12/12 evaluation ran at comparable scale (OpenAI-compatible service, e.g. a ~30–40B-class model); if LTSCT compute is more limited, we adapt the model size down — the evaluation proves the pipeline at that class.</w:t>
            </w:r>
          </w:p>
        </w:tc>
      </w:tr>
      <w:tr>
        <w:tc>
          <w:tcPr>
            <w:tcW w:type="dxa" w:w="1814"/>
          </w:tcPr>
          <w:p>
            <w:r/>
            <w:r>
              <w:rPr>
                <w:sz w:val="20"/>
              </w:rPr>
              <w:t>Storage</w:t>
            </w:r>
          </w:p>
        </w:tc>
        <w:tc>
          <w:tcPr>
            <w:tcW w:type="dxa" w:w="2268"/>
          </w:tcPr>
          <w:p>
            <w:r/>
            <w:r>
              <w:rPr>
                <w:sz w:val="20"/>
              </w:rPr>
              <w:t>≈1–2 TB shared storage</w:t>
            </w:r>
          </w:p>
        </w:tc>
        <w:tc>
          <w:tcPr>
            <w:tcW w:type="dxa" w:w="5272"/>
          </w:tcPr>
          <w:p>
            <w:r/>
            <w:r>
              <w:rPr>
                <w:sz w:val="20"/>
              </w:rPr>
              <w:t>Designs, libraries, reference documents, agent run outputs, audit logs.</w:t>
            </w:r>
          </w:p>
        </w:tc>
      </w:tr>
      <w:tr>
        <w:tc>
          <w:tcPr>
            <w:tcW w:type="dxa" w:w="1814"/>
            <w:shd w:val="clear" w:color="auto" w:fill="F2F6FC"/>
          </w:tcPr>
          <w:p>
            <w:r/>
            <w:r>
              <w:rPr>
                <w:sz w:val="20"/>
              </w:rPr>
              <w:t>Network</w:t>
            </w:r>
          </w:p>
        </w:tc>
        <w:tc>
          <w:tcPr>
            <w:tcW w:type="dxa" w:w="2268"/>
            <w:shd w:val="clear" w:color="auto" w:fill="F2F6FC"/>
          </w:tcPr>
          <w:p>
            <w:r/>
            <w:r>
              <w:rPr>
                <w:sz w:val="20"/>
              </w:rPr>
              <w:t>Internal LAN (workstations ↔ license server ↔ storage ↔ AI node); egress only to the approved supplier / technical-document allow-list</w:t>
            </w:r>
          </w:p>
        </w:tc>
        <w:tc>
          <w:tcPr>
            <w:tcW w:type="dxa" w:w="5272"/>
            <w:shd w:val="clear" w:color="auto" w:fill="F2F6FC"/>
          </w:tcPr>
          <w:p>
            <w:r/>
            <w:r>
              <w:rPr>
                <w:sz w:val="20"/>
              </w:rPr>
              <w:t>Per Section 6 of the form.</w:t>
            </w:r>
          </w:p>
        </w:tc>
      </w:tr>
      <w:tr>
        <w:tc>
          <w:tcPr>
            <w:tcW w:type="dxa" w:w="1814"/>
          </w:tcPr>
          <w:p>
            <w:r/>
            <w:r>
              <w:rPr>
                <w:sz w:val="20"/>
              </w:rPr>
              <w:t>Microsoft Excel</w:t>
            </w:r>
          </w:p>
        </w:tc>
        <w:tc>
          <w:tcPr>
            <w:tcW w:type="dxa" w:w="2268"/>
          </w:tcPr>
          <w:p>
            <w:r/>
            <w:r>
              <w:rPr>
                <w:sz w:val="20"/>
              </w:rPr>
              <w:t>On the tool workstation</w:t>
            </w:r>
          </w:p>
        </w:tc>
        <w:tc>
          <w:tcPr>
            <w:tcW w:type="dxa" w:w="5272"/>
          </w:tcPr>
          <w:p>
            <w:r/>
            <w:r>
              <w:rPr>
                <w:sz w:val="20"/>
              </w:rPr>
              <w:t>Required by one library-generation path (confirmed in the study).</w:t>
            </w:r>
          </w:p>
        </w:tc>
      </w:tr>
    </w:tbl>
    <w:p/>
    <w:p>
      <w:pPr>
        <w:pStyle w:val="Heading1"/>
      </w:pPr>
      <w:r>
        <w:rPr>
          <w:color w:val="1F457D"/>
          <w:sz w:val="30"/>
        </w:rPr>
        <w:t>5.  AI Model Deployment — Option for Joint Decision</w:t>
      </w:r>
    </w:p>
    <w:p>
      <w:r>
        <w:rPr>
          <w:b w:val="0"/>
          <w:i w:val="0"/>
          <w:sz w:val="21"/>
        </w:rPr>
        <w:t>All design data must remain in the LTSCT-controlled environment (form 6.1–6.2), so FORJINN is architected with no external AI dependency. The study evaluation itself already ran on self-hosted inference nodes on an internal LAN — the self-hosted path is a configuration we operate, not a proposal. Three options for LTSCT to choose from:</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color="auto" w:fill="1F457D"/>
          </w:tcPr>
          <w:p>
            <w:r/>
            <w:r>
              <w:rPr>
                <w:b/>
                <w:color w:val="FFFFFF"/>
                <w:sz w:val="20"/>
              </w:rPr>
              <w:t>Option</w:t>
            </w:r>
          </w:p>
        </w:tc>
        <w:tc>
          <w:tcPr>
            <w:tcW w:type="dxa" w:w="4592"/>
            <w:shd w:val="clear" w:color="auto" w:fill="1F457D"/>
          </w:tcPr>
          <w:p>
            <w:r/>
            <w:r>
              <w:rPr>
                <w:b/>
                <w:color w:val="FFFFFF"/>
                <w:sz w:val="20"/>
              </w:rPr>
              <w:t>Description</w:t>
            </w:r>
          </w:p>
        </w:tc>
        <w:tc>
          <w:tcPr>
            <w:tcW w:type="dxa" w:w="2835"/>
            <w:shd w:val="clear" w:color="auto" w:fill="1F457D"/>
          </w:tcPr>
          <w:p>
            <w:r/>
            <w:r>
              <w:rPr>
                <w:b/>
                <w:color w:val="FFFFFF"/>
                <w:sz w:val="20"/>
              </w:rPr>
              <w:t>Trade-off</w:t>
            </w:r>
          </w:p>
        </w:tc>
      </w:tr>
      <w:tr>
        <w:tc>
          <w:tcPr>
            <w:tcW w:type="dxa" w:w="1928"/>
          </w:tcPr>
          <w:p>
            <w:r/>
            <w:r>
              <w:rPr>
                <w:sz w:val="20"/>
              </w:rPr>
              <w:t>A — Fully on-prem (preferred)</w:t>
            </w:r>
          </w:p>
        </w:tc>
        <w:tc>
          <w:tcPr>
            <w:tcW w:type="dxa" w:w="4592"/>
          </w:tcPr>
          <w:p>
            <w:r/>
            <w:r>
              <w:rPr>
                <w:sz w:val="20"/>
              </w:rPr>
              <w:t>GPU server(s) in the LTSCT data center serving an OpenAI-compatible inference service (vLLM-class) with open-weight models (70B-class for reasoning + a smaller fast model); agent core, retrieval index and tool platform on LTSCT servers / workstations alongside.</w:t>
            </w:r>
          </w:p>
        </w:tc>
        <w:tc>
          <w:tcPr>
            <w:tcW w:type="dxa" w:w="2835"/>
          </w:tcPr>
          <w:p>
            <w:r/>
            <w:r>
              <w:rPr>
                <w:sz w:val="20"/>
              </w:rPr>
              <w:t>Zero data leaves premises end-to-end. Lead time depends only on GPU availability within the 8–16 week window.</w:t>
            </w:r>
          </w:p>
        </w:tc>
      </w:tr>
      <w:tr>
        <w:tc>
          <w:tcPr>
            <w:tcW w:type="dxa" w:w="1928"/>
            <w:shd w:val="clear" w:color="auto" w:fill="F2F6FC"/>
          </w:tcPr>
          <w:p>
            <w:r/>
            <w:r>
              <w:rPr>
                <w:sz w:val="20"/>
              </w:rPr>
              <w:t>B — LTSCT private cloud</w:t>
            </w:r>
          </w:p>
        </w:tc>
        <w:tc>
          <w:tcPr>
            <w:tcW w:type="dxa" w:w="4592"/>
            <w:shd w:val="clear" w:color="auto" w:fill="F2F6FC"/>
          </w:tcPr>
          <w:p>
            <w:r/>
            <w:r>
              <w:rPr>
                <w:sz w:val="20"/>
              </w:rPr>
              <w:t>Identical architecture hosted in LTSCT's own private-cloud tenancy rather than bare metal.</w:t>
            </w:r>
          </w:p>
        </w:tc>
        <w:tc>
          <w:tcPr>
            <w:tcW w:type="dxa" w:w="2835"/>
            <w:shd w:val="clear" w:color="auto" w:fill="F2F6FC"/>
          </w:tcPr>
          <w:p>
            <w:r/>
            <w:r>
              <w:rPr>
                <w:sz w:val="20"/>
              </w:rPr>
              <w:t>Fastest ramp if private-cloud GPU capacity already exists; fully LTSCT-controlled.</w:t>
            </w:r>
          </w:p>
        </w:tc>
      </w:tr>
      <w:tr>
        <w:tc>
          <w:tcPr>
            <w:tcW w:type="dxa" w:w="1928"/>
          </w:tcPr>
          <w:p>
            <w:r/>
            <w:r>
              <w:rPr>
                <w:sz w:val="20"/>
              </w:rPr>
              <w:t>C — Hybrid: on-prem agents, managed models</w:t>
            </w:r>
          </w:p>
        </w:tc>
        <w:tc>
          <w:tcPr>
            <w:tcW w:type="dxa" w:w="4592"/>
          </w:tcPr>
          <w:p>
            <w:r/>
            <w:r>
              <w:rPr>
                <w:sz w:val="20"/>
              </w:rPr>
              <w:t>Agent core, tools and all design data on-prem; LLM inference on LTSCT-approved managed infrastructure that never sees design databases (prompts limited to redacted, non-proprietary content only).</w:t>
            </w:r>
          </w:p>
        </w:tc>
        <w:tc>
          <w:tcPr>
            <w:tcW w:type="dxa" w:w="2835"/>
          </w:tcPr>
          <w:p>
            <w:r/>
            <w:r>
              <w:rPr>
                <w:sz w:val="20"/>
              </w:rPr>
              <w:t>Falls back only if GPU procurement exceeds the POC window; requires InfoSec approval and a data-classification review of prompt traffic.</w:t>
            </w:r>
          </w:p>
        </w:tc>
      </w:tr>
    </w:tbl>
    <w:p/>
    <w:p>
      <w:r>
        <w:rPr>
          <w:b/>
          <w:i w:val="0"/>
          <w:sz w:val="21"/>
        </w:rPr>
        <w:t>Open items for LTSCT IT / InfoSec at POC kickoff:</w:t>
      </w:r>
    </w:p>
    <w:p>
      <w:pPr>
        <w:pStyle w:val="ListBullet"/>
      </w:pPr>
      <w:r>
        <w:t>Option choice (A / B / C) and GPU availability status; if procurement is needed, confirm it fits the 8–16 week window.</w:t>
      </w:r>
    </w:p>
    <w:p>
      <w:pPr>
        <w:pStyle w:val="ListBullet"/>
      </w:pPr>
      <w:r>
        <w:t>Model selection sign-off: we nominate candidate weights/versions with measured quality data from the 12/12 evaluation as evidence; LTSCT approves.</w:t>
      </w:r>
    </w:p>
    <w:p>
      <w:pPr>
        <w:pStyle w:val="ListBullet"/>
      </w:pPr>
      <w:r>
        <w:t>No-training commitment: foundation models will not be trained on LTSCT design data (written into the deployment config; verification available to LTSCT).</w:t>
      </w:r>
    </w:p>
    <w:p>
      <w:pPr>
        <w:pStyle w:val="ListBullet"/>
      </w:pPr>
      <w:r>
        <w:t>Log / audit retention period and role-based log access — configurable in the platform; LTSCT sets the values.</w:t>
      </w:r>
    </w:p>
    <w:p>
      <w:pPr>
        <w:pStyle w:val="ListBullet"/>
      </w:pPr>
      <w:r>
        <w:t>SSO protocol for the two POC users + service account (Entra ID / SAML / LDAP) — the form carried this as an open question; fallback is local domain accounts.</w:t>
      </w:r>
    </w:p>
    <w:p>
      <w:pPr>
        <w:pStyle w:val="ListBullet"/>
      </w:pPr>
      <w:r>
        <w:t>Egress allow-list: the five supplier domains + public datasheet/errata domains for InfoSec approval. Outbound traffic is limited to part-number lookups — design data never transits.</w:t>
      </w:r>
    </w:p>
    <w:p>
      <w:pPr>
        <w:pStyle w:val="Heading1"/>
      </w:pPr>
      <w:r>
        <w:rPr>
          <w:color w:val="1F457D"/>
          <w:sz w:val="30"/>
        </w:rPr>
        <w:t>6.  Proposed POC Timeline — 6.5 Weeks (fits the 8–16 week window)</w:t>
      </w:r>
    </w:p>
    <w:p>
      <w:r>
        <w:rPr>
          <w:b w:val="0"/>
          <w:i w:val="0"/>
          <w:sz w:val="21"/>
        </w:rPr>
        <w:t>We propose a 6.5-week plan, deliberately sequenced so the first engineer-facing value (baseline + first agent review report) lands in Week 2, leaving more than three weeks of buffer inside LTSCT's stated 8–16 week window for board-specific hardening and a second design pass. Phase entry starts on Day 1 of machine availability — the clock below begins when Section 4 inputs arrive.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907"/>
            <w:shd w:val="clear" w:color="auto" w:fill="1F457D"/>
          </w:tcPr>
          <w:p>
            <w:r/>
            <w:r>
              <w:rPr>
                <w:b/>
                <w:color w:val="FFFFFF"/>
                <w:sz w:val="20"/>
              </w:rPr>
              <w:t>Week</w:t>
            </w:r>
          </w:p>
        </w:tc>
        <w:tc>
          <w:tcPr>
            <w:tcW w:type="dxa" w:w="1474"/>
            <w:shd w:val="clear" w:color="auto" w:fill="1F457D"/>
          </w:tcPr>
          <w:p>
            <w:r/>
            <w:r>
              <w:rPr>
                <w:b/>
                <w:color w:val="FFFFFF"/>
                <w:sz w:val="20"/>
              </w:rPr>
              <w:t>Phase</w:t>
            </w:r>
          </w:p>
        </w:tc>
        <w:tc>
          <w:tcPr>
            <w:tcW w:type="dxa" w:w="3175"/>
            <w:shd w:val="clear" w:color="auto" w:fill="1F457D"/>
          </w:tcPr>
          <w:p>
            <w:r/>
            <w:r>
              <w:rPr>
                <w:b/>
                <w:color w:val="FFFFFF"/>
                <w:sz w:val="20"/>
              </w:rPr>
              <w:t>What we do (InnoSynth)</w:t>
            </w:r>
          </w:p>
        </w:tc>
        <w:tc>
          <w:tcPr>
            <w:tcW w:type="dxa" w:w="2041"/>
            <w:shd w:val="clear" w:color="auto" w:fill="1F457D"/>
          </w:tcPr>
          <w:p>
            <w:r/>
            <w:r>
              <w:rPr>
                <w:b/>
                <w:color w:val="FFFFFF"/>
                <w:sz w:val="20"/>
              </w:rPr>
              <w:t>LTSCT involvement</w:t>
            </w:r>
          </w:p>
        </w:tc>
        <w:tc>
          <w:tcPr>
            <w:tcW w:type="dxa" w:w="1928"/>
            <w:shd w:val="clear" w:color="auto" w:fill="1F457D"/>
          </w:tcPr>
          <w:p>
            <w:r/>
            <w:r>
              <w:rPr>
                <w:b/>
                <w:color w:val="FFFFFF"/>
                <w:sz w:val="20"/>
              </w:rPr>
              <w:t>Gate / exit criteria</w:t>
            </w:r>
          </w:p>
        </w:tc>
      </w:tr>
      <w:tr>
        <w:tc>
          <w:tcPr>
            <w:tcW w:type="dxa" w:w="907"/>
          </w:tcPr>
          <w:p>
            <w:r/>
            <w:r>
              <w:rPr>
                <w:sz w:val="20"/>
              </w:rPr>
              <w:t>1</w:t>
            </w:r>
          </w:p>
        </w:tc>
        <w:tc>
          <w:tcPr>
            <w:tcW w:type="dxa" w:w="1474"/>
          </w:tcPr>
          <w:p>
            <w:r/>
            <w:r>
              <w:rPr>
                <w:sz w:val="20"/>
              </w:rPr>
              <w:t>Deployment &amp; enablement</w:t>
            </w:r>
          </w:p>
        </w:tc>
        <w:tc>
          <w:tcPr>
            <w:tcW w:type="dxa" w:w="3175"/>
          </w:tcPr>
          <w:p>
            <w:r/>
            <w:r>
              <w:rPr>
                <w:sz w:val="20"/>
              </w:rPr>
              <w:t>Platform install on LTSCT workstations; validate against LTSCT's Allegro / Sigrity; AI node wiring; run the 12-task evaluation suite on LTSCT infrastructure; stand up approval gateway &amp; audit logging.</w:t>
            </w:r>
          </w:p>
        </w:tc>
        <w:tc>
          <w:tcPr>
            <w:tcW w:type="dxa" w:w="2041"/>
          </w:tcPr>
          <w:p>
            <w:r/>
            <w:r>
              <w:rPr>
                <w:sz w:val="20"/>
              </w:rPr>
              <w:t>IT: machines, licenses, network, credentials per Sections 4–5. InfoSec: egress allow-list, retention values.</w:t>
            </w:r>
          </w:p>
        </w:tc>
        <w:tc>
          <w:tcPr>
            <w:tcW w:type="dxa" w:w="1928"/>
          </w:tcPr>
          <w:p>
            <w:r/>
            <w:r>
              <w:rPr>
                <w:sz w:val="20"/>
              </w:rPr>
              <w:t>12/12 evaluation green on LTSCT infra; 2 users signed in via SSO.</w:t>
            </w:r>
          </w:p>
        </w:tc>
      </w:tr>
      <w:tr>
        <w:tc>
          <w:tcPr>
            <w:tcW w:type="dxa" w:w="907"/>
            <w:shd w:val="clear" w:color="auto" w:fill="F2F6FC"/>
          </w:tcPr>
          <w:p>
            <w:r/>
            <w:r>
              <w:rPr>
                <w:sz w:val="20"/>
              </w:rPr>
              <w:t>2</w:t>
            </w:r>
          </w:p>
        </w:tc>
        <w:tc>
          <w:tcPr>
            <w:tcW w:type="dxa" w:w="1474"/>
            <w:shd w:val="clear" w:color="auto" w:fill="F2F6FC"/>
          </w:tcPr>
          <w:p>
            <w:r/>
            <w:r>
              <w:rPr>
                <w:sz w:val="20"/>
              </w:rPr>
              <w:t>Baseline, data ingestion &amp; first review</w:t>
            </w:r>
          </w:p>
        </w:tc>
        <w:tc>
          <w:tcPr>
            <w:tcW w:type="dxa" w:w="3175"/>
            <w:shd w:val="clear" w:color="auto" w:fill="F2F6FC"/>
          </w:tcPr>
          <w:p>
            <w:r/>
            <w:r>
              <w:rPr>
                <w:sz w:val="20"/>
              </w:rPr>
              <w:t>Ingest the two benchmark boards + reference documents; index component libraries / knowledge base; measure the manual baseline cycle (schematic creation + review time, per engineer); agent dry-run: requirement extraction + full DRC/ERC + first design review report.</w:t>
            </w:r>
          </w:p>
        </w:tc>
        <w:tc>
          <w:tcPr>
            <w:tcW w:type="dxa" w:w="2041"/>
            <w:shd w:val="clear" w:color="auto" w:fill="F2F6FC"/>
          </w:tcPr>
          <w:p>
            <w:r/>
            <w:r>
              <w:rPr>
                <w:sz w:val="20"/>
              </w:rPr>
              <w:t>HW Design Lead: confirm boards, rule values, baseline timing method. 2 users: provide baseline timing.</w:t>
            </w:r>
          </w:p>
        </w:tc>
        <w:tc>
          <w:tcPr>
            <w:tcW w:type="dxa" w:w="1928"/>
            <w:shd w:val="clear" w:color="auto" w:fill="F2F6FC"/>
          </w:tcPr>
          <w:p>
            <w:r/>
            <w:r>
              <w:rPr>
                <w:sz w:val="20"/>
              </w:rPr>
              <w:t>Baseline timing captured; first agent review report signed off by the Lead as 'valid format'.</w:t>
            </w:r>
          </w:p>
        </w:tc>
      </w:tr>
      <w:tr>
        <w:tc>
          <w:tcPr>
            <w:tcW w:type="dxa" w:w="907"/>
          </w:tcPr>
          <w:p>
            <w:r/>
            <w:r>
              <w:rPr>
                <w:sz w:val="20"/>
              </w:rPr>
              <w:t>3</w:t>
            </w:r>
          </w:p>
        </w:tc>
        <w:tc>
          <w:tcPr>
            <w:tcW w:type="dxa" w:w="1474"/>
          </w:tcPr>
          <w:p>
            <w:r/>
            <w:r>
              <w:rPr>
                <w:sz w:val="20"/>
              </w:rPr>
              <w:t>Requirement-to-schematic (board 1 module)</w:t>
            </w:r>
          </w:p>
        </w:tc>
        <w:tc>
          <w:tcPr>
            <w:tcW w:type="dxa" w:w="3175"/>
          </w:tcPr>
          <w:p>
            <w:r/>
            <w:r>
              <w:rPr>
                <w:sz w:val="20"/>
              </w:rPr>
              <w:t>Agent generates architecture proposal, power tree, preliminary BOM and a draft schematic for the benchmark module of board 1; requirement-to-schematic traceability matrix.</w:t>
            </w:r>
          </w:p>
        </w:tc>
        <w:tc>
          <w:tcPr>
            <w:tcW w:type="dxa" w:w="2041"/>
          </w:tcPr>
          <w:p>
            <w:r/>
            <w:r>
              <w:rPr>
                <w:sz w:val="20"/>
              </w:rPr>
              <w:t>HW Architect + Design Engineer: review architecture, power strategy, component selection (per the form's review cycle).</w:t>
            </w:r>
          </w:p>
        </w:tc>
        <w:tc>
          <w:tcPr>
            <w:tcW w:type="dxa" w:w="1928"/>
          </w:tcPr>
          <w:p>
            <w:r/>
            <w:r>
              <w:rPr>
                <w:sz w:val="20"/>
              </w:rPr>
              <w:t>Draft schematic + traceability matrix accepted for engineering refinement.</w:t>
            </w:r>
          </w:p>
        </w:tc>
      </w:tr>
      <w:tr>
        <w:tc>
          <w:tcPr>
            <w:tcW w:type="dxa" w:w="907"/>
            <w:shd w:val="clear" w:color="auto" w:fill="F2F6FC"/>
          </w:tcPr>
          <w:p>
            <w:r/>
            <w:r>
              <w:rPr>
                <w:sz w:val="20"/>
              </w:rPr>
              <w:t>4</w:t>
            </w:r>
          </w:p>
        </w:tc>
        <w:tc>
          <w:tcPr>
            <w:tcW w:type="dxa" w:w="1474"/>
            <w:shd w:val="clear" w:color="auto" w:fill="F2F6FC"/>
          </w:tcPr>
          <w:p>
            <w:r/>
            <w:r>
              <w:rPr>
                <w:sz w:val="20"/>
              </w:rPr>
              <w:t>Schematic validation &amp; checklist (board 1)</w:t>
            </w:r>
          </w:p>
        </w:tc>
        <w:tc>
          <w:tcPr>
            <w:tcW w:type="dxa" w:w="3175"/>
            <w:shd w:val="clear" w:color="auto" w:fill="F2F6FC"/>
          </w:tcPr>
          <w:p>
            <w:r/>
            <w:r>
              <w:rPr>
                <w:sz w:val="20"/>
              </w:rPr>
              <w:t>Full schematic review pass: ERC / design rules (LTSCT baseline), checklist verification, BOM validation with live sourcing data + vendor policy; findings report with recommendations.</w:t>
            </w:r>
          </w:p>
        </w:tc>
        <w:tc>
          <w:tcPr>
            <w:tcW w:type="dxa" w:w="2041"/>
            <w:shd w:val="clear" w:color="auto" w:fill="F2F6FC"/>
          </w:tcPr>
          <w:p>
            <w:r/>
            <w:r>
              <w:rPr>
                <w:sz w:val="20"/>
              </w:rPr>
              <w:t>Design Engineers: engineering corrections in Capture; approval gateway records each approved AI change (AI revision tag).</w:t>
            </w:r>
          </w:p>
        </w:tc>
        <w:tc>
          <w:tcPr>
            <w:tcW w:type="dxa" w:w="1928"/>
            <w:shd w:val="clear" w:color="auto" w:fill="F2F6FC"/>
          </w:tcPr>
          <w:p>
            <w:r/>
            <w:r>
              <w:rPr>
                <w:sz w:val="20"/>
              </w:rPr>
              <w:t>100% of seeded known issues flagged; zero unflagged critical errors (LTSCT's critical-error list enforced as a release gate).</w:t>
            </w:r>
          </w:p>
        </w:tc>
      </w:tr>
      <w:tr>
        <w:tc>
          <w:tcPr>
            <w:tcW w:type="dxa" w:w="907"/>
          </w:tcPr>
          <w:p>
            <w:r/>
            <w:r>
              <w:rPr>
                <w:sz w:val="20"/>
              </w:rPr>
              <w:t>5</w:t>
            </w:r>
          </w:p>
        </w:tc>
        <w:tc>
          <w:tcPr>
            <w:tcW w:type="dxa" w:w="1474"/>
          </w:tcPr>
          <w:p>
            <w:r/>
            <w:r>
              <w:rPr>
                <w:sz w:val="20"/>
              </w:rPr>
              <w:t>Board implementation &amp; SI/PI/thermal signoff</w:t>
            </w:r>
          </w:p>
        </w:tc>
        <w:tc>
          <w:tcPr>
            <w:tcW w:type="dxa" w:w="3175"/>
          </w:tcPr>
          <w:p>
            <w:r/>
            <w:r>
              <w:rPr>
                <w:sz w:val="20"/>
              </w:rPr>
              <w:t>Placement + Z-Router fanout + full-board autorouting on the benchmark board; constraint application (high-speed presets + LTSCT internal rules); Aurora in-design checks + PowerDC / PowerSI / Celsius signoff runs on the routed board; what-if variants (trace width / dielectric) for SI tuning.</w:t>
            </w:r>
          </w:p>
        </w:tc>
        <w:tc>
          <w:tcPr>
            <w:tcW w:type="dxa" w:w="2041"/>
          </w:tcPr>
          <w:p>
            <w:r/>
            <w:r>
              <w:rPr>
                <w:sz w:val="20"/>
              </w:rPr>
              <w:t>Validation / System team: interface coverage and testability review.</w:t>
            </w:r>
          </w:p>
        </w:tc>
        <w:tc>
          <w:tcPr>
            <w:tcW w:type="dxa" w:w="1928"/>
          </w:tcPr>
          <w:p>
            <w:r/>
            <w:r>
              <w:rPr>
                <w:sz w:val="20"/>
              </w:rPr>
              <w:t>DRC-clean routed board; PI/SI/thermal reports complete.</w:t>
            </w:r>
          </w:p>
        </w:tc>
      </w:tr>
      <w:tr>
        <w:tc>
          <w:tcPr>
            <w:tcW w:type="dxa" w:w="907"/>
            <w:shd w:val="clear" w:color="auto" w:fill="F2F6FC"/>
          </w:tcPr>
          <w:p>
            <w:r/>
            <w:r>
              <w:rPr>
                <w:sz w:val="20"/>
              </w:rPr>
              <w:t>6</w:t>
            </w:r>
          </w:p>
        </w:tc>
        <w:tc>
          <w:tcPr>
            <w:tcW w:type="dxa" w:w="1474"/>
            <w:shd w:val="clear" w:color="auto" w:fill="F2F6FC"/>
          </w:tcPr>
          <w:p>
            <w:r/>
            <w:r>
              <w:rPr>
                <w:sz w:val="20"/>
              </w:rPr>
              <w:t>Manufacturing package, documentation &amp; revision comparison</w:t>
            </w:r>
          </w:p>
        </w:tc>
        <w:tc>
          <w:tcPr>
            <w:tcW w:type="dxa" w:w="3175"/>
            <w:shd w:val="clear" w:color="auto" w:fill="F2F6FC"/>
          </w:tcPr>
          <w:p>
            <w:r/>
            <w:r>
              <w:rPr>
                <w:sz w:val="20"/>
              </w:rPr>
              <w:t>Full manufacturing package generation + structural validation (Gerber / IPC-2581 / ODB++-class / drill / BOM / pick-and-place); HDD, test plan, user guide, design review report; revision comparison study design vs. AI-assisted design.</w:t>
            </w:r>
          </w:p>
        </w:tc>
        <w:tc>
          <w:tcPr>
            <w:tcW w:type="dxa" w:w="2041"/>
            <w:shd w:val="clear" w:color="auto" w:fill="F2F6FC"/>
          </w:tcPr>
          <w:p>
            <w:r/>
            <w:r>
              <w:rPr>
                <w:sz w:val="20"/>
              </w:rPr>
              <w:t>HW Design Lead: final review; both POC users sign off on the artifact set.</w:t>
            </w:r>
          </w:p>
        </w:tc>
        <w:tc>
          <w:tcPr>
            <w:tcW w:type="dxa" w:w="1928"/>
            <w:shd w:val="clear" w:color="auto" w:fill="F2F6FC"/>
          </w:tcPr>
          <w:p>
            <w:r/>
            <w:r>
              <w:rPr>
                <w:sz w:val="20"/>
              </w:rPr>
              <w:t>Complete artifact set delivered for both boards (or both modules, per the plan agreed in Week 2).</w:t>
            </w:r>
          </w:p>
        </w:tc>
      </w:tr>
      <w:tr>
        <w:tc>
          <w:tcPr>
            <w:tcW w:type="dxa" w:w="907"/>
          </w:tcPr>
          <w:p>
            <w:r/>
            <w:r>
              <w:rPr>
                <w:sz w:val="20"/>
              </w:rPr>
              <w:t>7 (buffer 0.5)</w:t>
            </w:r>
          </w:p>
        </w:tc>
        <w:tc>
          <w:tcPr>
            <w:tcW w:type="dxa" w:w="1474"/>
          </w:tcPr>
          <w:p>
            <w:r/>
            <w:r>
              <w:rPr>
                <w:sz w:val="20"/>
              </w:rPr>
              <w:t>Readout &amp; rollout plan</w:t>
            </w:r>
          </w:p>
        </w:tc>
        <w:tc>
          <w:tcPr>
            <w:tcW w:type="dxa" w:w="3175"/>
          </w:tcPr>
          <w:p>
            <w:r/>
            <w:r>
              <w:rPr>
                <w:sz w:val="20"/>
              </w:rPr>
              <w:t>Success-criteria readout vs. Section 7 targets; operations runbook (job monitoring, log tailing, retry/cancel, license diagnostics); second-team rollout plan (board family, users, success bar).</w:t>
            </w:r>
          </w:p>
        </w:tc>
        <w:tc>
          <w:tcPr>
            <w:tcW w:type="dxa" w:w="2041"/>
          </w:tcPr>
          <w:p>
            <w:r/>
            <w:r>
              <w:rPr>
                <w:sz w:val="20"/>
              </w:rPr>
              <w:t>LTSCT stakeholders: POC review and rollout decision.</w:t>
            </w:r>
          </w:p>
        </w:tc>
        <w:tc>
          <w:tcPr>
            <w:tcW w:type="dxa" w:w="1928"/>
          </w:tcPr>
          <w:p>
            <w:r/>
            <w:r>
              <w:rPr>
                <w:sz w:val="20"/>
              </w:rPr>
              <w:t>Signed POC outcome report; rollout decision.</w:t>
            </w:r>
          </w:p>
        </w:tc>
      </w:tr>
    </w:tbl>
    <w:p/>
    <w:p>
      <w:r>
        <w:rPr>
          <w:b w:val="0"/>
          <w:i w:val="0"/>
          <w:sz w:val="21"/>
        </w:rPr>
        <w:t>Contingency: if the LTSCT board set is more complex than FRDM-IMX91-class, the buffer absorbs it; if machines arrive late, Weeks 1–2 compress in parallel — the platform install and data ingestion run concurrently once the machines exist. The plan holds inside 8 weeks even if onboarding starts Week 3 of the POC window.</w:t>
      </w:r>
    </w:p>
    <w:p>
      <w:pPr>
        <w:pStyle w:val="Heading1"/>
      </w:pPr>
      <w:r>
        <w:rPr>
          <w:color w:val="1F457D"/>
          <w:sz w:val="30"/>
        </w:rPr>
        <w:t>7.  Success Criteria &amp; Rollout Readiness (for joint signature)</w:t>
      </w:r>
    </w:p>
    <w:p>
      <w:pPr>
        <w:pStyle w:val="Heading2"/>
      </w:pPr>
      <w:r>
        <w:rPr>
          <w:color w:val="1F457D"/>
          <w:sz w:val="25"/>
        </w:rPr>
        <w:t>7.1  Proposed success bar — jointly measured at the Week-7 readout</w:t>
      </w:r>
    </w:p>
    <w:tbl>
      <w:tblPr>
        <w:tblStyle w:val="TableGrid"/>
        <w:tblW w:type="auto" w:w="0"/>
        <w:jc w:val="center"/>
        <w:tblLook w:firstColumn="1" w:firstRow="1" w:lastColumn="0" w:lastRow="0" w:noHBand="0" w:noVBand="1" w:val="04A0"/>
      </w:tblPr>
      <w:tblGrid>
        <w:gridCol w:w="4986"/>
        <w:gridCol w:w="4986"/>
      </w:tblGrid>
      <w:tr>
        <w:tc>
          <w:tcPr>
            <w:tcW w:type="dxa" w:w="2608"/>
            <w:shd w:val="clear" w:color="auto" w:fill="1F457D"/>
          </w:tcPr>
          <w:p>
            <w:r/>
            <w:r>
              <w:rPr>
                <w:b/>
                <w:color w:val="FFFFFF"/>
                <w:sz w:val="20"/>
              </w:rPr>
              <w:t>Measure</w:t>
            </w:r>
          </w:p>
        </w:tc>
        <w:tc>
          <w:tcPr>
            <w:tcW w:type="dxa" w:w="6746"/>
            <w:shd w:val="clear" w:color="auto" w:fill="1F457D"/>
          </w:tcPr>
          <w:p>
            <w:r/>
            <w:r>
              <w:rPr>
                <w:b/>
                <w:color w:val="FFFFFF"/>
                <w:sz w:val="20"/>
              </w:rPr>
              <w:t>Target</w:t>
            </w:r>
          </w:p>
        </w:tc>
      </w:tr>
      <w:tr>
        <w:tc>
          <w:tcPr>
            <w:tcW w:type="dxa" w:w="2608"/>
          </w:tcPr>
          <w:p>
            <w:r/>
            <w:r>
              <w:rPr>
                <w:sz w:val="20"/>
              </w:rPr>
              <w:t>Requirement-to-schematic (board 1 module)</w:t>
            </w:r>
          </w:p>
        </w:tc>
        <w:tc>
          <w:tcPr>
            <w:tcW w:type="dxa" w:w="6746"/>
          </w:tcPr>
          <w:p>
            <w:r/>
            <w:r>
              <w:rPr>
                <w:sz w:val="20"/>
              </w:rPr>
              <w:t>≥ 90% connectivity accuracy vs. the engineered reference; all checklist items pass; traceability matrix complete.</w:t>
            </w:r>
          </w:p>
        </w:tc>
      </w:tr>
      <w:tr>
        <w:tc>
          <w:tcPr>
            <w:tcW w:type="dxa" w:w="2608"/>
            <w:shd w:val="clear" w:color="auto" w:fill="F2F6FC"/>
          </w:tcPr>
          <w:p>
            <w:r/>
            <w:r>
              <w:rPr>
                <w:sz w:val="20"/>
              </w:rPr>
              <w:t>Schematic review</w:t>
            </w:r>
          </w:p>
        </w:tc>
        <w:tc>
          <w:tcPr>
            <w:tcW w:type="dxa" w:w="6746"/>
            <w:shd w:val="clear" w:color="auto" w:fill="F2F6FC"/>
          </w:tcPr>
          <w:p>
            <w:r/>
            <w:r>
              <w:rPr>
                <w:sz w:val="20"/>
              </w:rPr>
              <w:t>100% of seeded known defects found by the agent (LTSCT to seed 10–15 defects across the two boards); ≤ 5 false positives per full review.</w:t>
            </w:r>
          </w:p>
        </w:tc>
      </w:tr>
      <w:tr>
        <w:tc>
          <w:tcPr>
            <w:tcW w:type="dxa" w:w="2608"/>
          </w:tcPr>
          <w:p>
            <w:r/>
            <w:r>
              <w:rPr>
                <w:sz w:val="20"/>
              </w:rPr>
              <w:t>DRC / ERC &amp; rules</w:t>
            </w:r>
          </w:p>
        </w:tc>
        <w:tc>
          <w:tcPr>
            <w:tcW w:type="dxa" w:w="6746"/>
          </w:tcPr>
          <w:p>
            <w:r/>
            <w:r>
              <w:rPr>
                <w:sz w:val="20"/>
              </w:rPr>
              <w:t>100% of LTSCT-rule violations flagged; zero items from LTSCT's critical-error list pass the release gate unflagged (verified in a seeded test).</w:t>
            </w:r>
          </w:p>
        </w:tc>
      </w:tr>
      <w:tr>
        <w:tc>
          <w:tcPr>
            <w:tcW w:type="dxa" w:w="2608"/>
            <w:shd w:val="clear" w:color="auto" w:fill="F2F6FC"/>
          </w:tcPr>
          <w:p>
            <w:r/>
            <w:r>
              <w:rPr>
                <w:sz w:val="20"/>
              </w:rPr>
              <w:t>Placement / routing</w:t>
            </w:r>
          </w:p>
        </w:tc>
        <w:tc>
          <w:tcPr>
            <w:tcW w:type="dxa" w:w="6746"/>
            <w:shd w:val="clear" w:color="auto" w:fill="F2F6FC"/>
          </w:tcPr>
          <w:p>
            <w:r/>
            <w:r>
              <w:rPr>
                <w:sz w:val="20"/>
              </w:rPr>
              <w:t>Agent-assisted board reaches the engineering baseline's connectivity outcome with a DRC-clean final package.</w:t>
            </w:r>
          </w:p>
        </w:tc>
      </w:tr>
      <w:tr>
        <w:tc>
          <w:tcPr>
            <w:tcW w:type="dxa" w:w="2608"/>
          </w:tcPr>
          <w:p>
            <w:r/>
            <w:r>
              <w:rPr>
                <w:sz w:val="20"/>
              </w:rPr>
              <w:t>Manufacturing package</w:t>
            </w:r>
          </w:p>
        </w:tc>
        <w:tc>
          <w:tcPr>
            <w:tcW w:type="dxa" w:w="6746"/>
          </w:tcPr>
          <w:p>
            <w:r/>
            <w:r>
              <w:rPr>
                <w:sz w:val="20"/>
              </w:rPr>
              <w:t>Complete and structurally validated (Gerber / IPC-2581 / drill / BOM / pick-and-place), generated end-to-end by the agent flow.</w:t>
            </w:r>
          </w:p>
        </w:tc>
      </w:tr>
      <w:tr>
        <w:tc>
          <w:tcPr>
            <w:tcW w:type="dxa" w:w="2608"/>
            <w:shd w:val="clear" w:color="auto" w:fill="F2F6FC"/>
          </w:tcPr>
          <w:p>
            <w:r/>
            <w:r>
              <w:rPr>
                <w:sz w:val="20"/>
              </w:rPr>
              <w:t>Time improvement</w:t>
            </w:r>
          </w:p>
        </w:tc>
        <w:tc>
          <w:tcPr>
            <w:tcW w:type="dxa" w:w="6746"/>
            <w:shd w:val="clear" w:color="auto" w:fill="F2F6FC"/>
          </w:tcPr>
          <w:p>
            <w:r/>
            <w:r>
              <w:rPr>
                <w:sz w:val="20"/>
              </w:rPr>
              <w:t>Schematic creation / review cycle time reduced ≥ 30% vs. the Week-2 measured baseline; HDD / test plan / user guide delivered as drafts.</w:t>
            </w:r>
          </w:p>
        </w:tc>
      </w:tr>
      <w:tr>
        <w:tc>
          <w:tcPr>
            <w:tcW w:type="dxa" w:w="2608"/>
          </w:tcPr>
          <w:p>
            <w:r/>
            <w:r>
              <w:rPr>
                <w:sz w:val="20"/>
              </w:rPr>
              <w:t>Operations &amp; audit</w:t>
            </w:r>
          </w:p>
        </w:tc>
        <w:tc>
          <w:tcPr>
            <w:tcW w:type="dxa" w:w="6746"/>
          </w:tcPr>
          <w:p>
            <w:r/>
            <w:r>
              <w:rPr>
                <w:sz w:val="20"/>
              </w:rPr>
              <w:t>100% of agent runs complete with full audit trail (revisions, approvals, rationale); 100% of gated actions show approval records; zero design-data egress events observed by InfoSec.</w:t>
            </w:r>
          </w:p>
        </w:tc>
      </w:tr>
    </w:tbl>
    <w:p/>
    <w:p>
      <w:r>
        <w:rPr>
          <w:b w:val="0"/>
          <w:i/>
          <w:sz w:val="21"/>
        </w:rPr>
        <w:t>Clear failure: a seeded critical error reaches the release gate unflagged; an AI-modified design is applied without an approval record; design data observed leaving LTSCT premises; or requirement-to-schematic connectivity below 70%.</w:t>
      </w:r>
    </w:p>
    <w:p>
      <w:pPr>
        <w:pStyle w:val="Heading2"/>
      </w:pPr>
      <w:r>
        <w:rPr>
          <w:color w:val="1F457D"/>
          <w:sz w:val="25"/>
        </w:rPr>
        <w:t>7.2  What must be true for LTSCT to roll FORJINN out to other teams</w:t>
      </w:r>
    </w:p>
    <w:tbl>
      <w:tblPr>
        <w:tblStyle w:val="TableGrid"/>
        <w:tblW w:type="auto" w:w="0"/>
        <w:jc w:val="center"/>
        <w:tblLook w:firstColumn="1" w:firstRow="1" w:lastColumn="0" w:lastRow="0" w:noHBand="0" w:noVBand="1" w:val="04A0"/>
      </w:tblPr>
      <w:tblGrid>
        <w:gridCol w:w="4986"/>
        <w:gridCol w:w="4986"/>
      </w:tblGrid>
      <w:tr>
        <w:tc>
          <w:tcPr>
            <w:tcW w:type="dxa" w:w="1814"/>
            <w:shd w:val="clear" w:color="auto" w:fill="1F457D"/>
          </w:tcPr>
          <w:p>
            <w:r/>
            <w:r>
              <w:rPr>
                <w:b/>
                <w:color w:val="FFFFFF"/>
                <w:sz w:val="20"/>
              </w:rPr>
              <w:t>Dimension</w:t>
            </w:r>
          </w:p>
        </w:tc>
        <w:tc>
          <w:tcPr>
            <w:tcW w:type="dxa" w:w="7540"/>
            <w:shd w:val="clear" w:color="auto" w:fill="1F457D"/>
          </w:tcPr>
          <w:p>
            <w:r/>
            <w:r>
              <w:rPr>
                <w:b/>
                <w:color w:val="FFFFFF"/>
                <w:sz w:val="20"/>
              </w:rPr>
              <w:t>Condition</w:t>
            </w:r>
          </w:p>
        </w:tc>
      </w:tr>
      <w:tr>
        <w:tc>
          <w:tcPr>
            <w:tcW w:type="dxa" w:w="1814"/>
          </w:tcPr>
          <w:p>
            <w:r/>
            <w:r>
              <w:rPr>
                <w:sz w:val="20"/>
              </w:rPr>
              <w:t>Technical</w:t>
            </w:r>
          </w:p>
        </w:tc>
        <w:tc>
          <w:tcPr>
            <w:tcW w:type="dxa" w:w="7540"/>
          </w:tcPr>
          <w:p>
            <w:r/>
            <w:r>
              <w:rPr>
                <w:sz w:val="20"/>
              </w:rPr>
              <w:t>All 7.1 metrics met on the benchmark boards; ≥ 2 users x 4+ weeks of operational history with zero unflagged-critical failures; documented operations runbook (job monitoring, log inspection, retry/cancel, license diagnostics, session-health handling — all features of the platform, proven in the study evaluation); a full audit/recovery exercise demonstrated live.</w:t>
            </w:r>
          </w:p>
        </w:tc>
      </w:tr>
      <w:tr>
        <w:tc>
          <w:tcPr>
            <w:tcW w:type="dxa" w:w="1814"/>
            <w:shd w:val="clear" w:color="auto" w:fill="F2F6FC"/>
          </w:tcPr>
          <w:p>
            <w:r/>
            <w:r>
              <w:rPr>
                <w:sz w:val="20"/>
              </w:rPr>
              <w:t>Organizational</w:t>
            </w:r>
          </w:p>
        </w:tc>
        <w:tc>
          <w:tcPr>
            <w:tcW w:type="dxa" w:w="7540"/>
            <w:shd w:val="clear" w:color="auto" w:fill="F2F6FC"/>
          </w:tcPr>
          <w:p>
            <w:r/>
            <w:r>
              <w:rPr>
                <w:sz w:val="20"/>
              </w:rPr>
              <w:t>Named agent owner inside HW Design; approval-gate roles (Lead / Engineer / Validation, per the form's review cycle) chartered; IT sign-offs closed (SSO model, egress allow-list, retention values, model deployment option — Section 5 items); vendor-policy / AVL rules loaded from LTSCT project data; a second-team pilot plan scoped (board family, users, success bar).</w:t>
            </w:r>
          </w:p>
        </w:tc>
      </w:tr>
    </w:tbl>
    <w:p/>
    <w:p>
      <w:r>
        <w:rPr>
          <w:b w:val="0"/>
          <w:i w:val="0"/>
          <w:sz w:val="21"/>
        </w:rPr>
        <w:t>Because the platform is config-driven (per-project rules, per-project vendor policy, per-team approval roles), extension to a second team is configuration, not re-architecture.</w:t>
      </w:r>
    </w:p>
    <w:p>
      <w:pPr>
        <w:pStyle w:val="Heading1"/>
      </w:pPr>
      <w:r>
        <w:rPr>
          <w:color w:val="1F457D"/>
          <w:sz w:val="30"/>
        </w:rPr>
        <w:t>8.  Sign-off</w:t>
      </w:r>
    </w:p>
    <w:p>
      <w:r>
        <w:rPr>
          <w:b w:val="0"/>
          <w:i w:val="0"/>
          <w:sz w:val="21"/>
        </w:rPr>
        <w:t>This document is a POC scoping input, not a contractual commitment. Items requiring LTSCT confirmation are explicitly marked in Sections 4, 5 and 7: workstation/GPU provisioning, the AI deployment option, SSO and egress details, benchmark board selection, the design-rule values, and the seeded-defect set.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F457D"/>
          </w:tcPr>
          <w:p>
            <w:r/>
            <w:r>
              <w:rPr>
                <w:b/>
                <w:color w:val="FFFFFF"/>
                <w:sz w:val="20"/>
              </w:rPr>
              <w:t>LTSCT</w:t>
            </w:r>
          </w:p>
        </w:tc>
        <w:tc>
          <w:tcPr>
            <w:tcW w:type="dxa" w:w="3685"/>
            <w:shd w:val="clear" w:color="auto" w:fill="1F457D"/>
          </w:tcPr>
          <w:p>
            <w:r/>
            <w:r>
              <w:rPr>
                <w:b/>
                <w:color w:val="FFFFFF"/>
                <w:sz w:val="20"/>
              </w:rPr>
              <w:t>Role</w:t>
            </w:r>
          </w:p>
        </w:tc>
        <w:tc>
          <w:tcPr>
            <w:tcW w:type="dxa" w:w="1984"/>
            <w:shd w:val="clear" w:color="auto" w:fill="1F457D"/>
          </w:tcPr>
          <w:p>
            <w:r/>
            <w:r>
              <w:rPr>
                <w:b/>
                <w:color w:val="FFFFFF"/>
                <w:sz w:val="20"/>
              </w:rPr>
              <w:t>Signature</w:t>
            </w:r>
          </w:p>
        </w:tc>
        <w:tc>
          <w:tcPr>
            <w:tcW w:type="dxa" w:w="1984"/>
            <w:shd w:val="clear" w:color="auto" w:fill="1F457D"/>
          </w:tcPr>
          <w:p>
            <w:r/>
            <w:r>
              <w:rPr>
                <w:b/>
                <w:color w:val="FFFFFF"/>
                <w:sz w:val="20"/>
              </w:rPr>
              <w:t>Date</w:t>
            </w:r>
          </w:p>
        </w:tc>
      </w:tr>
      <w:tr>
        <w:tc>
          <w:tcPr>
            <w:tcW w:type="dxa" w:w="1701"/>
          </w:tcPr>
          <w:p>
            <w:r/>
            <w:r>
              <w:rPr>
                <w:sz w:val="20"/>
              </w:rPr>
            </w:r>
          </w:p>
        </w:tc>
        <w:tc>
          <w:tcPr>
            <w:tcW w:type="dxa" w:w="3685"/>
          </w:tcPr>
          <w:p>
            <w:r/>
            <w:r>
              <w:rPr>
                <w:sz w:val="20"/>
              </w:rPr>
              <w:t>Technical Owner — HW Design Lead</w:t>
            </w:r>
          </w:p>
        </w:tc>
        <w:tc>
          <w:tcPr>
            <w:tcW w:type="dxa" w:w="1984"/>
          </w:tcPr>
          <w:p>
            <w:r/>
            <w:r>
              <w:rPr>
                <w:sz w:val="20"/>
              </w:rPr>
            </w:r>
          </w:p>
        </w:tc>
        <w:tc>
          <w:tcPr>
            <w:tcW w:type="dxa" w:w="1984"/>
          </w:tcPr>
          <w:p>
            <w:r/>
            <w:r>
              <w:rPr>
                <w:sz w:val="20"/>
              </w:rPr>
            </w:r>
          </w:p>
        </w:tc>
      </w:tr>
      <w:tr>
        <w:tc>
          <w:tcPr>
            <w:tcW w:type="dxa" w:w="1701"/>
            <w:shd w:val="clear" w:color="auto" w:fill="F2F6FC"/>
          </w:tcPr>
          <w:p>
            <w:r/>
            <w:r>
              <w:rPr>
                <w:sz w:val="20"/>
              </w:rPr>
            </w:r>
          </w:p>
        </w:tc>
        <w:tc>
          <w:tcPr>
            <w:tcW w:type="dxa" w:w="3685"/>
            <w:shd w:val="clear" w:color="auto" w:fill="F2F6FC"/>
          </w:tcPr>
          <w:p>
            <w:r/>
            <w:r>
              <w:rPr>
                <w:sz w:val="20"/>
              </w:rPr>
              <w:t>IT / Infrastructure Owner</w:t>
            </w:r>
          </w:p>
        </w:tc>
        <w:tc>
          <w:tcPr>
            <w:tcW w:type="dxa" w:w="1984"/>
            <w:shd w:val="clear" w:color="auto" w:fill="F2F6FC"/>
          </w:tcPr>
          <w:p>
            <w:r/>
            <w:r>
              <w:rPr>
                <w:sz w:val="20"/>
              </w:rPr>
            </w:r>
          </w:p>
        </w:tc>
        <w:tc>
          <w:tcPr>
            <w:tcW w:type="dxa" w:w="1984"/>
            <w:shd w:val="clear" w:color="auto" w:fill="F2F6FC"/>
          </w:tcPr>
          <w:p>
            <w:r/>
            <w:r>
              <w:rPr>
                <w:sz w:val="20"/>
              </w:rPr>
            </w:r>
          </w:p>
        </w:tc>
      </w:tr>
      <w:tr>
        <w:tc>
          <w:tcPr>
            <w:tcW w:type="dxa" w:w="1701"/>
          </w:tcPr>
          <w:p>
            <w:r/>
            <w:r>
              <w:rPr>
                <w:sz w:val="20"/>
              </w:rPr>
            </w:r>
          </w:p>
        </w:tc>
        <w:tc>
          <w:tcPr>
            <w:tcW w:type="dxa" w:w="3685"/>
          </w:tcPr>
          <w:p>
            <w:r/>
            <w:r>
              <w:rPr>
                <w:sz w:val="20"/>
              </w:rPr>
              <w:t>InfoSec / Cybersecurity Contact</w:t>
            </w:r>
          </w:p>
        </w:tc>
        <w:tc>
          <w:tcPr>
            <w:tcW w:type="dxa" w:w="1984"/>
          </w:tcPr>
          <w:p>
            <w:r/>
            <w:r>
              <w:rPr>
                <w:sz w:val="20"/>
              </w:rPr>
            </w:r>
          </w:p>
        </w:tc>
        <w:tc>
          <w:tcPr>
            <w:tcW w:type="dxa" w:w="1984"/>
          </w:tcPr>
          <w:p>
            <w:r/>
            <w:r>
              <w:rPr>
                <w:sz w:val="20"/>
              </w:rPr>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F457D"/>
          </w:tcPr>
          <w:p>
            <w:r/>
            <w:r>
              <w:rPr>
                <w:b/>
                <w:color w:val="FFFFFF"/>
                <w:sz w:val="20"/>
              </w:rPr>
              <w:t>InnoSynth</w:t>
            </w:r>
          </w:p>
        </w:tc>
        <w:tc>
          <w:tcPr>
            <w:tcW w:type="dxa" w:w="3685"/>
            <w:shd w:val="clear" w:color="auto" w:fill="1F457D"/>
          </w:tcPr>
          <w:p>
            <w:r/>
            <w:r>
              <w:rPr>
                <w:b/>
                <w:color w:val="FFFFFF"/>
                <w:sz w:val="20"/>
              </w:rPr>
              <w:t>Role</w:t>
            </w:r>
          </w:p>
        </w:tc>
        <w:tc>
          <w:tcPr>
            <w:tcW w:type="dxa" w:w="1984"/>
            <w:shd w:val="clear" w:color="auto" w:fill="1F457D"/>
          </w:tcPr>
          <w:p>
            <w:r/>
            <w:r>
              <w:rPr>
                <w:b/>
                <w:color w:val="FFFFFF"/>
                <w:sz w:val="20"/>
              </w:rPr>
              <w:t>Signature</w:t>
            </w:r>
          </w:p>
        </w:tc>
        <w:tc>
          <w:tcPr>
            <w:tcW w:type="dxa" w:w="1984"/>
            <w:shd w:val="clear" w:color="auto" w:fill="1F457D"/>
          </w:tcPr>
          <w:p>
            <w:r/>
            <w:r>
              <w:rPr>
                <w:b/>
                <w:color w:val="FFFFFF"/>
                <w:sz w:val="20"/>
              </w:rPr>
              <w:t>Date</w:t>
            </w:r>
          </w:p>
        </w:tc>
      </w:tr>
      <w:tr>
        <w:tc>
          <w:tcPr>
            <w:tcW w:type="dxa" w:w="1701"/>
          </w:tcPr>
          <w:p>
            <w:r/>
            <w:r>
              <w:rPr>
                <w:sz w:val="20"/>
              </w:rPr>
            </w:r>
          </w:p>
        </w:tc>
        <w:tc>
          <w:tcPr>
            <w:tcW w:type="dxa" w:w="3685"/>
          </w:tcPr>
          <w:p>
            <w:r/>
            <w:r>
              <w:rPr>
                <w:sz w:val="20"/>
              </w:rPr>
              <w:t>Project Owner</w:t>
            </w:r>
          </w:p>
        </w:tc>
        <w:tc>
          <w:tcPr>
            <w:tcW w:type="dxa" w:w="1984"/>
          </w:tcPr>
          <w:p>
            <w:r/>
            <w:r>
              <w:rPr>
                <w:sz w:val="20"/>
              </w:rPr>
            </w:r>
          </w:p>
        </w:tc>
        <w:tc>
          <w:tcPr>
            <w:tcW w:type="dxa" w:w="1984"/>
          </w:tcPr>
          <w:p>
            <w:r/>
            <w:r>
              <w:rPr>
                <w:sz w:val="20"/>
              </w:rPr>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