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KR" w:hAnsi="Noto Sans KR" w:eastAsia="Noto Sans KR" w:cs="Noto Sans KR"/>
        </w:rPr>
        <w:t>우리WON뱅킹 절세 에이전트</w:t>
        <w:br/>
        <w:t>조사 및 MVP 개발 명세서</w:t>
      </w:r>
    </w:p>
    <w:p>
      <w:r>
        <w:rPr>
          <w:rFonts w:ascii="Noto Sans KR" w:hAnsi="Noto Sans KR" w:eastAsia="Noto Sans KR" w:cs="Noto Sans KR"/>
          <w:b w:val="0"/>
        </w:rPr>
        <w:t>기준일 2026년 10월 17일  |  버전 1.0  |  대상 국내 거주 청년 근로소득자</w:t>
      </w:r>
    </w:p>
    <w:p>
      <w:pPr>
        <w:pStyle w:val="Heading1"/>
      </w:pPr>
      <w:r>
        <w:rPr>
          <w:rFonts w:ascii="Noto Sans KR" w:hAnsi="Noto Sans KR" w:eastAsia="Noto Sans KR" w:cs="Noto Sans KR"/>
        </w:rPr>
        <w:t>1 서비스 제안</w:t>
      </w:r>
    </w:p>
    <w:p>
      <w:r>
        <w:rPr>
          <w:rFonts w:ascii="Noto Sans KR" w:hAnsi="Noto Sans KR" w:eastAsia="Noto Sans KR" w:cs="Noto Sans KR"/>
          <w:b/>
        </w:rPr>
        <w:t>가칭 WON 세금비서</w:t>
      </w:r>
      <w:r>
        <w:rPr>
          <w:rFonts w:ascii="Noto Sans KR" w:hAnsi="Noto Sans KR" w:eastAsia="Noto Sans KR" w:cs="Noto Sans KR"/>
          <w:b w:val="0"/>
        </w:rPr>
        <w:t>는 고객의 금융 내역에서 놓치기 쉬운 세금 혜택을 발견하고, 추가 질문으로 요건을 확인한 다음, 서류 준비와 신청 경로까지 연결하는 AI Agent다. 공제·감면, 비과세, 정부지원금을 서로 구분하여 안내한다.</w:t>
      </w:r>
    </w:p>
    <w:p>
      <w:pPr>
        <w:pStyle w:val="Heading2"/>
      </w:pPr>
      <w:r>
        <w:rPr>
          <w:rFonts w:ascii="Noto Sans KR" w:hAnsi="Noto Sans KR" w:eastAsia="Noto Sans KR" w:cs="Noto Sans KR"/>
        </w:rPr>
        <w:t>해결하려는 문제</w:t>
      </w:r>
    </w:p>
    <w:p>
      <w:r>
        <w:rPr>
          <w:rFonts w:ascii="Noto Sans KR" w:hAnsi="Noto Sans KR" w:eastAsia="Noto Sans KR" w:cs="Noto Sans KR"/>
          <w:b w:val="0"/>
        </w:rPr>
        <w:t>고객은 제도 이름을 알아도 자신의 소득·주거·가구 조건에 적용되는지, 어떤 자료가 필요한지, 은행에서 바로 처리할 수 있는지 일일이 확인해야 한다. 국세청도 간소화 자료가 공제 자격을 보장하지 않으며, 일부 월세·기부금·교육비 자료는 별도 수집이 필요하다고 안내한다.[S01]</w:t>
      </w:r>
    </w:p>
    <w:p>
      <w:r>
        <w:rPr>
          <w:rFonts w:ascii="Noto Sans KR" w:hAnsi="Noto Sans KR" w:eastAsia="Noto Sans KR" w:cs="Noto Sans KR"/>
          <w:b w:val="0"/>
        </w:rPr>
        <w:t xml:space="preserve">초기 고객은 </w:t>
      </w:r>
      <w:r>
        <w:rPr>
          <w:rFonts w:ascii="Noto Sans KR" w:hAnsi="Noto Sans KR" w:eastAsia="Noto Sans KR" w:cs="Noto Sans KR"/>
          <w:b/>
        </w:rPr>
        <w:t>취업 후 연말정산을 처음 준비하는 20~30대 월세 거주 근로자</w:t>
      </w:r>
      <w:r>
        <w:rPr>
          <w:rFonts w:ascii="Noto Sans KR" w:hAnsi="Noto Sans KR" w:eastAsia="Noto Sans KR" w:cs="Noto Sans KR"/>
          <w:b w:val="0"/>
        </w:rPr>
        <w:t>로 잡는다. 프리랜서·사업소득자 전체의 종합소득세 신고는 후속 범위로 둔다. 학생·구직자도 정보 탐색은 가능하지만, 근로소득 공제를 자동 적용하지 않는다.</w:t>
      </w:r>
    </w:p>
    <w:p>
      <w:pPr>
        <w:pStyle w:val="Heading2"/>
      </w:pPr>
      <w:r>
        <w:rPr>
          <w:rFonts w:ascii="Noto Sans KR" w:hAnsi="Noto Sans KR" w:eastAsia="Noto Sans KR" w:cs="Noto Sans KR"/>
        </w:rPr>
        <w:t>핵심 사용 흐름</w:t>
      </w:r>
    </w:p>
    <w:p>
      <w:r>
        <w:rPr>
          <w:rFonts w:ascii="Noto Sans KR" w:hAnsi="Noto Sans KR" w:eastAsia="Noto Sans KR" w:cs="Noto Sans KR"/>
          <w:b w:val="0"/>
        </w:rPr>
        <w:t>1. 고객이 샘플 금융 내역을 선택하거나 직접 입력한다.</w:t>
      </w:r>
    </w:p>
    <w:p>
      <w:r>
        <w:rPr>
          <w:rFonts w:ascii="Noto Sans KR" w:hAnsi="Noto Sans KR" w:eastAsia="Noto Sans KR" w:cs="Noto Sans KR"/>
          <w:b w:val="0"/>
        </w:rPr>
        <w:t>2. Agent가 월세 추정 이체, 청약 납입, 연금 납입 등 혜택 후보를 찾는다.</w:t>
      </w:r>
    </w:p>
    <w:p>
      <w:r>
        <w:rPr>
          <w:rFonts w:ascii="Noto Sans KR" w:hAnsi="Noto Sans KR" w:eastAsia="Noto Sans KR" w:cs="Noto Sans KR"/>
          <w:b w:val="0"/>
        </w:rPr>
        <w:t>3. 무주택 여부·전입 여부·타행 납입 등 결과를 바꾸는 조건만 질문한다.</w:t>
      </w:r>
    </w:p>
    <w:p>
      <w:r>
        <w:rPr>
          <w:rFonts w:ascii="Noto Sans KR" w:hAnsi="Noto Sans KR" w:eastAsia="Noto Sans KR" w:cs="Noto Sans KR"/>
          <w:b w:val="0"/>
        </w:rPr>
        <w:t>4. 규칙 엔진이 요건과 한도에 따라 공제대상 금액을 계산한다.</w:t>
      </w:r>
    </w:p>
    <w:p>
      <w:r>
        <w:rPr>
          <w:rFonts w:ascii="Noto Sans KR" w:hAnsi="Noto Sans KR" w:eastAsia="Noto Sans KR" w:cs="Noto Sans KR"/>
          <w:b w:val="0"/>
        </w:rPr>
        <w:t>5. 근거, 부족한 서류, 다음 행동을 카드로 제시한다.</w:t>
      </w:r>
    </w:p>
    <w:p>
      <w:r>
        <w:rPr>
          <w:rFonts w:ascii="Noto Sans KR" w:hAnsi="Noto Sans KR" w:eastAsia="Noto Sans KR" w:cs="Noto Sans KR"/>
          <w:b w:val="0"/>
        </w:rPr>
        <w:t>6. 고객이 실행하거나 보류하면 상태를 저장하고 다음 방문에 이어서 안내한다.</w:t>
      </w:r>
    </w:p>
    <w:p>
      <w:pPr>
        <w:pStyle w:val="Heading2"/>
      </w:pPr>
      <w:r>
        <w:rPr>
          <w:rFonts w:ascii="Noto Sans KR" w:hAnsi="Noto Sans KR" w:eastAsia="Noto Sans KR" w:cs="Noto Sans KR"/>
        </w:rPr>
        <w:t>공모전에서 보여줄 가치</w:t>
      </w:r>
    </w:p>
    <w:tbl>
      <w:tblPr>
        <w:tblW w:type="auto" w:w="0"/>
        <w:jc w:val="center"/>
        <w:tblLayout w:type="fixed"/>
        <w:tblLook w:firstColumn="1" w:firstRow="1" w:lastColumn="0" w:lastRow="0" w:noHBand="0" w:noVBand="1" w:val="04A0"/>
      </w:tblPr>
      <w:tblGrid>
        <w:gridCol w:w="1699"/>
        <w:gridCol w:w="3082"/>
        <w:gridCol w:w="5198"/>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대상</w:t>
            </w:r>
          </w:p>
        </w:tc>
        <w:tc>
          <w:tcPr>
            <w:tcW w:type="dxa" w:w="3082"/>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제안 가치</w:t>
            </w:r>
          </w:p>
        </w:tc>
        <w:tc>
          <w:tcPr>
            <w:tcW w:type="dxa" w:w="5198"/>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검증할 지표</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고객</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몰랐던 혜택 발견과 서류 준비 부담 감소</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새로 발견한 유효 항목 수, 준비 완료 시간</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우리은행</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청약·연금 등 기존 서비스로 이어지는 이용 흐름</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증빙 발급·상품 정보·상담 연결률</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서비스 운영</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출처와 판정 이력을 남겨 설명 가능한 결과 제공</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출처 표시율, 규칙 정답률</w:t>
            </w:r>
          </w:p>
        </w:tc>
      </w:tr>
    </w:tbl>
    <w:p>
      <w:pPr>
        <w:spacing w:after="0"/>
      </w:pPr>
    </w:p>
    <w:p>
      <w:r>
        <w:rPr>
          <w:rFonts w:ascii="Noto Sans KR" w:hAnsi="Noto Sans KR" w:eastAsia="Noto Sans KR" w:cs="Noto Sans KR"/>
          <w:b w:val="0"/>
        </w:rPr>
        <w:t xml:space="preserve">기존 서비스 대비 우위는 아직 검증 전이다. 발표에서는 “국내 최초”를 쓰지 말고, </w:t>
      </w:r>
      <w:r>
        <w:rPr>
          <w:rFonts w:ascii="Noto Sans KR" w:hAnsi="Noto Sans KR" w:eastAsia="Noto Sans KR" w:cs="Noto Sans KR"/>
          <w:b/>
        </w:rPr>
        <w:t>발견부터 실행 준비까지 이어지는 흐름</w:t>
      </w:r>
      <w:r>
        <w:rPr>
          <w:rFonts w:ascii="Noto Sans KR" w:hAnsi="Noto Sans KR" w:eastAsia="Noto Sans KR" w:cs="Noto Sans KR"/>
          <w:b w:val="0"/>
        </w:rPr>
        <w:t>을 차별화 가설로 제시한다. 첨부 공고의 3개 주제 중 ‘AI agent를 활용한 우리WON뱅킹의 미래 방향 제시’가 가장 자연스럽다. 공고상 제안서는 5장 이하 PDF이며, 이 문서는 개발·조사용 상세 자료다.</w:t>
      </w:r>
    </w:p>
    <w:p>
      <w:r>
        <w:rPr>
          <w:rFonts w:ascii="Noto Sans KR" w:hAnsi="Noto Sans KR" w:eastAsia="Noto Sans KR" w:cs="Noto Sans KR"/>
        </w:rPr>
        <w:br w:type="page"/>
      </w:r>
    </w:p>
    <w:p>
      <w:pPr>
        <w:pStyle w:val="Heading1"/>
      </w:pPr>
      <w:r>
        <w:rPr>
          <w:rFonts w:ascii="Noto Sans KR" w:hAnsi="Noto Sans KR" w:eastAsia="Noto Sans KR" w:cs="Noto Sans KR"/>
        </w:rPr>
        <w:t>2 사용자가 제시한 항목과 우리은행 취급 여부</w:t>
      </w:r>
    </w:p>
    <w:p>
      <w:r>
        <w:rPr>
          <w:rFonts w:ascii="Noto Sans KR" w:hAnsi="Noto Sans KR" w:eastAsia="Noto Sans KR" w:cs="Noto Sans KR"/>
          <w:b w:val="0"/>
        </w:rPr>
        <w:t>‘취급’은 해당 기관이 금융상품을 제공한다는 뜻이다. WON뱅킹 내부에서 모든 절차가 가능한지, 제안 서비스가 API로 접근 가능한지는 별도 검증 대상이다.</w:t>
      </w:r>
    </w:p>
    <w:tbl>
      <w:tblPr>
        <w:tblW w:type="auto" w:w="0"/>
        <w:jc w:val="center"/>
        <w:tblLayout w:type="fixed"/>
        <w:tblLook w:firstColumn="1" w:firstRow="1" w:lastColumn="0" w:lastRow="0" w:noHBand="0" w:noVBand="1" w:val="04A0"/>
      </w:tblPr>
      <w:tblGrid>
        <w:gridCol w:w="1699"/>
        <w:gridCol w:w="3082"/>
        <w:gridCol w:w="5198"/>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항목</w:t>
            </w:r>
          </w:p>
        </w:tc>
        <w:tc>
          <w:tcPr>
            <w:tcW w:type="dxa" w:w="3082"/>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혜택 성격</w:t>
            </w:r>
          </w:p>
        </w:tc>
        <w:tc>
          <w:tcPr>
            <w:tcW w:type="dxa" w:w="5198"/>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우리은행과 실행 경로</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근로장려금</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소득·재산·가구 요건에 따른 장려금</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은행 가입상품 아님. 홈택스 등 국세청 신청 경로로 안내.[S02]</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주택청약종합저축</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요건 충족 시 납입액 소득공제</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우리은행 취급. 연 납입 300만원 한도에 40% 공제. 공제액은 최대 120만원이며 환급액과 다름.[S03][S04]</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청년 주택드림 청약통장</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우대금리, 소득공제, 별도 요건의 이자 비과세</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우리은행 취급. 상품 가입 자격과 비과세 자격을 따로 검사해야 함.[S05][S06]</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청년내일저축계좌</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정부 매칭 지원</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2026년 공식 안내상 복지로·행정복지센터 신청 후 하나은행에서 개설. 우리은행 가입 대상으로 표시하면 안 됨.[S07]</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현금영수증</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근로자의 신용카드 등 사용금액 소득공제</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우리은행 상품 아님. 발급·조회는 가맹점과 홈택스 경로. 공제대상 소비 확인에 활용.[S08]</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신용카드</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공제대상 사용액 소득공제</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우리카드 발급상품과 연결. 발급사는 우리은행과 별도 법인. 일반 사용분 공제율 15%.[S08][S09]</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체크카드</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공제대상 사용액 소득공제</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우리카드 상품과 연결. 일반 사용분 공제율 30%. 소비 전체의 30%를 돌려받는 뜻은 아님.[S08][S09]</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ISA</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손익통산 후 순이익 비과세 및 초과분 분리과세</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우리은행 신탁형 ISA 확인. 증권사 중개형과 구분. 일반형 200만원, 서민형·농어민형 400만원 비과세 한도.[S10][S11]</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연금저축계좌</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납입액 세액공제와 연금 과세 구조</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우리은행 연금저축펀드 확인. 은행 안내상 연금저축의 투자 가능 상품은 펀드. 계좌 납입과 펀드 매수는 구분.[S12]</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청년도약계좌</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정부기여금과 이자 비과세</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우리은행 상품은 판매종료 표시. 기존 가입자 유지·전환 안내와 신규가입을 구분.[S13]</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월세 세액공제</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요건 충족 월세 지출에 대한 세액공제</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은행 상품 아님. 이체내역 정리 후 회사 연말정산·홈택스 경로로 연결.[S14][S15]</w:t>
            </w:r>
          </w:p>
        </w:tc>
      </w:tr>
    </w:tbl>
    <w:p>
      <w:pPr>
        <w:spacing w:after="0"/>
      </w:pPr>
    </w:p>
    <w:p>
      <w:r>
        <w:rPr>
          <w:rFonts w:ascii="Noto Sans KR" w:hAnsi="Noto Sans KR" w:eastAsia="Noto Sans KR" w:cs="Noto Sans KR"/>
          <w:b/>
        </w:rPr>
        <w:t>추가할 현재 상품:</w:t>
      </w:r>
      <w:r>
        <w:rPr>
          <w:rFonts w:ascii="Noto Sans KR" w:hAnsi="Noto Sans KR" w:eastAsia="Noto Sans KR" w:cs="Noto Sans KR"/>
          <w:b w:val="0"/>
        </w:rPr>
        <w:t xml:space="preserve"> 우리은행은 ‘우리 청년미래적금’을 취급한다.[S16] 다만 2026년 2차 가입신청은 10월 7~16일이고, 심사 통과자의 계좌개설은 11월 16~27일이다.[S17] 기준일에는 신청 기간이 끝났으므로 신규 고객에게 ‘지금 신청’ 버튼을 보여주지 않는다. 다음 모집은 새 공지 확인 전까지 미정으로 둔다.</w:t>
      </w:r>
    </w:p>
    <w:p>
      <w:r>
        <w:rPr>
          <w:rFonts w:ascii="Noto Sans KR" w:hAnsi="Noto Sans KR" w:eastAsia="Noto Sans KR" w:cs="Noto Sans KR"/>
        </w:rPr>
        <w:br w:type="page"/>
      </w:r>
    </w:p>
    <w:p>
      <w:pPr>
        <w:pStyle w:val="Heading1"/>
      </w:pPr>
      <w:r>
        <w:rPr>
          <w:rFonts w:ascii="Noto Sans KR" w:hAnsi="Noto Sans KR" w:eastAsia="Noto Sans KR" w:cs="Noto Sans KR"/>
        </w:rPr>
        <w:t>3 추가로 살펴볼 절세 항목</w:t>
      </w:r>
    </w:p>
    <w:p>
      <w:r>
        <w:rPr>
          <w:rFonts w:ascii="Noto Sans KR" w:hAnsi="Noto Sans KR" w:eastAsia="Noto Sans KR" w:cs="Noto Sans KR"/>
          <w:b w:val="0"/>
        </w:rPr>
        <w:t>다음은 사용자가 적은 항목에 더할 수 있는 대표 후보다. 세부 자격을 모두 나열한 것이 아니라, 서비스의 혜택 카탈로그를 확장하기 위한 목록이다. 공제는 이미 지출한 비용을 점검하는 용도로 먼저 사용한다.</w:t>
      </w:r>
    </w:p>
    <w:tbl>
      <w:tblPr>
        <w:tblW w:type="auto" w:w="0"/>
        <w:jc w:val="center"/>
        <w:tblLayout w:type="fixed"/>
        <w:tblLook w:firstColumn="1" w:firstRow="1" w:lastColumn="0" w:lastRow="0" w:noHBand="0" w:noVBand="1" w:val="04A0"/>
      </w:tblPr>
      <w:tblGrid>
        <w:gridCol w:w="1699"/>
        <w:gridCol w:w="3082"/>
        <w:gridCol w:w="5198"/>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추가 항목</w:t>
            </w:r>
          </w:p>
        </w:tc>
        <w:tc>
          <w:tcPr>
            <w:tcW w:type="dxa" w:w="3082"/>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핵심 내용</w:t>
            </w:r>
          </w:p>
        </w:tc>
        <w:tc>
          <w:tcPr>
            <w:tcW w:type="dxa" w:w="5198"/>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Agent가 확인할 점</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개인형 IRP</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연금저축 등과 합산한 세액공제 대상 한도는 연 900만원</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타행 납입 포함, 유동성·중도해지 조건.[S12][S18]</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ISA 자금의 연금계좌 전환</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적격 전환액의 10%, 최대 300만원만큼 세액공제 대상 납입한도 추가</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전환 시기·기한·적격 여부. 300만원 전액 환급이 아님.[S18]</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전세대출 원리금 상환</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주택임차차입금 상환액의 40% 소득공제</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청약 공제와 합산 400만원 한도, 대출·주택 요건.[S19]</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주택담보대출 이자</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장기주택저당차입금 이자상환액 공제</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주택 취득 시점·가격·명의·대출기간·상환방식.[S20]</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중소기업 취업자 소득세 감면</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적격 청년은 5년간 90%, 과세기간별 200만원 한도</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회사 업종·최초 감면 취업일·병역·제외 대상.[S21][S22]</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본인 및 가족 교육비</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적격 교육비 세액공제</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본인 대학원, 자녀 학교 등 대상별 범위·한도가 다름.[S23]</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본인 학자금대출 상환</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적격 등록금 대출 원리금 상환의 교육비 공제</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생활비대출·연체이자·지원받은 금액 제외.[S24]</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의료비</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총급여의 3% 기준과 대상별 한도·공제율 적용</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실손보험금·사후환급금 등 보전액 차감.[S23]</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안경·콘택트렌즈·보청기</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적격 지출을 의료비에 포함</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시력보정용인지, 별도 영수증 누락 여부. 안경·렌즈는 1인 연 50만원 범위.[S25]</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보장성보험료</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적격 보장성보험료 세액공제</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저축성보험과 구분, 피보험자·기본공제 요건.[S23]</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부양가족 기본공제</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적격 배우자·가족에 대한 인적 소득공제</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소득·나이·부양·가족 간 중복 신청 여부.[S26]</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경로우대·장애인 등 추가공제</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적격 기본공제 대상자의 추가 요건에 따른 공제</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자동 적용보다 관련 자료 확인을 우선.[S26]</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자녀 및 출산·입양 세액공제</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자녀 수와 해당 연도 요건에 따른 공제</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2026년 연령 적용례를 별도 관리. 과거 기준 재사용 금지.[S27]</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혼인세액공제</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2024~2026년 혼인신고분, 생애 1회 1인 50만원</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혼인신고 연도와 과거 적용 여부.[S18]</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일반 기부금</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적격 기부금 세액공제</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영수증·단체 자격·한도·이월 규정.[S23]</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고향사랑기부금</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기부 구간별 세액공제</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2026년 10만원 초과~20만원 구간 개정 반영. 세금 부족 시 전액 효과 보장 불가.[S28]</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정치자금 기부금</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적격 정치자금 기부에 대한 공제</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일반·고향사랑 기부금과 다른 규칙으로 관리.[S23]</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전통시장·대중교통·문화체육 사용분</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카드 공제의 별도 공제율·추가 한도</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등록 사업자·소득 조건·사용일·결제분 중복 분류 방지.[S08][S29]</w:t>
            </w:r>
          </w:p>
        </w:tc>
      </w:tr>
    </w:tbl>
    <w:p>
      <w:pPr>
        <w:spacing w:after="0"/>
      </w:pPr>
    </w:p>
    <w:p>
      <w:r>
        <w:rPr>
          <w:rFonts w:ascii="Noto Sans KR" w:hAnsi="Noto Sans KR" w:eastAsia="Noto Sans KR" w:cs="Noto Sans KR"/>
        </w:rPr>
        <w:br w:type="page"/>
      </w:r>
    </w:p>
    <w:p>
      <w:pPr>
        <w:pStyle w:val="Heading1"/>
      </w:pPr>
      <w:r>
        <w:rPr>
          <w:rFonts w:ascii="Noto Sans KR" w:hAnsi="Noto Sans KR" w:eastAsia="Noto Sans KR" w:cs="Noto Sans KR"/>
        </w:rPr>
        <w:t>4 혜택 분류와 MVP 범위</w:t>
      </w:r>
    </w:p>
    <w:p>
      <w:pPr>
        <w:pStyle w:val="Heading2"/>
      </w:pPr>
      <w:r>
        <w:rPr>
          <w:rFonts w:ascii="Noto Sans KR" w:hAnsi="Noto Sans KR" w:eastAsia="Noto Sans KR" w:cs="Noto Sans KR"/>
        </w:rPr>
        <w:t>금액을 섞지 않는 화면 구조</w:t>
      </w:r>
    </w:p>
    <w:tbl>
      <w:tblPr>
        <w:tblW w:type="auto" w:w="0"/>
        <w:jc w:val="center"/>
        <w:tblLayout w:type="fixed"/>
        <w:tblLook w:firstColumn="1" w:firstRow="1" w:lastColumn="0" w:lastRow="0" w:noHBand="0" w:noVBand="1" w:val="04A0"/>
      </w:tblPr>
      <w:tblGrid>
        <w:gridCol w:w="1699"/>
        <w:gridCol w:w="3082"/>
        <w:gridCol w:w="5198"/>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구분</w:t>
            </w:r>
          </w:p>
        </w:tc>
        <w:tc>
          <w:tcPr>
            <w:tcW w:type="dxa" w:w="3082"/>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예시</w:t>
            </w:r>
          </w:p>
        </w:tc>
        <w:tc>
          <w:tcPr>
            <w:tcW w:type="dxa" w:w="5198"/>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화면 금액의 뜻</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소득공제</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카드, 청약, 전세대출</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과세 대상 소득에서 빼는 금액. 절감세액은 별도 재계산 필요</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세액공제·감면</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월세, 연금계좌, 중소기업 감면</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법정 요건에 따른 공제·감면 계산액. 실제 적용은 세액 한도·다른 항목 영향</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비과세·분리과세</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ISA, 청년 주택드림 이자</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적격 금융소득의 과세 방식. 납입원금 환급 아님</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정부지원</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근로장려금, 청년내일저축계좌, 청년미래적금 기여금</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지급 자격·유지조건이 있는 지원금. 세금 환급 합계에서 제외</w:t>
            </w:r>
          </w:p>
        </w:tc>
      </w:tr>
    </w:tbl>
    <w:p>
      <w:pPr>
        <w:spacing w:after="0"/>
      </w:pPr>
    </w:p>
    <w:p>
      <w:r>
        <w:rPr>
          <w:rFonts w:ascii="Noto Sans KR" w:hAnsi="Noto Sans KR" w:eastAsia="Noto Sans KR" w:cs="Noto Sans KR"/>
          <w:b w:val="0"/>
        </w:rPr>
        <w:t xml:space="preserve">실제 추가 환급은 </w:t>
      </w:r>
      <w:r>
        <w:rPr>
          <w:rFonts w:ascii="Noto Sans KR" w:hAnsi="Noto Sans KR" w:eastAsia="Noto Sans KR" w:cs="Noto Sans KR"/>
          <w:b/>
        </w:rPr>
        <w:t>기존 신고 상태와 개선 후 상태의 최종 세액 차이</w:t>
      </w:r>
      <w:r>
        <w:rPr>
          <w:rFonts w:ascii="Noto Sans KR" w:hAnsi="Noto Sans KR" w:eastAsia="Noto Sans KR" w:cs="Noto Sans KR"/>
          <w:b w:val="0"/>
        </w:rPr>
        <w:t xml:space="preserve"> 및 기납부세액 등을 함께 봐야 한다. MVP는 전 세목·전 공제를 재현하지 않으므로 ‘확정 환급액’ 합계를 만들지 않는다. 이미 적용 중인 혜택을 새로 찾은 혜택처럼 집계하지 않는다.</w:t>
      </w:r>
    </w:p>
    <w:p>
      <w:pPr>
        <w:pStyle w:val="Heading2"/>
      </w:pPr>
      <w:r>
        <w:rPr>
          <w:rFonts w:ascii="Noto Sans KR" w:hAnsi="Noto Sans KR" w:eastAsia="Noto Sans KR" w:cs="Noto Sans KR"/>
        </w:rPr>
        <w:t>구현 우선순위</w:t>
      </w:r>
    </w:p>
    <w:tbl>
      <w:tblPr>
        <w:tblW w:type="auto" w:w="0"/>
        <w:jc w:val="center"/>
        <w:tblLayout w:type="fixed"/>
        <w:tblLook w:firstColumn="1" w:firstRow="1" w:lastColumn="0" w:lastRow="0" w:noHBand="0" w:noVBand="1" w:val="04A0"/>
      </w:tblPr>
      <w:tblGrid>
        <w:gridCol w:w="1699"/>
        <w:gridCol w:w="3082"/>
        <w:gridCol w:w="5198"/>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우선순위</w:t>
            </w:r>
          </w:p>
        </w:tc>
        <w:tc>
          <w:tcPr>
            <w:tcW w:type="dxa" w:w="3082"/>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포함 범위</w:t>
            </w:r>
          </w:p>
        </w:tc>
        <w:tc>
          <w:tcPr>
            <w:tcW w:type="dxa" w:w="5198"/>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결과</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P0 필수</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월세·청약·연금계좌·카드·중소기업 감면·ISA 6개 진단</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적격 후보 판정, 일부 항목의 계산, 근거와 다음 행동</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P0 필수</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프로필 질문, 샘플 내역, 결과 카드, 할 일 저장</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고객 행동 전후 결과가 바뀌는 완결 시연</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P0 필수</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공제 중복·기간·자료 부족 처리</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불필요한 금액 합산과 잘못된 가입 버튼 차단</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P1 선택</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지원제도 카탈로그와 모집 알림 설정 모형</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청년미래적금·장려금·청년내일저축계좌 정보</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P1 선택</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계약서 OCR 초안 추출, 간소화 자료 업로드</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사용자가 추출값을 확인한 뒤에만 진단에 반영</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후속</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은행·마이데이터 실연계, 실제 알림·증빙 발급</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기관별 제공 범위·동의·권한 확보 후 추진</w:t>
            </w:r>
          </w:p>
        </w:tc>
      </w:tr>
    </w:tbl>
    <w:p>
      <w:pPr>
        <w:spacing w:after="0"/>
      </w:pPr>
    </w:p>
    <w:p>
      <w:r>
        <w:rPr>
          <w:rFonts w:ascii="Noto Sans KR" w:hAnsi="Noto Sans KR" w:eastAsia="Noto Sans KR" w:cs="Noto Sans KR"/>
          <w:b w:val="0"/>
        </w:rPr>
        <w:t>MVP는 실제 계좌 개설, 투자 주문, 자금 이체, 세금 신고를 수행하지 않는다. 금융·세금 정보를 읽고 고객이 행동을 준비하는 기능까지 구현한다. 이 범위만으로 Agent의 질문·도구 호출·계획 저장·재진단을 보여줄 수 있다.</w:t>
      </w:r>
    </w:p>
    <w:p>
      <w:r>
        <w:rPr>
          <w:rFonts w:ascii="Noto Sans KR" w:hAnsi="Noto Sans KR" w:eastAsia="Noto Sans KR" w:cs="Noto Sans KR"/>
          <w:b w:val="0"/>
        </w:rPr>
        <w:t>청약 소득공제와 전세대출 공제는 합산 한도를 관리하고, 월세 세액공제를 적용한 같은 월세를 현금영수증 사용액 공제에 다시 넣지 않는다.[S19][S30]</w:t>
      </w:r>
    </w:p>
    <w:p>
      <w:r>
        <w:rPr>
          <w:rFonts w:ascii="Noto Sans KR" w:hAnsi="Noto Sans KR" w:eastAsia="Noto Sans KR" w:cs="Noto Sans KR"/>
        </w:rPr>
        <w:br w:type="page"/>
      </w:r>
    </w:p>
    <w:p>
      <w:pPr>
        <w:pStyle w:val="Heading1"/>
      </w:pPr>
      <w:r>
        <w:rPr>
          <w:rFonts w:ascii="Noto Sans KR" w:hAnsi="Noto Sans KR" w:eastAsia="Noto Sans KR" w:cs="Noto Sans KR"/>
        </w:rPr>
        <w:t>5 화면과 기능 요구사항</w:t>
      </w:r>
    </w:p>
    <w:p>
      <w:r>
        <w:rPr>
          <w:rFonts w:ascii="Noto Sans KR" w:hAnsi="Noto Sans KR" w:eastAsia="Noto Sans KR" w:cs="Noto Sans KR"/>
          <w:b w:val="0"/>
        </w:rPr>
        <w:t>기본 디자인은 모바일 우선 라이트 모드다. 파란 계열과 흰 배경을 사용하되, 공식 앱과 혼동되지 않도록 모든 화면 상단에 ‘제안 서비스 체험 · 샘플 데이터’를 표시한다. 제안 위치는 WON뱅킹의 자산관리 영역이며, 실제 현재 메뉴명은 통합 단계에서 확인한다.</w:t>
      </w:r>
    </w:p>
    <w:tbl>
      <w:tblPr>
        <w:tblW w:type="auto" w:w="0"/>
        <w:jc w:val="center"/>
        <w:tblLayout w:type="fixed"/>
        <w:tblLook w:firstColumn="1" w:firstRow="1" w:lastColumn="0" w:lastRow="0" w:noHBand="0" w:noVBand="1" w:val="04A0"/>
      </w:tblPr>
      <w:tblGrid>
        <w:gridCol w:w="1699"/>
        <w:gridCol w:w="3082"/>
        <w:gridCol w:w="5198"/>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화면</w:t>
            </w:r>
          </w:p>
        </w:tc>
        <w:tc>
          <w:tcPr>
            <w:tcW w:type="dxa" w:w="3082"/>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필수 요소</w:t>
            </w:r>
          </w:p>
        </w:tc>
        <w:tc>
          <w:tcPr>
            <w:tcW w:type="dxa" w:w="5198"/>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완료 조건</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SC01 시작</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서비스 설명, 대상 귀속연도, 샘플 3종, 직접 입력</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연도·샘플 선택 후 진단 가능</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SC02 조건 확인</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소득 종류, 총급여, 주거·가구, 이미 적용한 공제</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모름 선택 가능. 미응답을 거짓으로 처리하지 않음</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SC03 발견한 혜택</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실행 우선순위 카드, 확인 필요 배지, 자료 기준일</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모든 카드에 상태·출처·다음 행동 표시</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SC04 혜택 상세</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사용 데이터, 요건 체크, 계산식, 서류 목록</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숫자의 성격과 부족한 정보가 구분됨</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SC05 대화형 도우미</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“왜 가능한가요”, “다음에 뭘 하나요”, 조건 수정</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답변이 해당 카드·규칙·출처에 연결됨</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SC06 실행 계획</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할 일 체크, 기한, 보류, 상품·기관 정보 보기</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새로고침 후 상태 유지, 조건 변경 시 재진단</w:t>
            </w:r>
          </w:p>
        </w:tc>
      </w:tr>
    </w:tbl>
    <w:p>
      <w:pPr>
        <w:spacing w:after="0"/>
      </w:pPr>
    </w:p>
    <w:p>
      <w:pPr>
        <w:pStyle w:val="Heading2"/>
      </w:pPr>
      <w:r>
        <w:rPr>
          <w:rFonts w:ascii="Noto Sans KR" w:hAnsi="Noto Sans KR" w:eastAsia="Noto Sans KR" w:cs="Noto Sans KR"/>
        </w:rPr>
        <w:t>핵심 기능 요구사항</w:t>
      </w:r>
    </w:p>
    <w:tbl>
      <w:tblPr>
        <w:tblW w:type="auto" w:w="0"/>
        <w:jc w:val="center"/>
        <w:tblLayout w:type="fixed"/>
        <w:tblLook w:firstColumn="1" w:firstRow="1" w:lastColumn="0" w:lastRow="0" w:noHBand="0" w:noVBand="1" w:val="04A0"/>
      </w:tblPr>
      <w:tblGrid>
        <w:gridCol w:w="1699"/>
        <w:gridCol w:w="8280"/>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ID</w:t>
            </w:r>
          </w:p>
        </w:tc>
        <w:tc>
          <w:tcPr>
            <w:tcW w:type="dxa" w:w="8280"/>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요구사항</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FR01</w:t>
            </w:r>
          </w:p>
        </w:tc>
        <w:tc>
          <w:tcPr>
            <w:tcW w:type="dxa" w:w="8280"/>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프로필·샘플 데이터·동의 상태를 분리 저장한다. 기본 시연은 실제 개인정보를 받지 않는다.</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FR02</w:t>
            </w:r>
          </w:p>
        </w:tc>
        <w:tc>
          <w:tcPr>
            <w:tcW w:type="dxa" w:w="8280"/>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반복 이체는 월세 ‘후보’로 탐지하고, 고객 확인 전에는 월세로 확정하지 않는다.</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FR03</w:t>
            </w:r>
          </w:p>
        </w:tc>
        <w:tc>
          <w:tcPr>
            <w:tcW w:type="dxa" w:w="8280"/>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규칙 엔진이 미확인 조건 중 해당 후보 판정에 필요한 질문을 생성한다. 한 화면에 최대 3개를 제시한다.</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FR04</w:t>
            </w:r>
          </w:p>
        </w:tc>
        <w:tc>
          <w:tcPr>
            <w:tcW w:type="dxa" w:w="8280"/>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소득공제액·세액공제 계산액·비과세 한도·지원금을 다른 필드와 단위로 표시한다.</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FR05</w:t>
            </w:r>
          </w:p>
        </w:tc>
        <w:tc>
          <w:tcPr>
            <w:tcW w:type="dxa" w:w="8280"/>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같은 지출의 중복 공제와 상품 간 공유 한도를 검사한다.</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FR06</w:t>
            </w:r>
          </w:p>
        </w:tc>
        <w:tc>
          <w:tcPr>
            <w:tcW w:type="dxa" w:w="8280"/>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Agent는 공식 출처와 구조화된 판정값으로 설명한다. 자유 생성 답변으로 세율을 정하지 않는다.</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FR07</w:t>
            </w:r>
          </w:p>
        </w:tc>
        <w:tc>
          <w:tcPr>
            <w:tcW w:type="dxa" w:w="8280"/>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실행 카드를 저장하고, 증빙 확인·보류·완료·재확인 상태를 관리한다.</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FR08</w:t>
            </w:r>
          </w:p>
        </w:tc>
        <w:tc>
          <w:tcPr>
            <w:tcW w:type="dxa" w:w="8280"/>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우리은행 상품, 우리카드, 외부기관을 구분한다. 모집 마감·판매종료 시 가입 버튼을 막는다.</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FR09</w:t>
            </w:r>
          </w:p>
        </w:tc>
        <w:tc>
          <w:tcPr>
            <w:tcW w:type="dxa" w:w="8280"/>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입력 변경·취소·중복 자료·연도 변경을 반영하여 기존 결과를 갱신한다.</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FR10</w:t>
            </w:r>
          </w:p>
        </w:tc>
        <w:tc>
          <w:tcPr>
            <w:tcW w:type="dxa" w:w="8280"/>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데이터 삭제와 체험 초기화를 제공한다. LLM 장애 시 계산·근거·할 일 화면은 유지한다.</w:t>
            </w:r>
          </w:p>
        </w:tc>
      </w:tr>
    </w:tbl>
    <w:p>
      <w:pPr>
        <w:spacing w:after="0"/>
      </w:pPr>
    </w:p>
    <w:p>
      <w:r>
        <w:rPr>
          <w:rFonts w:ascii="Noto Sans KR" w:hAnsi="Noto Sans KR" w:eastAsia="Noto Sans KR" w:cs="Noto Sans KR"/>
          <w:b w:val="0"/>
        </w:rPr>
        <w:t>외부 연결은 실제로 확인한 HTTPS 안내 페이지를 사용한다. 은행 내부 URI를 추측해 만들지 않는다. 시연의 ‘서류 준비’는 체크리스트 저장이며 실제 증명서 발급 완료로 표시하지 않는다.</w:t>
      </w:r>
    </w:p>
    <w:p>
      <w:r>
        <w:rPr>
          <w:rFonts w:ascii="Noto Sans KR" w:hAnsi="Noto Sans KR" w:eastAsia="Noto Sans KR" w:cs="Noto Sans KR"/>
        </w:rPr>
        <w:br w:type="page"/>
      </w:r>
    </w:p>
    <w:p>
      <w:pPr>
        <w:pStyle w:val="Heading1"/>
      </w:pPr>
      <w:r>
        <w:rPr>
          <w:rFonts w:ascii="Noto Sans KR" w:hAnsi="Noto Sans KR" w:eastAsia="Noto Sans KR" w:cs="Noto Sans KR"/>
        </w:rPr>
        <w:t>6 입력 데이터와 판정 상태</w:t>
      </w:r>
    </w:p>
    <w:p>
      <w:pPr>
        <w:pStyle w:val="Heading2"/>
      </w:pPr>
      <w:r>
        <w:rPr>
          <w:rFonts w:ascii="Noto Sans KR" w:hAnsi="Noto Sans KR" w:eastAsia="Noto Sans KR" w:cs="Noto Sans KR"/>
        </w:rPr>
        <w:t>최소 데이터 사전</w:t>
      </w:r>
    </w:p>
    <w:tbl>
      <w:tblPr>
        <w:tblW w:type="auto" w:w="0"/>
        <w:jc w:val="center"/>
        <w:tblLayout w:type="fixed"/>
        <w:tblLook w:firstColumn="1" w:firstRow="1" w:lastColumn="0" w:lastRow="0" w:noHBand="0" w:noVBand="1" w:val="04A0"/>
      </w:tblPr>
      <w:tblGrid>
        <w:gridCol w:w="1699"/>
        <w:gridCol w:w="3082"/>
        <w:gridCol w:w="5198"/>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영역</w:t>
            </w:r>
          </w:p>
        </w:tc>
        <w:tc>
          <w:tcPr>
            <w:tcW w:type="dxa" w:w="3082"/>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필드 예시</w:t>
            </w:r>
          </w:p>
        </w:tc>
        <w:tc>
          <w:tcPr>
            <w:tcW w:type="dxa" w:w="5198"/>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출처와 주의점</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진단 기준</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taxYear, asOfDate, ruleVersion</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귀속연도와 신청·모집일을 구분</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소득</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incomeTypes, grossSalary, aggregateIncomeAmount</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총급여와 입금액은 다름. 수당·지원금을 임의로 근로소득 처리 금지</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근로 기간</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employmentPeriods, firstEligibleEmploymentDate</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취업·퇴사·이직을 반영. 감면기간이 이직으로 초기화되지 않음</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가구</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maritalStatus, householdRole, householdHomeHistory</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항목별 세대·가구 정의와 판단 시점이 다름</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주거</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leaseDates, leaseHolderRelation, residentAddressMatch</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금액이 같아도 월세 확정 불가. 계약·전입 조건 별도</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주택 조건</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area, officialValue, housingType, locationClass</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중개 매물가격을 세법상 기준시가로 대체 금지</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금융계좌</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provider, accountType, owner, contributionsYtd</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타행 연금·ISA·청약 포함 여부 확인</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소비</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transactionId, date, amount, category, paymentMethod</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취소·환불·해외·공제 제외분, 자료 중복 제거</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기적용 혜택</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appliedBenefits, alreadyReportedAmount</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납입금이 있다는 사실과 이미 공제를 받았다는 사실을 구분</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행동 예산</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availableContributionBudget, liquidityNeed</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고객이 정한 범위. 잔액 전체를 가용 납입금으로 추정 금지</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세액 자료</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availableTaxContext, prepaidTax</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없으면 실제 추가 환급 계산 불가로 둠</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근거 이력</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sourceId, verifiedAt, inputOrigin, confirmedByUser</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관측값·고객 확인값·추정값을 구분</w:t>
            </w:r>
          </w:p>
        </w:tc>
      </w:tr>
    </w:tbl>
    <w:p>
      <w:pPr>
        <w:spacing w:after="0"/>
      </w:pPr>
    </w:p>
    <w:p>
      <w:r>
        <w:rPr>
          <w:rFonts w:ascii="Noto Sans KR" w:hAnsi="Noto Sans KR" w:eastAsia="Noto Sans KR" w:cs="Noto Sans KR"/>
          <w:b w:val="0"/>
        </w:rPr>
        <w:t>우리은행 내역만으로는 타행 납입, 가족의 전체 재산, 주택 소유, 모든 소득과 공제 적용 여부를 알 수 없다. 실서비스는 기관별 적법한 연계와 고객 확인을 결합해야 한다. 공개 홈택스 API가 모두 제공된다고 가정하지 않는다.</w:t>
      </w:r>
    </w:p>
    <w:p>
      <w:pPr>
        <w:pStyle w:val="Heading2"/>
      </w:pPr>
      <w:r>
        <w:rPr>
          <w:rFonts w:ascii="Noto Sans KR" w:hAnsi="Noto Sans KR" w:eastAsia="Noto Sans KR" w:cs="Noto Sans KR"/>
        </w:rPr>
        <w:t>상태는 세 가지 축으로 분리</w:t>
      </w:r>
    </w:p>
    <w:tbl>
      <w:tblPr>
        <w:tblW w:type="auto" w:w="0"/>
        <w:jc w:val="center"/>
        <w:tblLayout w:type="fixed"/>
        <w:tblLook w:firstColumn="1" w:firstRow="1" w:lastColumn="0" w:lastRow="0" w:noHBand="0" w:noVBand="1" w:val="04A0"/>
      </w:tblPr>
      <w:tblGrid>
        <w:gridCol w:w="1699"/>
        <w:gridCol w:w="3082"/>
        <w:gridCol w:w="5198"/>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축</w:t>
            </w:r>
          </w:p>
        </w:tc>
        <w:tc>
          <w:tcPr>
            <w:tcW w:type="dxa" w:w="3082"/>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값</w:t>
            </w:r>
          </w:p>
        </w:tc>
        <w:tc>
          <w:tcPr>
            <w:tcW w:type="dxa" w:w="5198"/>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예시</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자격</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needs_info / candidate / ineligible / review_required</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계약 주소 미확인 → needs_info</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제공 기간</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open / upcoming / closed / discontinued / unknown</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청년도약계좌 신규 → discontinued</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행동</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not_started / preparing / done / deferred</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월세 증빙 체크리스트 → preparing</w:t>
            </w:r>
          </w:p>
        </w:tc>
      </w:tr>
    </w:tbl>
    <w:p>
      <w:pPr>
        <w:spacing w:after="0"/>
      </w:pPr>
    </w:p>
    <w:p>
      <w:r>
        <w:rPr>
          <w:rFonts w:ascii="Noto Sans KR" w:hAnsi="Noto Sans KR" w:eastAsia="Noto Sans KR" w:cs="Noto Sans KR"/>
          <w:b w:val="0"/>
        </w:rPr>
        <w:t>고객 응답으로 요건이 충족되어도 결과는 ‘입력 기준 적용 가능 후보’다. 금융회사·회사·과세당국의 확정 판정으로 표현하지 않는다. 정보가 상충하면 review_required로 전환하고 계산을 보류한다.</w:t>
      </w:r>
    </w:p>
    <w:p>
      <w:r>
        <w:rPr>
          <w:rFonts w:ascii="Noto Sans KR" w:hAnsi="Noto Sans KR" w:eastAsia="Noto Sans KR" w:cs="Noto Sans KR"/>
        </w:rPr>
        <w:br w:type="page"/>
      </w:r>
    </w:p>
    <w:p>
      <w:pPr>
        <w:pStyle w:val="Heading1"/>
      </w:pPr>
      <w:r>
        <w:rPr>
          <w:rFonts w:ascii="Noto Sans KR" w:hAnsi="Noto Sans KR" w:eastAsia="Noto Sans KR" w:cs="Noto Sans KR"/>
        </w:rPr>
        <w:t>7 월세와 청약 계산 규칙</w:t>
      </w:r>
    </w:p>
    <w:p>
      <w:pPr>
        <w:pStyle w:val="Heading2"/>
      </w:pPr>
      <w:r>
        <w:rPr>
          <w:rFonts w:ascii="Noto Sans KR" w:hAnsi="Noto Sans KR" w:eastAsia="Noto Sans KR" w:cs="Noto Sans KR"/>
        </w:rPr>
        <w:t>R01 월세 세액공제</w:t>
      </w:r>
    </w:p>
    <w:p>
      <w:r>
        <w:rPr>
          <w:rFonts w:ascii="Noto Sans KR" w:hAnsi="Noto Sans KR" w:eastAsia="Noto Sans KR" w:cs="Noto Sans KR"/>
          <w:b w:val="0"/>
        </w:rPr>
        <w:t>대상은 일반 근로소득자 중 총급여 8,000만원 이하이고 합산 종합소득금액 7,000만원 이하인 경우로 시작한다. 과세기간 말 무주택 세대, 세대주 또는 적격 세대원, 적격 계약자, 계약·주민등록 주소 일치, 주택 기준과 실제 부담액을 검사한다.[S14][S15]</w:t>
      </w:r>
    </w:p>
    <w:tbl>
      <w:tblPr>
        <w:tblW w:type="auto" w:w="0"/>
        <w:jc w:val="center"/>
        <w:tblLayout w:type="fixed"/>
        <w:tblLook w:firstColumn="1" w:firstRow="1" w:lastColumn="0" w:lastRow="0" w:noHBand="0" w:noVBand="1" w:val="04A0"/>
      </w:tblPr>
      <w:tblGrid>
        <w:gridCol w:w="1699"/>
        <w:gridCol w:w="8280"/>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처리</w:t>
            </w:r>
          </w:p>
        </w:tc>
        <w:tc>
          <w:tcPr>
            <w:tcW w:type="dxa" w:w="8280"/>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규칙</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주택</w:t>
            </w:r>
          </w:p>
        </w:tc>
        <w:tc>
          <w:tcPr>
            <w:tcW w:type="dxa" w:w="8280"/>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일반적으로 국민주택규모 또는 기준시가 4억원 이하. 지역별 면적 기준을 구분. 2026년 다자녀 면적 특례는 후속 전문 검토로 분기</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공제율</w:t>
            </w:r>
          </w:p>
        </w:tc>
        <w:tc>
          <w:tcPr>
            <w:tcW w:type="dxa" w:w="8280"/>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총급여 5,500만원 이하 및 합산 종합소득금액 4,500만원 이하이면 17%. 그 외 적격자는 15%</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기본 산식</w:t>
            </w:r>
          </w:p>
        </w:tc>
        <w:tc>
          <w:tcPr>
            <w:tcW w:type="dxa" w:w="8280"/>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적격 월세액과 연 1,000만원 중 작은 금액 × 공제율</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지출 확인</w:t>
            </w:r>
          </w:p>
        </w:tc>
        <w:tc>
          <w:tcPr>
            <w:tcW w:type="dxa" w:w="8280"/>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임차기간·귀속기간·근로기간·실부담과 관리비 등을 확인. 단순 반복이체 합계만 사용하지 않음</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중복</w:t>
            </w:r>
          </w:p>
        </w:tc>
        <w:tc>
          <w:tcPr>
            <w:tcW w:type="dxa" w:w="8280"/>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적용한 동일 월세를 카드·현금영수증 공제 대상에서 제외</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예외</w:t>
            </w:r>
          </w:p>
        </w:tc>
        <w:tc>
          <w:tcPr>
            <w:tcW w:type="dxa" w:w="8280"/>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주소를 달리하는 배우자, 다자녀 면적 특례, 계약기간 안분·사글세, 외국인 사례는 상세 규칙 검토 전 review_required</w:t>
            </w:r>
          </w:p>
        </w:tc>
      </w:tr>
    </w:tbl>
    <w:p>
      <w:pPr>
        <w:spacing w:after="0"/>
      </w:pPr>
    </w:p>
    <w:p>
      <w:r>
        <w:rPr>
          <w:rFonts w:ascii="Noto Sans KR" w:hAnsi="Noto Sans KR" w:eastAsia="Noto Sans KR" w:cs="Noto Sans KR"/>
          <w:b w:val="0"/>
        </w:rPr>
        <w:t>P0 계산은 국내 거주 미혼·일반 세대주·연중 근로·연중 동일 임대차·12개월 납부가 확인된 표준 시나리오에 한정한다. 그 외에도 후보와 필요 서류는 안내할 수 있다. 2026년 법령은 주소를 달리하는 배우자의 추가 적용과 부부 월세 합산 한도를 규정하므로 기존 ‘세대주만 가능’ 문구를 그대로 재사용하지 않는다.[S14][S15]</w:t>
      </w:r>
    </w:p>
    <w:p>
      <w:r>
        <w:rPr>
          <w:rFonts w:ascii="Noto Sans KR" w:hAnsi="Noto Sans KR" w:eastAsia="Noto Sans KR" w:cs="Noto Sans KR"/>
          <w:b w:val="0"/>
        </w:rPr>
        <w:t xml:space="preserve">샘플: 총급여 4,000만원, 다른 합산소득 없음, 적격 월세 월 60만원을 12개월 부담했다면 720만원 × 17% = </w:t>
      </w:r>
      <w:r>
        <w:rPr>
          <w:rFonts w:ascii="Noto Sans KR" w:hAnsi="Noto Sans KR" w:eastAsia="Noto Sans KR" w:cs="Noto Sans KR"/>
          <w:b/>
        </w:rPr>
        <w:t>122만 4,000원의 국세 세액공제 계산액</w:t>
      </w:r>
      <w:r>
        <w:rPr>
          <w:rFonts w:ascii="Noto Sans KR" w:hAnsi="Noto Sans KR" w:eastAsia="Noto Sans KR" w:cs="Noto Sans KR"/>
          <w:b w:val="0"/>
        </w:rPr>
        <w:t>이다. 실제 환급 확정액으로 표시하지 않는다.</w:t>
      </w:r>
    </w:p>
    <w:p>
      <w:pPr>
        <w:pStyle w:val="Heading2"/>
      </w:pPr>
      <w:r>
        <w:rPr>
          <w:rFonts w:ascii="Noto Sans KR" w:hAnsi="Noto Sans KR" w:eastAsia="Noto Sans KR" w:cs="Noto Sans KR"/>
        </w:rPr>
        <w:t>R02 주택청약종합저축 소득공제</w:t>
      </w:r>
    </w:p>
    <w:p>
      <w:r>
        <w:rPr>
          <w:rFonts w:ascii="Noto Sans KR" w:hAnsi="Noto Sans KR" w:eastAsia="Noto Sans KR" w:cs="Noto Sans KR"/>
          <w:b w:val="0"/>
        </w:rPr>
        <w:t>총급여 7,000만원 이하 근로자, 해당 과세기간 중 무주택 세대, 적격 세대주 또는 배우자, 본인 명의 계좌·납입, 무주택확인 등 신청요건을 확인한다.[S03]</w:t>
      </w:r>
    </w:p>
    <w:p>
      <w:r>
        <w:rPr>
          <w:rFonts w:ascii="Noto Sans KR" w:hAnsi="Noto Sans KR" w:eastAsia="Noto Sans KR" w:cs="Noto Sans KR"/>
          <w:b w:val="0"/>
        </w:rPr>
        <w:t>공제대상 납입액 = min(해당 연도 적격 납입액, 300만원). 소득공제액 = 공제대상 납입액 × 40%. 전세대출 원리금 공제와의 합산 400만원 한도를 추가 적용한다.[S19]</w:t>
      </w:r>
    </w:p>
    <w:p>
      <w:r>
        <w:rPr>
          <w:rFonts w:ascii="Noto Sans KR" w:hAnsi="Noto Sans KR" w:eastAsia="Noto Sans KR" w:cs="Noto Sans KR"/>
          <w:b w:val="0"/>
        </w:rPr>
        <w:t>샘플: 연 240만원 납입 → 소득공제액 96만원. ‘96만원 환급’은 오류다. 추가 납입 시나리오는 잔여 납입 가능액·상품 규정·고객 예산을 검사한 후 비교한다.</w:t>
      </w:r>
    </w:p>
    <w:p>
      <w:r>
        <w:rPr>
          <w:rFonts w:ascii="Noto Sans KR" w:hAnsi="Noto Sans KR" w:eastAsia="Noto Sans KR" w:cs="Noto Sans KR"/>
          <w:b w:val="0"/>
        </w:rPr>
        <w:t>청년 주택드림 가입 요건과 이자 비과세 요건은 별도다. 가입은 가능해도 비과세 요건을 충족하지 못할 수 있다. 기존 청약은 중복 개설을 권하지 않고 적격 전환 절차를 안내한다.[S05][S06]</w:t>
      </w:r>
    </w:p>
    <w:p>
      <w:r>
        <w:rPr>
          <w:rFonts w:ascii="Noto Sans KR" w:hAnsi="Noto Sans KR" w:eastAsia="Noto Sans KR" w:cs="Noto Sans KR"/>
        </w:rPr>
        <w:br w:type="page"/>
      </w:r>
    </w:p>
    <w:p>
      <w:pPr>
        <w:pStyle w:val="Heading1"/>
      </w:pPr>
      <w:r>
        <w:rPr>
          <w:rFonts w:ascii="Noto Sans KR" w:hAnsi="Noto Sans KR" w:eastAsia="Noto Sans KR" w:cs="Noto Sans KR"/>
        </w:rPr>
        <w:t>8 연금계좌와 카드 계산 규칙</w:t>
      </w:r>
    </w:p>
    <w:p>
      <w:pPr>
        <w:pStyle w:val="Heading2"/>
      </w:pPr>
      <w:r>
        <w:rPr>
          <w:rFonts w:ascii="Noto Sans KR" w:hAnsi="Noto Sans KR" w:eastAsia="Noto Sans KR" w:cs="Noto Sans KR"/>
        </w:rPr>
        <w:t>R03 연금저축과 IRP</w:t>
      </w:r>
    </w:p>
    <w:p>
      <w:r>
        <w:rPr>
          <w:rFonts w:ascii="Noto Sans KR" w:hAnsi="Noto Sans KR" w:eastAsia="Noto Sans KR" w:cs="Noto Sans KR"/>
          <w:b w:val="0"/>
        </w:rPr>
        <w:t>종합소득이 있는 거주자의 세액공제 대상 본인 납입액을 확인한다. 연금저축 세액공제 대상 한도 600만원, 연금저축·IRP·적격 DC 개인부담금 합산 900만원을 적용한다. 계좌 이전액·과세이연 퇴직금 등 제외분을 납입액으로 다시 세지 않는다.[S18]</w:t>
      </w:r>
    </w:p>
    <w:p>
      <w:r>
        <w:rPr>
          <w:rFonts w:ascii="Noto Sans KR" w:hAnsi="Noto Sans KR" w:eastAsia="Noto Sans KR" w:cs="Noto Sans KR"/>
          <w:b w:val="0"/>
        </w:rPr>
        <w:t>기본 한도 내 대상액 = min(min(적격 연금저축 납입, 600만원) + 적격 IRP 및 DC 개인부담금, 900만원).</w:t>
      </w:r>
    </w:p>
    <w:tbl>
      <w:tblPr>
        <w:tblW w:type="auto" w:w="0"/>
        <w:jc w:val="center"/>
        <w:tblLayout w:type="fixed"/>
        <w:tblLook w:firstColumn="1" w:firstRow="1" w:lastColumn="0" w:lastRow="0" w:noHBand="0" w:noVBand="1" w:val="04A0"/>
      </w:tblPr>
      <w:tblGrid>
        <w:gridCol w:w="4795"/>
        <w:gridCol w:w="1584"/>
        <w:gridCol w:w="3600"/>
      </w:tblGrid>
      <w:tr>
        <w:trPr>
          <w:cantSplit/>
          <w:tblHeader/>
        </w:trPr>
        <w:tc>
          <w:tcPr>
            <w:tcW w:type="dxa" w:w="4795"/>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조건</w:t>
            </w:r>
          </w:p>
        </w:tc>
        <w:tc>
          <w:tcPr>
            <w:tcW w:type="dxa" w:w="1584"/>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국세 공제율</w:t>
            </w:r>
          </w:p>
        </w:tc>
        <w:tc>
          <w:tcPr>
            <w:tcW w:type="dxa" w:w="3600"/>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지방소득세 효과까지 단순 환산한 안내율</w:t>
            </w:r>
          </w:p>
        </w:tc>
      </w:tr>
      <w:tr>
        <w:trPr>
          <w:cantSplit/>
        </w:trPr>
        <w:tc>
          <w:tcPr>
            <w:tcW w:type="dxa" w:w="4795"/>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종합소득금액 4,500만원 이하 또는 근로소득만 있고 총급여 5,500만원 이하</w:t>
            </w:r>
          </w:p>
        </w:tc>
        <w:tc>
          <w:tcPr>
            <w:tcW w:type="dxa" w:w="1584"/>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15%</w:t>
            </w:r>
          </w:p>
        </w:tc>
        <w:tc>
          <w:tcPr>
            <w:tcW w:type="dxa" w:w="3600"/>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16.5%</w:t>
            </w:r>
          </w:p>
        </w:tc>
      </w:tr>
      <w:tr>
        <w:trPr>
          <w:cantSplit/>
        </w:trPr>
        <w:tc>
          <w:tcPr>
            <w:tcW w:type="dxa" w:w="4795"/>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그 외</w:t>
            </w:r>
          </w:p>
        </w:tc>
        <w:tc>
          <w:tcPr>
            <w:tcW w:type="dxa" w:w="1584"/>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12%</w:t>
            </w:r>
          </w:p>
        </w:tc>
        <w:tc>
          <w:tcPr>
            <w:tcW w:type="dxa" w:w="3600"/>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13.2%</w:t>
            </w:r>
          </w:p>
        </w:tc>
      </w:tr>
    </w:tbl>
    <w:p>
      <w:pPr>
        <w:spacing w:after="0"/>
      </w:pPr>
    </w:p>
    <w:p>
      <w:r>
        <w:rPr>
          <w:rFonts w:ascii="Noto Sans KR" w:hAnsi="Noto Sans KR" w:eastAsia="Noto Sans KR" w:cs="Noto Sans KR"/>
          <w:b w:val="0"/>
        </w:rPr>
        <w:t>MVP 금액은 국세 기준으로 통일하고 지방소득세 포함 여부를 표시한다. 계좌 개설 가능성과 세액공제 가능성을 구분한다. 타행 납입이 미확인이면 잔여 한도를 확정하지 않는다.</w:t>
      </w:r>
    </w:p>
    <w:p>
      <w:r>
        <w:rPr>
          <w:rFonts w:ascii="Noto Sans KR" w:hAnsi="Noto Sans KR" w:eastAsia="Noto Sans KR" w:cs="Noto Sans KR"/>
          <w:b w:val="0"/>
        </w:rPr>
        <w:t>샘플: 총급여 4,000만원 근로소득만 있는 고객이 연금저축에 이미 300만원을 납입했고, 적격 추가 납입 200만원을 비교하면 국세 세액공제 계산액 증가는 30만원이다. 현재와 변경 후 두 번 계산한 차액을 보여준다. 실제 추가 환급은 최종 세액 재계산이 필요하다.</w:t>
      </w:r>
    </w:p>
    <w:p>
      <w:r>
        <w:rPr>
          <w:rFonts w:ascii="Noto Sans KR" w:hAnsi="Noto Sans KR" w:eastAsia="Noto Sans KR" w:cs="Noto Sans KR"/>
          <w:b w:val="0"/>
        </w:rPr>
        <w:t>고객 가용 예산이 0원이거나 가까운 시일 내 사용할 자금이면 추가 납입을 우선 과제로 올리지 않는다. 세금 혜택과 함께 장기 유지·중도인출 조건을 보여준다. ISA 적격 연금 전환에 따른 추가 한도는 P1 별도 규칙으로 처리한다.</w:t>
      </w:r>
    </w:p>
    <w:p>
      <w:pPr>
        <w:pStyle w:val="Heading2"/>
      </w:pPr>
      <w:r>
        <w:rPr>
          <w:rFonts w:ascii="Noto Sans KR" w:hAnsi="Noto Sans KR" w:eastAsia="Noto Sans KR" w:cs="Noto Sans KR"/>
        </w:rPr>
        <w:t>R04 신용카드와 체크카드 및 현금영수증</w:t>
      </w:r>
    </w:p>
    <w:p>
      <w:r>
        <w:rPr>
          <w:rFonts w:ascii="Noto Sans KR" w:hAnsi="Noto Sans KR" w:eastAsia="Noto Sans KR" w:cs="Noto Sans KR"/>
          <w:b w:val="0"/>
        </w:rPr>
        <w:t>공제대상 사용액의 총급여 25% 초과분에 대해 법정 산식을 적용한다. 일반 신용 15%, 일반 체크·현금영수증 30%, 적격 전통시장·대중교통 40%, 적격 문화체육 30%를 구분한다.[S08]</w:t>
      </w:r>
    </w:p>
    <w:p>
      <w:r>
        <w:rPr>
          <w:rFonts w:ascii="Noto Sans KR" w:hAnsi="Noto Sans KR" w:eastAsia="Noto Sans KR" w:cs="Noto Sans KR"/>
          <w:b w:val="0"/>
        </w:rPr>
        <w:t>P0 숫자 비교는 자녀 없는 일반 근로자의 일반 국내 사용분만 대상으로 한다. 기본 한도는 총급여 7,000만원 이하 300만원, 초과 250만원이다. 2026년 자녀 수에 따른 기본 한도 확대가 있으므로 자녀가 있는 프로필은 확장 규칙 적용 전 금액 계산을 보류한다.[S29]</w:t>
      </w:r>
    </w:p>
    <w:p>
      <w:r>
        <w:rPr>
          <w:rFonts w:ascii="Noto Sans KR" w:hAnsi="Noto Sans KR" w:eastAsia="Noto Sans KR" w:cs="Noto Sans KR"/>
          <w:b w:val="0"/>
        </w:rPr>
        <w:t>카드 종류별 단순 합계에 공제율을 곱하지 않는다. 최저사용액 차감 순서를 법정 산식대로 적용하고, 공제 제외 지출·취소·중복 자료를 제거한다. 특수 사용분은 분류만 보여주고 P0 일반 계산에 섞지 않는다.</w:t>
      </w:r>
    </w:p>
    <w:p>
      <w:r>
        <w:rPr>
          <w:rFonts w:ascii="Noto Sans KR" w:hAnsi="Noto Sans KR" w:eastAsia="Noto Sans KR" w:cs="Noto Sans KR"/>
          <w:b w:val="0"/>
        </w:rPr>
        <w:t xml:space="preserve">예: 이미 총급여 25% 기준을 넘었고 공제 한도가 충분한 고객의 </w:t>
      </w:r>
      <w:r>
        <w:rPr>
          <w:rFonts w:ascii="Noto Sans KR" w:hAnsi="Noto Sans KR" w:eastAsia="Noto Sans KR" w:cs="Noto Sans KR"/>
          <w:b/>
        </w:rPr>
        <w:t>예정된 일반 지출 100만원</w:t>
      </w:r>
      <w:r>
        <w:rPr>
          <w:rFonts w:ascii="Noto Sans KR" w:hAnsi="Noto Sans KR" w:eastAsia="Noto Sans KR" w:cs="Noto Sans KR"/>
          <w:b w:val="0"/>
        </w:rPr>
        <w:t>을 체크로 바꾸면, 신용 대비 소득공제액 차이는 15만원이다. 세금 15만원을 돌려받는다는 의미는 아니다. 추가 소비를 유도하지 않는다.</w:t>
      </w:r>
    </w:p>
    <w:p>
      <w:r>
        <w:rPr>
          <w:rFonts w:ascii="Noto Sans KR" w:hAnsi="Noto Sans KR" w:eastAsia="Noto Sans KR" w:cs="Noto Sans KR"/>
        </w:rPr>
        <w:br w:type="page"/>
      </w:r>
    </w:p>
    <w:p>
      <w:pPr>
        <w:pStyle w:val="Heading1"/>
      </w:pPr>
      <w:r>
        <w:rPr>
          <w:rFonts w:ascii="Noto Sans KR" w:hAnsi="Noto Sans KR" w:eastAsia="Noto Sans KR" w:cs="Noto Sans KR"/>
        </w:rPr>
        <w:t>9 중소기업 감면과 ISA 및 지원제도 규칙</w:t>
      </w:r>
    </w:p>
    <w:p>
      <w:pPr>
        <w:pStyle w:val="Heading2"/>
      </w:pPr>
      <w:r>
        <w:rPr>
          <w:rFonts w:ascii="Noto Sans KR" w:hAnsi="Noto Sans KR" w:eastAsia="Noto Sans KR" w:cs="Noto Sans KR"/>
        </w:rPr>
        <w:t>R05 중소기업 취업자 소득세 감면</w:t>
      </w:r>
    </w:p>
    <w:p>
      <w:r>
        <w:rPr>
          <w:rFonts w:ascii="Noto Sans KR" w:hAnsi="Noto Sans KR" w:eastAsia="Noto Sans KR" w:cs="Noto Sans KR"/>
          <w:b w:val="0"/>
        </w:rPr>
        <w:t>계약 시 나이, 병역기간 차감, 감면 대상 회사·업종, 제외 근로자 여부, 최초 감면 대상 취업일, 잔여 감면기간, 이미 적용 중인지 확인한다. ‘중소기업’이라는 고객 응답만으로 판정하지 않는다.[S21][S22]</w:t>
      </w:r>
    </w:p>
    <w:p>
      <w:r>
        <w:rPr>
          <w:rFonts w:ascii="Noto Sans KR" w:hAnsi="Noto Sans KR" w:eastAsia="Noto Sans KR" w:cs="Noto Sans KR"/>
          <w:b w:val="0"/>
        </w:rPr>
        <w:t>적격 청년은 5년간 90%, 과세기간별 200만원 한도다. 이를 ‘연봉의 90%’ 또는 ‘매년 200만원 확정 환급’으로 설명하면 안 된다. 2026년 말까지의 취업 적용기한과 최초 취업 기준 기간을 규칙에 저장한다. 이직했다고 5년이 새로 시작되지 않는다.</w:t>
      </w:r>
    </w:p>
    <w:p>
      <w:r>
        <w:rPr>
          <w:rFonts w:ascii="Noto Sans KR" w:hAnsi="Noto Sans KR" w:eastAsia="Noto Sans KR" w:cs="Noto Sans KR"/>
          <w:b w:val="0"/>
        </w:rPr>
        <w:t xml:space="preserve">P0는 금액 산정 대신 </w:t>
      </w:r>
      <w:r>
        <w:rPr>
          <w:rFonts w:ascii="Noto Sans KR" w:hAnsi="Noto Sans KR" w:eastAsia="Noto Sans KR" w:cs="Noto Sans KR"/>
          <w:b/>
        </w:rPr>
        <w:t>회사에 감면 신청 여부와 대상 업종 확인하기</w:t>
      </w:r>
      <w:r>
        <w:rPr>
          <w:rFonts w:ascii="Noto Sans KR" w:hAnsi="Noto Sans KR" w:eastAsia="Noto Sans KR" w:cs="Noto Sans KR"/>
          <w:b w:val="0"/>
        </w:rPr>
        <w:t xml:space="preserve"> 과제를 만든다. 근로자는 회사에 신청하고, 회사의 세무 처리로 이어진다. 세액 배분과 다른 공제와의 관계가 있어 급여만으로 절감액을 계산하지 않는다.</w:t>
      </w:r>
    </w:p>
    <w:p>
      <w:pPr>
        <w:pStyle w:val="Heading2"/>
      </w:pPr>
      <w:r>
        <w:rPr>
          <w:rFonts w:ascii="Noto Sans KR" w:hAnsi="Noto Sans KR" w:eastAsia="Noto Sans KR" w:cs="Noto Sans KR"/>
        </w:rPr>
        <w:t>R06 ISA</w:t>
      </w:r>
    </w:p>
    <w:p>
      <w:r>
        <w:rPr>
          <w:rFonts w:ascii="Noto Sans KR" w:hAnsi="Noto Sans KR" w:eastAsia="Noto Sans KR" w:cs="Noto Sans KR"/>
          <w:b w:val="0"/>
        </w:rPr>
        <w:t>계좌 보유, 가입 유형, 직전연도 소득, 가입·연장 시점, 최근 금융소득종합과세 이력 등 적격요건을 공식 자료로 확인한다. 우리은행 신탁형 상품과 증권사 중개형을 구분한다.[S10][S11]</w:t>
      </w:r>
    </w:p>
    <w:p>
      <w:r>
        <w:rPr>
          <w:rFonts w:ascii="Noto Sans KR" w:hAnsi="Noto Sans KR" w:eastAsia="Noto Sans KR" w:cs="Noto Sans KR"/>
          <w:b w:val="0"/>
        </w:rPr>
        <w:t>P0는 ‘ISA 정보 확인’ 카드를 제공한다. 일반형 200만원, 서민형·농어민형 400만원의 비과세 한도는 납입원금이 아니라 적격 순이익 기준이다. 초과분 분리과세와 의무가입기간도 설명한다. 수익률·해지 시점·보유자산 과세가 불명확하면 예상 절세액을 만들지 않는다.</w:t>
      </w:r>
    </w:p>
    <w:p>
      <w:r>
        <w:rPr>
          <w:rFonts w:ascii="Noto Sans KR" w:hAnsi="Noto Sans KR" w:eastAsia="Noto Sans KR" w:cs="Noto Sans KR"/>
          <w:b w:val="0"/>
        </w:rPr>
        <w:t>은행 상품 목록에 없는 기능을 있는 것처럼 구현하지 않는다. 국내주식 직접 매매를 원한다면 다른 기관·유형의 확인이 필요하다고 안내한다. 우리은행 상품 정보 보기 버튼은 제공할 수 있으나, 실가입은 기존 공식 절차에서 진행한다.</w:t>
      </w:r>
    </w:p>
    <w:p>
      <w:pPr>
        <w:pStyle w:val="Heading2"/>
      </w:pPr>
      <w:r>
        <w:rPr>
          <w:rFonts w:ascii="Noto Sans KR" w:hAnsi="Noto Sans KR" w:eastAsia="Noto Sans KR" w:cs="Noto Sans KR"/>
        </w:rPr>
        <w:t>P1 지원제도 카탈로그</w:t>
      </w:r>
    </w:p>
    <w:tbl>
      <w:tblPr>
        <w:tblW w:type="auto" w:w="0"/>
        <w:jc w:val="center"/>
        <w:tblLayout w:type="fixed"/>
        <w:tblLook w:firstColumn="1" w:firstRow="1" w:lastColumn="0" w:lastRow="0" w:noHBand="0" w:noVBand="1" w:val="04A0"/>
      </w:tblPr>
      <w:tblGrid>
        <w:gridCol w:w="1699"/>
        <w:gridCol w:w="8280"/>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제도</w:t>
            </w:r>
          </w:p>
        </w:tc>
        <w:tc>
          <w:tcPr>
            <w:tcW w:type="dxa" w:w="8280"/>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처리 기준</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근로장려금</w:t>
            </w:r>
          </w:p>
        </w:tc>
        <w:tc>
          <w:tcPr>
            <w:tcW w:type="dxa" w:w="8280"/>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소득연도·정기/반기 신청·가구 범위·재산 기준일을 별도 저장. 은행 입금액과 나이만으로 대상 판정 금지.[S02]</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청년내일저축계좌</w:t>
            </w:r>
          </w:p>
        </w:tc>
        <w:tc>
          <w:tcPr>
            <w:tcW w:type="dxa" w:w="8280"/>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2026년 모집은 기준 중위소득 50% 이하 청년에 집중. 선정 후 하나은행 개설 경로. 예전 100% 기준 자동 재사용 금지.[S07]</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청년도약계좌</w:t>
            </w:r>
          </w:p>
        </w:tc>
        <w:tc>
          <w:tcPr>
            <w:tcW w:type="dxa" w:w="8280"/>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우리은행 신규 판매종료. 기존 고객의 유지·적격 전환 정보를 안내.[S13]</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청년미래적금</w:t>
            </w:r>
          </w:p>
        </w:tc>
        <w:tc>
          <w:tcPr>
            <w:tcW w:type="dxa" w:w="8280"/>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우리은행 취급. 2026년 2차 신청 마감과 심사·개설 기간을 분리하여 표시.[S16][S17]</w:t>
            </w:r>
          </w:p>
        </w:tc>
      </w:tr>
    </w:tbl>
    <w:p>
      <w:pPr>
        <w:spacing w:after="0"/>
      </w:pPr>
    </w:p>
    <w:p>
      <w:r>
        <w:rPr>
          <w:rFonts w:ascii="Noto Sans KR" w:hAnsi="Noto Sans KR" w:eastAsia="Noto Sans KR" w:cs="Noto Sans KR"/>
          <w:b w:val="0"/>
        </w:rPr>
        <w:t>지원금을 세액공제 계산액 합계에 넣지 않는다. 모집 기간이 지났으면 ‘모집 종료’와 공지 확인·알림 설정 모형을 제공한다. 미래 모집일·기여금 개정안은 확정된 값처럼 저장하지 않는다.</w:t>
      </w:r>
    </w:p>
    <w:p>
      <w:r>
        <w:rPr>
          <w:rFonts w:ascii="Noto Sans KR" w:hAnsi="Noto Sans KR" w:eastAsia="Noto Sans KR" w:cs="Noto Sans KR"/>
        </w:rPr>
        <w:br w:type="page"/>
      </w:r>
    </w:p>
    <w:p>
      <w:pPr>
        <w:pStyle w:val="Heading1"/>
      </w:pPr>
      <w:r>
        <w:rPr>
          <w:rFonts w:ascii="Noto Sans KR" w:hAnsi="Noto Sans KR" w:eastAsia="Noto Sans KR" w:cs="Noto Sans KR"/>
        </w:rPr>
        <w:t>10 Agent의 동작과 결과 계약</w:t>
      </w:r>
    </w:p>
    <w:p>
      <w:pPr>
        <w:pStyle w:val="Heading2"/>
      </w:pPr>
      <w:r>
        <w:rPr>
          <w:rFonts w:ascii="Noto Sans KR" w:hAnsi="Noto Sans KR" w:eastAsia="Noto Sans KR" w:cs="Noto Sans KR"/>
        </w:rPr>
        <w:t>오케스트레이션</w:t>
      </w:r>
    </w:p>
    <w:p>
      <w:r>
        <w:rPr>
          <w:rFonts w:ascii="Noto Sans KR" w:hAnsi="Noto Sans KR" w:eastAsia="Noto Sans KR" w:cs="Noto Sans KR"/>
          <w:b w:val="0"/>
        </w:rPr>
        <w:t>1. 관측 도구가 샘플 거래와 프로필을 조회한다.</w:t>
      </w:r>
    </w:p>
    <w:p>
      <w:r>
        <w:rPr>
          <w:rFonts w:ascii="Noto Sans KR" w:hAnsi="Noto Sans KR" w:eastAsia="Noto Sans KR" w:cs="Noto Sans KR"/>
          <w:b w:val="0"/>
        </w:rPr>
        <w:t>2. 후보 탐지 도구가 가능한 혜택과 관련 근거를 찾는다.</w:t>
      </w:r>
    </w:p>
    <w:p>
      <w:r>
        <w:rPr>
          <w:rFonts w:ascii="Noto Sans KR" w:hAnsi="Noto Sans KR" w:eastAsia="Noto Sans KR" w:cs="Noto Sans KR"/>
          <w:b w:val="0"/>
        </w:rPr>
        <w:t>3. 자격 도구가 통과·실패·미확인 요건을 반환한다.</w:t>
      </w:r>
    </w:p>
    <w:p>
      <w:r>
        <w:rPr>
          <w:rFonts w:ascii="Noto Sans KR" w:hAnsi="Noto Sans KR" w:eastAsia="Noto Sans KR" w:cs="Noto Sans KR"/>
          <w:b w:val="0"/>
        </w:rPr>
        <w:t>4. Agent가 판정을 바꾸는 미확인 항목부터 질문한다.</w:t>
      </w:r>
    </w:p>
    <w:p>
      <w:r>
        <w:rPr>
          <w:rFonts w:ascii="Noto Sans KR" w:hAnsi="Noto Sans KR" w:eastAsia="Noto Sans KR" w:cs="Noto Sans KR"/>
          <w:b w:val="0"/>
        </w:rPr>
        <w:t>5. 계산 도구가 지원 범위 안의 금액과 계산 과정을 반환한다.</w:t>
      </w:r>
    </w:p>
    <w:p>
      <w:r>
        <w:rPr>
          <w:rFonts w:ascii="Noto Sans KR" w:hAnsi="Noto Sans KR" w:eastAsia="Noto Sans KR" w:cs="Noto Sans KR"/>
          <w:b w:val="0"/>
        </w:rPr>
        <w:t>6. 실행 계획 도구가 서류·공식 안내·기한을 제시하고 고객 요청으로 저장한다.</w:t>
      </w:r>
    </w:p>
    <w:p>
      <w:r>
        <w:rPr>
          <w:rFonts w:ascii="Noto Sans KR" w:hAnsi="Noto Sans KR" w:eastAsia="Noto Sans KR" w:cs="Noto Sans KR"/>
          <w:b w:val="0"/>
        </w:rPr>
        <w:t>7. 저장된 상태와 새 입력이 있으면 재진단한다.</w:t>
      </w:r>
    </w:p>
    <w:p>
      <w:r>
        <w:rPr>
          <w:rFonts w:ascii="Noto Sans KR" w:hAnsi="Noto Sans KR" w:eastAsia="Noto Sans KR" w:cs="Noto Sans KR"/>
          <w:b w:val="0"/>
        </w:rPr>
        <w:t>실제로 필요한 정보에 따라 질문과 도구 호출이 달라지고, 할 일 상태를 유지해야 한다. 고정 답변 채팅만 붙이는 방식으로는 이 동작을 충족하지 못한다. 규칙 엔진은 자격·금액을 담당하고 LLM은 질문 해석·요약·설명·계획 제안을 담당한다.</w:t>
      </w:r>
    </w:p>
    <w:p>
      <w:pPr>
        <w:pStyle w:val="Heading2"/>
      </w:pPr>
      <w:r>
        <w:rPr>
          <w:rFonts w:ascii="Noto Sans KR" w:hAnsi="Noto Sans KR" w:eastAsia="Noto Sans KR" w:cs="Noto Sans KR"/>
        </w:rPr>
        <w:t>허용 도구</w:t>
      </w:r>
    </w:p>
    <w:tbl>
      <w:tblPr>
        <w:tblW w:type="auto" w:w="0"/>
        <w:jc w:val="center"/>
        <w:tblLayout w:type="fixed"/>
        <w:tblLook w:firstColumn="1" w:firstRow="1" w:lastColumn="0" w:lastRow="0" w:noHBand="0" w:noVBand="1" w:val="04A0"/>
      </w:tblPr>
      <w:tblGrid>
        <w:gridCol w:w="1699"/>
        <w:gridCol w:w="3082"/>
        <w:gridCol w:w="5198"/>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도구</w:t>
            </w:r>
          </w:p>
        </w:tc>
        <w:tc>
          <w:tcPr>
            <w:tcW w:type="dxa" w:w="3082"/>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입력과 출력</w:t>
            </w:r>
          </w:p>
        </w:tc>
        <w:tc>
          <w:tcPr>
            <w:tcW w:type="dxa" w:w="5198"/>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실행 권한</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get_profile / get_transactions</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동의된 프로필·내역</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읽기</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find_candidates</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프로필과 거래 → 후보 ID</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읽기</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evaluate_benefit</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혜택 ID·규칙 버전 → 요건 상태</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읽기</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calculate_scenario</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검증된 입력 → 금액·단위·가정</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읽기</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get_official_sources</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혜택 ID → 승인된 출처·기준일</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읽기</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save_action_plan</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고객이 요청한 할 일 → 저장 상태</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확인된 앱 내 상태 저장</w:t>
            </w:r>
          </w:p>
        </w:tc>
      </w:tr>
    </w:tbl>
    <w:p>
      <w:pPr>
        <w:spacing w:after="0"/>
      </w:pPr>
    </w:p>
    <w:p>
      <w:pPr>
        <w:pStyle w:val="Heading2"/>
      </w:pPr>
      <w:r>
        <w:rPr>
          <w:rFonts w:ascii="Noto Sans KR" w:hAnsi="Noto Sans KR" w:eastAsia="Noto Sans KR" w:cs="Noto Sans KR"/>
        </w:rPr>
        <w:t>결과 카드 JSON 예시</w:t>
      </w:r>
    </w:p>
    <w:p>
      <w:pPr>
        <w:spacing w:after="0" w:line="240" w:lineRule="auto"/>
      </w:pPr>
      <w:r>
        <w:rPr>
          <w:rFonts w:ascii="DejaVu Sans Mono" w:hAnsi="DejaVu Sans Mono"/>
          <w:sz w:val="15"/>
        </w:rPr>
        <w:t>{</w:t>
      </w:r>
    </w:p>
    <w:p>
      <w:pPr>
        <w:spacing w:after="0" w:line="240" w:lineRule="auto"/>
      </w:pPr>
      <w:r>
        <w:rPr>
          <w:rFonts w:ascii="DejaVu Sans Mono" w:hAnsi="DejaVu Sans Mono"/>
          <w:sz w:val="15"/>
        </w:rPr>
        <w:t>"benefitId": "rent_credit",</w:t>
      </w:r>
    </w:p>
    <w:p>
      <w:pPr>
        <w:spacing w:after="0" w:line="240" w:lineRule="auto"/>
      </w:pPr>
      <w:r>
        <w:rPr>
          <w:rFonts w:ascii="DejaVu Sans Mono" w:hAnsi="DejaVu Sans Mono"/>
          <w:sz w:val="15"/>
        </w:rPr>
        <w:t>"taxYear": 2026,</w:t>
      </w:r>
    </w:p>
    <w:p>
      <w:pPr>
        <w:spacing w:after="0" w:line="240" w:lineRule="auto"/>
      </w:pPr>
      <w:r>
        <w:rPr>
          <w:rFonts w:ascii="DejaVu Sans Mono" w:hAnsi="DejaVu Sans Mono"/>
          <w:sz w:val="15"/>
        </w:rPr>
        <w:t>"eligibility": "needs_info",</w:t>
      </w:r>
    </w:p>
    <w:p>
      <w:pPr>
        <w:spacing w:after="0" w:line="240" w:lineRule="auto"/>
      </w:pPr>
      <w:r>
        <w:rPr>
          <w:rFonts w:ascii="DejaVu Sans Mono" w:hAnsi="DejaVu Sans Mono"/>
          <w:sz w:val="15"/>
        </w:rPr>
        <w:t>"availability": "open",</w:t>
      </w:r>
    </w:p>
    <w:p>
      <w:pPr>
        <w:spacing w:after="0" w:line="240" w:lineRule="auto"/>
      </w:pPr>
      <w:r>
        <w:rPr>
          <w:rFonts w:ascii="DejaVu Sans Mono" w:hAnsi="DejaVu Sans Mono"/>
          <w:sz w:val="15"/>
        </w:rPr>
        <w:t>"actionStatus": "not_started",</w:t>
      </w:r>
    </w:p>
    <w:p>
      <w:pPr>
        <w:spacing w:after="0" w:line="240" w:lineRule="auto"/>
      </w:pPr>
      <w:r>
        <w:rPr>
          <w:rFonts w:ascii="DejaVu Sans Mono" w:hAnsi="DejaVu Sans Mono"/>
          <w:sz w:val="15"/>
        </w:rPr>
        <w:t>"missingFields": ["residentAddressMatch"],</w:t>
      </w:r>
    </w:p>
    <w:p>
      <w:pPr>
        <w:spacing w:after="0" w:line="240" w:lineRule="auto"/>
      </w:pPr>
      <w:r>
        <w:rPr>
          <w:rFonts w:ascii="DejaVu Sans Mono" w:hAnsi="DejaVu Sans Mono"/>
          <w:sz w:val="15"/>
        </w:rPr>
        <w:t>"amount": null,</w:t>
      </w:r>
    </w:p>
    <w:p>
      <w:pPr>
        <w:spacing w:after="0" w:line="240" w:lineRule="auto"/>
      </w:pPr>
      <w:r>
        <w:rPr>
          <w:rFonts w:ascii="DejaVu Sans Mono" w:hAnsi="DejaVu Sans Mono"/>
          <w:sz w:val="15"/>
        </w:rPr>
        <w:t>"amountType": "national_tax_credit_calculation",</w:t>
      </w:r>
    </w:p>
    <w:p>
      <w:pPr>
        <w:spacing w:after="0" w:line="240" w:lineRule="auto"/>
      </w:pPr>
      <w:r>
        <w:rPr>
          <w:rFonts w:ascii="DejaVu Sans Mono" w:hAnsi="DejaVu Sans Mono"/>
          <w:sz w:val="15"/>
        </w:rPr>
        <w:t>"sourceIds": ["S14", "S15"],</w:t>
      </w:r>
    </w:p>
    <w:p>
      <w:pPr>
        <w:spacing w:after="0" w:line="240" w:lineRule="auto"/>
      </w:pPr>
      <w:r>
        <w:rPr>
          <w:rFonts w:ascii="DejaVu Sans Mono" w:hAnsi="DejaVu Sans Mono"/>
          <w:sz w:val="15"/>
        </w:rPr>
        <w:t>"ruleVersion": "2026-10-17.1",</w:t>
      </w:r>
    </w:p>
    <w:p>
      <w:pPr>
        <w:spacing w:after="0" w:line="240" w:lineRule="auto"/>
      </w:pPr>
      <w:r>
        <w:rPr>
          <w:rFonts w:ascii="DejaVu Sans Mono" w:hAnsi="DejaVu Sans Mono"/>
          <w:sz w:val="15"/>
        </w:rPr>
        <w:t>"nextAction": "계약서와 주민등록상 주소가 같은지 확인",</w:t>
      </w:r>
    </w:p>
    <w:p>
      <w:pPr>
        <w:spacing w:after="0" w:line="240" w:lineRule="auto"/>
      </w:pPr>
      <w:r>
        <w:rPr>
          <w:rFonts w:ascii="DejaVu Sans Mono" w:hAnsi="DejaVu Sans Mono"/>
          <w:sz w:val="15"/>
        </w:rPr>
        <w:t>"isDemo": true</w:t>
      </w:r>
    </w:p>
    <w:p>
      <w:pPr>
        <w:spacing w:after="0" w:line="240" w:lineRule="auto"/>
      </w:pPr>
      <w:r>
        <w:rPr>
          <w:rFonts w:ascii="DejaVu Sans Mono" w:hAnsi="DejaVu Sans Mono"/>
          <w:sz w:val="15"/>
        </w:rPr>
        <w:t>}</w:t>
      </w:r>
    </w:p>
    <w:p>
      <w:r>
        <w:rPr>
          <w:rFonts w:ascii="Noto Sans KR" w:hAnsi="Noto Sans KR" w:eastAsia="Noto Sans KR" w:cs="Noto Sans KR"/>
          <w:b w:val="0"/>
        </w:rPr>
        <w:t>LLM은 숫자·요건·출처 ID를 임의로 추가할 수 없다. 서버가 결과 스키마와 숫자 일치 여부를 검증하며, 실패하면 승인된 문구 템플릿으로 대체한다. 출처가 없는 새 제도 질문에는 확인 필요와 공식 검색 경로를 안내한다.</w:t>
      </w:r>
    </w:p>
    <w:p>
      <w:r>
        <w:rPr>
          <w:rFonts w:ascii="Noto Sans KR" w:hAnsi="Noto Sans KR" w:eastAsia="Noto Sans KR" w:cs="Noto Sans KR"/>
        </w:rPr>
        <w:br w:type="page"/>
      </w:r>
    </w:p>
    <w:p>
      <w:pPr>
        <w:pStyle w:val="Heading1"/>
      </w:pPr>
      <w:r>
        <w:rPr>
          <w:rFonts w:ascii="Noto Sans KR" w:hAnsi="Noto Sans KR" w:eastAsia="Noto Sans KR" w:cs="Noto Sans KR"/>
        </w:rPr>
        <w:t>11 구현 구조와 API</w:t>
      </w:r>
    </w:p>
    <w:p>
      <w:pPr>
        <w:pStyle w:val="Heading2"/>
      </w:pPr>
      <w:r>
        <w:rPr>
          <w:rFonts w:ascii="Noto Sans KR" w:hAnsi="Noto Sans KR" w:eastAsia="Noto Sans KR" w:cs="Noto Sans KR"/>
        </w:rPr>
        <w:t>권장 기술 구성</w:t>
      </w:r>
    </w:p>
    <w:tbl>
      <w:tblPr>
        <w:tblW w:type="auto" w:w="0"/>
        <w:jc w:val="center"/>
        <w:tblLayout w:type="fixed"/>
        <w:tblLook w:firstColumn="1" w:firstRow="1" w:lastColumn="0" w:lastRow="0" w:noHBand="0" w:noVBand="1" w:val="04A0"/>
      </w:tblPr>
      <w:tblGrid>
        <w:gridCol w:w="1699"/>
        <w:gridCol w:w="3082"/>
        <w:gridCol w:w="5198"/>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구성</w:t>
            </w:r>
          </w:p>
        </w:tc>
        <w:tc>
          <w:tcPr>
            <w:tcW w:type="dxa" w:w="3082"/>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MVP 선택</w:t>
            </w:r>
          </w:p>
        </w:tc>
        <w:tc>
          <w:tcPr>
            <w:tcW w:type="dxa" w:w="5198"/>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이유</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화면</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React + TypeScript, 모바일 우선</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카드·질문·계획 상태를 빠르게 구현</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서버</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Python FastAPI + Pydantic</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숫자 계산과 입력·결과 스키마 검증</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규칙 저장</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JSON 또는 YAML, 버전 관리</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6개 규칙을 코드·프롬프트와 분리</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상태 저장</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SQLite</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프로필·진단·할 일·사용자 응답 저장</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지식 검색</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출처 ID 기반 작은 문서 검색</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6개 항목은 벡터DB 없이도 시작 가능</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LLM</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서버에서만 호출, 키 환경변수</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실제 모델 선택에 UI를 종속시키지 않음</w:t>
            </w:r>
          </w:p>
        </w:tc>
      </w:tr>
    </w:tbl>
    <w:p>
      <w:pPr>
        <w:spacing w:after="0"/>
      </w:pPr>
    </w:p>
    <w:p>
      <w:r>
        <w:rPr>
          <w:rFonts w:ascii="Noto Sans KR" w:hAnsi="Noto Sans KR" w:eastAsia="Noto Sans KR" w:cs="Noto Sans KR"/>
          <w:b w:val="0"/>
        </w:rPr>
        <w:t>처리 흐름은 화면 → API → Agent 오케스트레이터 → 규칙·계산·출처 도구 → 검증된 카드 → 행동 저장이다. 시연 데이터는 서버의 고정 fixture에서 읽으며 실제 은행 로그인·마이데이터 권한이 있는 것처럼 표시하지 않는다.</w:t>
      </w:r>
    </w:p>
    <w:p>
      <w:pPr>
        <w:pStyle w:val="Heading2"/>
      </w:pPr>
      <w:r>
        <w:rPr>
          <w:rFonts w:ascii="Noto Sans KR" w:hAnsi="Noto Sans KR" w:eastAsia="Noto Sans KR" w:cs="Noto Sans KR"/>
        </w:rPr>
        <w:t>API 계약</w:t>
      </w:r>
    </w:p>
    <w:tbl>
      <w:tblPr>
        <w:tblW w:type="auto" w:w="0"/>
        <w:jc w:val="center"/>
        <w:tblLayout w:type="fixed"/>
        <w:tblLook w:firstColumn="1" w:firstRow="1" w:lastColumn="0" w:lastRow="0" w:noHBand="0" w:noVBand="1" w:val="04A0"/>
      </w:tblPr>
      <w:tblGrid>
        <w:gridCol w:w="1699"/>
        <w:gridCol w:w="3082"/>
        <w:gridCol w:w="5198"/>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API</w:t>
            </w:r>
          </w:p>
        </w:tc>
        <w:tc>
          <w:tcPr>
            <w:tcW w:type="dxa" w:w="3082"/>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목적</w:t>
            </w:r>
          </w:p>
        </w:tc>
        <w:tc>
          <w:tcPr>
            <w:tcW w:type="dxa" w:w="5198"/>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주요 반환값</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GET /api/demo-profiles</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샘플 선택</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id, label, coverage</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POST /api/analyses</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진단 생성</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analysisId, cards, questions, ruleVersion</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PATCH /api/analyses/{id}/answers</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질문 응답과 재진단</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updatedCards, remainingQuestions</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POST /api/scenarios</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추가 납입·결제방식 비교</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before, after, delta, amountType, assumptions</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POST /api/chat</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카드 근거 기반 대화</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answer, referencedCardIds, sourceIds</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POST /api/actions</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고객 요청 할 일 저장</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actionId, status, dueDate</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PATCH /api/actions/{id}</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완료·보류 변경</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currentStatus</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DELETE /api/session</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체험 데이터 삭제</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deleted: true</w:t>
            </w:r>
          </w:p>
        </w:tc>
      </w:tr>
    </w:tbl>
    <w:p>
      <w:pPr>
        <w:spacing w:after="0"/>
      </w:pPr>
    </w:p>
    <w:p>
      <w:r>
        <w:rPr>
          <w:rFonts w:ascii="Noto Sans KR" w:hAnsi="Noto Sans KR" w:eastAsia="Noto Sans KR" w:cs="Noto Sans KR"/>
          <w:b w:val="0"/>
        </w:rPr>
        <w:t>응답 금액은 원 단위 정수이며 공제율 계산은 Decimal을 쓴다. 규칙별 반올림·절사 정책을 고정하고 계산 이력을 저장한다. 미응답은 null로 보존하며 0원·false로 바꾸지 않는다. 요청·응답에 귀속연도와 규칙 버전을 기록한다.</w:t>
      </w:r>
    </w:p>
    <w:p>
      <w:pPr>
        <w:pStyle w:val="Heading2"/>
      </w:pPr>
      <w:r>
        <w:rPr>
          <w:rFonts w:ascii="Noto Sans KR" w:hAnsi="Noto Sans KR" w:eastAsia="Noto Sans KR" w:cs="Noto Sans KR"/>
        </w:rPr>
        <w:t>데이터와 운영 경계</w:t>
      </w:r>
    </w:p>
    <w:p>
      <w:r>
        <w:rPr>
          <w:rFonts w:ascii="Noto Sans KR" w:hAnsi="Noto Sans KR" w:eastAsia="Noto Sans KR" w:cs="Noto Sans KR"/>
          <w:b w:val="0"/>
        </w:rPr>
        <w:t>실서비스 연계는 은행 내부 데이터, 타기관 금융 데이터, 세무·주거 증빙의 제공 범위를 각각 확인해야 한다. 외부 LLM에는 계좌번호·주민번호·전체 거래원문을 보내지 않고 필요한 집계·요건 상태만 전달한다. 동의 철회와 보존기간 정책, 접근권한과 감사로그를 갖춘다. 계약서 OCR 텍스트는 지시문으로 실행하지 않는다. 제품 추천·거래·신고 기능을 확장할 때는 해당 업무 요건과 소비자 보호 절차를 별도 설계한다.</w:t>
      </w:r>
    </w:p>
    <w:p>
      <w:r>
        <w:rPr>
          <w:rFonts w:ascii="Noto Sans KR" w:hAnsi="Noto Sans KR" w:eastAsia="Noto Sans KR" w:cs="Noto Sans KR"/>
        </w:rPr>
        <w:br w:type="page"/>
      </w:r>
    </w:p>
    <w:p>
      <w:pPr>
        <w:pStyle w:val="Heading1"/>
      </w:pPr>
      <w:r>
        <w:rPr>
          <w:rFonts w:ascii="Noto Sans KR" w:hAnsi="Noto Sans KR" w:eastAsia="Noto Sans KR" w:cs="Noto Sans KR"/>
        </w:rPr>
        <w:t>12 시연 시나리오와 합격 기준</w:t>
      </w:r>
    </w:p>
    <w:p>
      <w:pPr>
        <w:pStyle w:val="Heading2"/>
      </w:pPr>
      <w:r>
        <w:rPr>
          <w:rFonts w:ascii="Noto Sans KR" w:hAnsi="Noto Sans KR" w:eastAsia="Noto Sans KR" w:cs="Noto Sans KR"/>
        </w:rPr>
        <w:t>대표 샘플 A 월세 거주 직장인</w:t>
      </w:r>
    </w:p>
    <w:p>
      <w:r>
        <w:rPr>
          <w:rFonts w:ascii="Noto Sans KR" w:hAnsi="Noto Sans KR" w:eastAsia="Noto Sans KR" w:cs="Noto Sans KR"/>
          <w:b w:val="0"/>
        </w:rPr>
        <w:t>실제 사용자와 무관한 가상 인물. 27세, 연중 근로, 총급여 4,000만원, 다른 합산소득 없음, 미혼 무주택 세대주, 도시지역 30㎡ 주택, 본인 명의 연중 임대차, 관리비 별도. 월세 60만원을 12개월 납부했다. 청약 연 240만원, 연금저축 연 300만원, IRP 0원, 타행 납입 0원 확인. 회사 감면 자격은 미확인이다.</w:t>
      </w:r>
    </w:p>
    <w:p>
      <w:r>
        <w:rPr>
          <w:rFonts w:ascii="Noto Sans KR" w:hAnsi="Noto Sans KR" w:eastAsia="Noto Sans KR" w:cs="Noto Sans KR"/>
          <w:b w:val="0"/>
        </w:rPr>
        <w:t>1. 시작 화면에서 샘플 A와 2026년을 선택한다.</w:t>
      </w:r>
    </w:p>
    <w:p>
      <w:r>
        <w:rPr>
          <w:rFonts w:ascii="Noto Sans KR" w:hAnsi="Noto Sans KR" w:eastAsia="Noto Sans KR" w:cs="Noto Sans KR"/>
          <w:b w:val="0"/>
        </w:rPr>
        <w:t>2. 월세 추정 이체 카드가 ‘주소 확인 필요’로 나타난다.</w:t>
      </w:r>
    </w:p>
    <w:p>
      <w:r>
        <w:rPr>
          <w:rFonts w:ascii="Noto Sans KR" w:hAnsi="Noto Sans KR" w:eastAsia="Noto Sans KR" w:cs="Noto Sans KR"/>
          <w:b w:val="0"/>
        </w:rPr>
        <w:t>3. 고객이 계약·전입 주소 일치를 확인한다.</w:t>
      </w:r>
    </w:p>
    <w:p>
      <w:r>
        <w:rPr>
          <w:rFonts w:ascii="Noto Sans KR" w:hAnsi="Noto Sans KR" w:eastAsia="Noto Sans KR" w:cs="Noto Sans KR"/>
          <w:b w:val="0"/>
        </w:rPr>
        <w:t>4. 월세 국세 세액공제 계산액 122만 4,000원과 필요 서류가 표시된다.</w:t>
      </w:r>
    </w:p>
    <w:p>
      <w:r>
        <w:rPr>
          <w:rFonts w:ascii="Noto Sans KR" w:hAnsi="Noto Sans KR" w:eastAsia="Noto Sans KR" w:cs="Noto Sans KR"/>
          <w:b w:val="0"/>
        </w:rPr>
        <w:t>5. 청약은 소득공제액 96만원으로 별도 표시된다.</w:t>
      </w:r>
    </w:p>
    <w:p>
      <w:r>
        <w:rPr>
          <w:rFonts w:ascii="Noto Sans KR" w:hAnsi="Noto Sans KR" w:eastAsia="Noto Sans KR" w:cs="Noto Sans KR"/>
          <w:b w:val="0"/>
        </w:rPr>
        <w:t>6. “200만원을 연금에 더 넣으면?”에 국세 계산액 차이 30만원을 설명한다. 가용 예산 확인 전에는 납입 과제를 저장하지 않는다.</w:t>
      </w:r>
    </w:p>
    <w:p>
      <w:r>
        <w:rPr>
          <w:rFonts w:ascii="Noto Sans KR" w:hAnsi="Noto Sans KR" w:eastAsia="Noto Sans KR" w:cs="Noto Sans KR"/>
          <w:b w:val="0"/>
        </w:rPr>
        <w:t>7. 월세 서류 3종 준비 과제를 저장하고 하나를 완료한다. 새로고침 후 유지된다.</w:t>
      </w:r>
    </w:p>
    <w:p>
      <w:r>
        <w:rPr>
          <w:rFonts w:ascii="Noto Sans KR" w:hAnsi="Noto Sans KR" w:eastAsia="Noto Sans KR" w:cs="Noto Sans KR"/>
          <w:b w:val="0"/>
        </w:rPr>
        <w:t>8. 회사 감면은 금액 없이 업종·신청 여부 확인 과제로 남는다.</w:t>
      </w:r>
    </w:p>
    <w:p>
      <w:r>
        <w:rPr>
          <w:rFonts w:ascii="Noto Sans KR" w:hAnsi="Noto Sans KR" w:eastAsia="Noto Sans KR" w:cs="Noto Sans KR"/>
          <w:b w:val="0"/>
        </w:rPr>
        <w:t>샘플 B는 근로소득 없는 구직자다. 근로소득 전용 공제를 억지로 추천하지 않고 정보 탐색과 소득 확인 안내를 제공한다. 샘플 C는 타행 납입·배우자 분리 거주 정보가 미확인인 고객으로, 질문과 전문 검토 분기를 보여준다.</w:t>
      </w:r>
    </w:p>
    <w:p>
      <w:pPr>
        <w:pStyle w:val="Heading2"/>
      </w:pPr>
      <w:r>
        <w:rPr>
          <w:rFonts w:ascii="Noto Sans KR" w:hAnsi="Noto Sans KR" w:eastAsia="Noto Sans KR" w:cs="Noto Sans KR"/>
        </w:rPr>
        <w:t>필수 검증 사례</w:t>
      </w:r>
    </w:p>
    <w:tbl>
      <w:tblPr>
        <w:tblW w:type="auto" w:w="0"/>
        <w:jc w:val="center"/>
        <w:tblLayout w:type="fixed"/>
        <w:tblLook w:firstColumn="1" w:firstRow="1" w:lastColumn="0" w:lastRow="0" w:noHBand="0" w:noVBand="1" w:val="04A0"/>
      </w:tblPr>
      <w:tblGrid>
        <w:gridCol w:w="1699"/>
        <w:gridCol w:w="3082"/>
        <w:gridCol w:w="5198"/>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ID</w:t>
            </w:r>
          </w:p>
        </w:tc>
        <w:tc>
          <w:tcPr>
            <w:tcW w:type="dxa" w:w="3082"/>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입력 또는 상황</w:t>
            </w:r>
          </w:p>
        </w:tc>
        <w:tc>
          <w:tcPr>
            <w:tcW w:type="dxa" w:w="5198"/>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통과 기준</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T01</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월세 주소 미확인</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금액 null, 확인 질문 표시</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T02</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월세 주소 조건 불일치</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표준 월세 계산 중단, 사유 표시</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T03</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같은 월세를 현금영수증에도 포함</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중복 공제 차단·사용분 조정</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T04</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타행 연금 납입 모름</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잔여 세액공제 한도 확정 금지</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T05</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연금저축 600만원과 IRP 400만원</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기본 세액공제 대상액 합산 900만원 상한</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T06</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카드 25% 기준·기본 한도 경계</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경계 직전·일치·초과 값이 기준 fixture와 일치</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T07</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자녀 있는 2026년 카드 프로필</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옛 한도 고정 적용 차단, 확장 규칙 필요 표시</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T08</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청년미래적금 기준일 2026년 10월 17일</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신규 신청 마감, 심사·개설 일정 구분</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T09</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청년도약계좌 신규 요청</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판매종료 표시, 가입 버튼 없음</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T10</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근로소득 없음·세액 부족·예산 0원</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전용 공제 오적용·환급 보장·무리한 납입 유도 없음</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T11</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내역 취소·중복 업로드·연도 변경</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중복 제거 및 결과·행동 상태 재확인</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T12</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LLM 장애·출처 없는 세율 응답</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계산 유지, 설명 템플릿 또는 확인 필요로 대체</w:t>
            </w:r>
          </w:p>
        </w:tc>
      </w:tr>
    </w:tbl>
    <w:p>
      <w:pPr>
        <w:spacing w:after="0"/>
      </w:pPr>
    </w:p>
    <w:p>
      <w:r>
        <w:rPr>
          <w:rFonts w:ascii="Noto Sans KR" w:hAnsi="Noto Sans KR" w:eastAsia="Noto Sans KR" w:cs="Noto Sans KR"/>
          <w:b w:val="0"/>
        </w:rPr>
        <w:t>목표는 3분 이내 대표 흐름 완료, 위 시나리오 전부 통과, 모든 카드의 공식 출처·연도·금액 종류 표시다. 이는 개발 목표이며 달성 실적이 아니다.</w:t>
      </w:r>
    </w:p>
    <w:p>
      <w:r>
        <w:rPr>
          <w:rFonts w:ascii="Noto Sans KR" w:hAnsi="Noto Sans KR" w:eastAsia="Noto Sans KR" w:cs="Noto Sans KR"/>
        </w:rPr>
        <w:br w:type="page"/>
      </w:r>
    </w:p>
    <w:p>
      <w:pPr>
        <w:pStyle w:val="Heading1"/>
      </w:pPr>
      <w:r>
        <w:rPr>
          <w:rFonts w:ascii="Noto Sans KR" w:hAnsi="Noto Sans KR" w:eastAsia="Noto Sans KR" w:cs="Noto Sans KR"/>
        </w:rPr>
        <w:t>13 개발 일정과 제안서 구성</w:t>
      </w:r>
    </w:p>
    <w:p>
      <w:pPr>
        <w:pStyle w:val="Heading2"/>
      </w:pPr>
      <w:r>
        <w:rPr>
          <w:rFonts w:ascii="Noto Sans KR" w:hAnsi="Noto Sans KR" w:eastAsia="Noto Sans KR" w:cs="Noto Sans KR"/>
        </w:rPr>
        <w:t>3인 팀의 5일 구현안</w:t>
      </w:r>
    </w:p>
    <w:tbl>
      <w:tblPr>
        <w:tblW w:type="auto" w:w="0"/>
        <w:jc w:val="center"/>
        <w:tblLayout w:type="fixed"/>
        <w:tblLook w:firstColumn="1" w:firstRow="1" w:lastColumn="0" w:lastRow="0" w:noHBand="0" w:noVBand="1" w:val="04A0"/>
      </w:tblPr>
      <w:tblGrid>
        <w:gridCol w:w="2495"/>
        <w:gridCol w:w="2495"/>
        <w:gridCol w:w="2495"/>
        <w:gridCol w:w="2495"/>
      </w:tblGrid>
      <w:tr>
        <w:trPr>
          <w:cantSplit/>
          <w:tblHeader/>
        </w:trPr>
        <w:tc>
          <w:tcPr>
            <w:tcW w:type="dxa" w:w="2495"/>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일차</w:t>
            </w:r>
          </w:p>
        </w:tc>
        <w:tc>
          <w:tcPr>
            <w:tcW w:type="dxa" w:w="2495"/>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화면 담당</w:t>
            </w:r>
          </w:p>
        </w:tc>
        <w:tc>
          <w:tcPr>
            <w:tcW w:type="dxa" w:w="2495"/>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규칙 담당</w:t>
            </w:r>
          </w:p>
        </w:tc>
        <w:tc>
          <w:tcPr>
            <w:tcW w:type="dxa" w:w="2495"/>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Agent와 자료 담당</w:t>
            </w:r>
          </w:p>
        </w:tc>
      </w:tr>
      <w:tr>
        <w:trPr>
          <w:cantSplit/>
        </w:trPr>
        <w:tc>
          <w:tcPr>
            <w:tcW w:type="dxa" w:w="2495"/>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1일</w:t>
            </w:r>
          </w:p>
        </w:tc>
        <w:tc>
          <w:tcPr>
            <w:tcW w:type="dxa" w:w="2495"/>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모바일 화면·상태 설계</w:t>
            </w:r>
          </w:p>
        </w:tc>
        <w:tc>
          <w:tcPr>
            <w:tcW w:type="dxa" w:w="2495"/>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데이터 스키마·6개 판정 범위</w:t>
            </w:r>
          </w:p>
        </w:tc>
        <w:tc>
          <w:tcPr>
            <w:tcW w:type="dxa" w:w="2495"/>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공식 근거 정리·질문 흐름</w:t>
            </w:r>
          </w:p>
        </w:tc>
      </w:tr>
      <w:tr>
        <w:trPr>
          <w:cantSplit/>
        </w:trPr>
        <w:tc>
          <w:tcPr>
            <w:tcW w:type="dxa" w:w="2495"/>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2일</w:t>
            </w:r>
          </w:p>
        </w:tc>
        <w:tc>
          <w:tcPr>
            <w:tcW w:type="dxa" w:w="2495"/>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프로필·결과 카드</w:t>
            </w:r>
          </w:p>
        </w:tc>
        <w:tc>
          <w:tcPr>
            <w:tcW w:type="dxa" w:w="2495"/>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월세·청약·연금 계산</w:t>
            </w:r>
          </w:p>
        </w:tc>
        <w:tc>
          <w:tcPr>
            <w:tcW w:type="dxa" w:w="2495"/>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출처 검색·설명 템플릿</w:t>
            </w:r>
          </w:p>
        </w:tc>
      </w:tr>
      <w:tr>
        <w:trPr>
          <w:cantSplit/>
        </w:trPr>
        <w:tc>
          <w:tcPr>
            <w:tcW w:type="dxa" w:w="2495"/>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3일</w:t>
            </w:r>
          </w:p>
        </w:tc>
        <w:tc>
          <w:tcPr>
            <w:tcW w:type="dxa" w:w="2495"/>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상세·비교·계획 저장</w:t>
            </w:r>
          </w:p>
        </w:tc>
        <w:tc>
          <w:tcPr>
            <w:tcW w:type="dxa" w:w="2495"/>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카드 비교·SME·ISA 판정</w:t>
            </w:r>
          </w:p>
        </w:tc>
        <w:tc>
          <w:tcPr>
            <w:tcW w:type="dxa" w:w="2495"/>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도구 호출·대화 상태 연결</w:t>
            </w:r>
          </w:p>
        </w:tc>
      </w:tr>
      <w:tr>
        <w:trPr>
          <w:cantSplit/>
        </w:trPr>
        <w:tc>
          <w:tcPr>
            <w:tcW w:type="dxa" w:w="2495"/>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4일</w:t>
            </w:r>
          </w:p>
        </w:tc>
        <w:tc>
          <w:tcPr>
            <w:tcW w:type="dxa" w:w="2495"/>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전체 흐름 연동</w:t>
            </w:r>
          </w:p>
        </w:tc>
        <w:tc>
          <w:tcPr>
            <w:tcW w:type="dxa" w:w="2495"/>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한도·중복·기간 경계 검증</w:t>
            </w:r>
          </w:p>
        </w:tc>
        <w:tc>
          <w:tcPr>
            <w:tcW w:type="dxa" w:w="2495"/>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LLM 장애·오답 검증</w:t>
            </w:r>
          </w:p>
        </w:tc>
      </w:tr>
      <w:tr>
        <w:trPr>
          <w:cantSplit/>
        </w:trPr>
        <w:tc>
          <w:tcPr>
            <w:tcW w:type="dxa" w:w="2495"/>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5일</w:t>
            </w:r>
          </w:p>
        </w:tc>
        <w:tc>
          <w:tcPr>
            <w:tcW w:type="dxa" w:w="2495"/>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모바일 점검·시연 촬영</w:t>
            </w:r>
          </w:p>
        </w:tc>
        <w:tc>
          <w:tcPr>
            <w:tcW w:type="dxa" w:w="2495"/>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회귀 확인·계산 근거 검수</w:t>
            </w:r>
          </w:p>
        </w:tc>
        <w:tc>
          <w:tcPr>
            <w:tcW w:type="dxa" w:w="2495"/>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5장 제안서 압축·최종 점검</w:t>
            </w:r>
          </w:p>
        </w:tc>
      </w:tr>
    </w:tbl>
    <w:p>
      <w:pPr>
        <w:spacing w:after="0"/>
      </w:pPr>
    </w:p>
    <w:p>
      <w:r>
        <w:rPr>
          <w:rFonts w:ascii="Noto Sans KR" w:hAnsi="Noto Sans KR" w:eastAsia="Noto Sans KR" w:cs="Noto Sans KR"/>
          <w:b w:val="0"/>
        </w:rPr>
        <w:t>첨부 공고상 예선 마감은 2026년 10월 23일 18시다. 10월 18~22일 구현을 가정하면 23일은 제출 점검에 사용할 수 있다. 일정이 줄면 OCR·벡터DB·실API·실제 알림을 먼저 제외하고, 월세와 연금의 완결 시연을 유지한다.</w:t>
      </w:r>
    </w:p>
    <w:p>
      <w:pPr>
        <w:pStyle w:val="Heading2"/>
      </w:pPr>
      <w:r>
        <w:rPr>
          <w:rFonts w:ascii="Noto Sans KR" w:hAnsi="Noto Sans KR" w:eastAsia="Noto Sans KR" w:cs="Noto Sans KR"/>
        </w:rPr>
        <w:t>5장 이하 PDF에 담을 내용</w:t>
      </w:r>
    </w:p>
    <w:tbl>
      <w:tblPr>
        <w:tblW w:type="auto" w:w="0"/>
        <w:jc w:val="center"/>
        <w:tblLayout w:type="fixed"/>
        <w:tblLook w:firstColumn="1" w:firstRow="1" w:lastColumn="0" w:lastRow="0" w:noHBand="0" w:noVBand="1" w:val="04A0"/>
      </w:tblPr>
      <w:tblGrid>
        <w:gridCol w:w="1699"/>
        <w:gridCol w:w="3082"/>
        <w:gridCol w:w="5198"/>
      </w:tblGrid>
      <w:tr>
        <w:trPr>
          <w:cantSplit/>
          <w:tblHeader/>
        </w:trPr>
        <w:tc>
          <w:tcPr>
            <w:tcW w:type="dxa" w:w="1699"/>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장</w:t>
            </w:r>
          </w:p>
        </w:tc>
        <w:tc>
          <w:tcPr>
            <w:tcW w:type="dxa" w:w="3082"/>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내용</w:t>
            </w:r>
          </w:p>
        </w:tc>
        <w:tc>
          <w:tcPr>
            <w:tcW w:type="dxa" w:w="5198"/>
            <w:vAlign w:val="center"/>
            <w:shd w:fill="DCECF7"/>
            <w:tcMar>
              <w:top w:w="65" w:type="dxa"/>
              <w:left w:w="65" w:type="dxa"/>
              <w:bottom w:w="65" w:type="dxa"/>
              <w:right w:w="65" w:type="dxa"/>
            </w:tcMar>
          </w:tcPr>
          <w:p>
            <w:pPr>
              <w:spacing w:after="30" w:before="30" w:line="208" w:lineRule="exact"/>
            </w:pPr>
            <w:r>
              <w:rPr>
                <w:rFonts w:ascii="Noto Sans KR" w:hAnsi="Noto Sans KR" w:eastAsia="Noto Sans KR" w:cs="Noto Sans KR"/>
                <w:b/>
                <w:sz w:val="16"/>
              </w:rPr>
              <w:t>핵심 화면·증거</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1</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문제와 대상 고객</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제도 확인·증빙 수집 부담, 공식 자료의 자격 확인 안내</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2</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WON 세금비서의 고객 여정</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발견 → 질문 → 계산 → 준비 → 실행</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3</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MVP 작동 예시</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월세 122만 4,000원 ‘국세 공제 계산액’, 질문 전후 화면</w:t>
            </w:r>
          </w:p>
        </w:tc>
      </w:tr>
      <w:tr>
        <w:trPr>
          <w:cantSplit/>
        </w:trPr>
        <w:tc>
          <w:tcPr>
            <w:tcW w:type="dxa" w:w="1699"/>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4</w:t>
            </w:r>
          </w:p>
        </w:tc>
        <w:tc>
          <w:tcPr>
            <w:tcW w:type="dxa" w:w="3082"/>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구현 구조와 신뢰성</w:t>
            </w:r>
          </w:p>
        </w:tc>
        <w:tc>
          <w:tcPr>
            <w:tcW w:type="dxa" w:w="5198"/>
            <w:vAlign w:val="center"/>
            <w:shd w:fill="FFFFFF"/>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규칙 계산·근거 설명·중복 차단·데이터 연계 단계</w:t>
            </w:r>
          </w:p>
        </w:tc>
      </w:tr>
      <w:tr>
        <w:trPr>
          <w:cantSplit/>
        </w:trPr>
        <w:tc>
          <w:tcPr>
            <w:tcW w:type="dxa" w:w="1699"/>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5</w:t>
            </w:r>
          </w:p>
        </w:tc>
        <w:tc>
          <w:tcPr>
            <w:tcW w:type="dxa" w:w="3082"/>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우리은행 가치와 도입 계획</w:t>
            </w:r>
          </w:p>
        </w:tc>
        <w:tc>
          <w:tcPr>
            <w:tcW w:type="dxa" w:w="5198"/>
            <w:vAlign w:val="center"/>
            <w:shd w:fill="F4F7FA"/>
            <w:tcMar>
              <w:top w:w="65" w:type="dxa"/>
              <w:left w:w="65" w:type="dxa"/>
              <w:bottom w:w="65" w:type="dxa"/>
              <w:right w:w="65" w:type="dxa"/>
            </w:tcMar>
          </w:tcPr>
          <w:p>
            <w:pPr>
              <w:spacing w:after="30" w:before="30" w:line="208" w:lineRule="exact"/>
            </w:pPr>
            <w:r>
              <w:rPr>
                <w:rFonts w:ascii="Noto Sans KR" w:hAnsi="Noto Sans KR" w:eastAsia="Noto Sans KR" w:cs="Noto Sans KR"/>
                <w:b w:val="0"/>
                <w:sz w:val="16"/>
              </w:rPr>
              <w:t>고객 과제 완료, 증빙·상담·상품 연결 지표, 시연 링크</w:t>
            </w:r>
          </w:p>
        </w:tc>
      </w:tr>
    </w:tbl>
    <w:p>
      <w:pPr>
        <w:spacing w:after="0"/>
      </w:pPr>
    </w:p>
    <w:p>
      <w:r>
        <w:rPr>
          <w:rFonts w:ascii="Noto Sans KR" w:hAnsi="Noto Sans KR" w:eastAsia="Noto Sans KR" w:cs="Noto Sans KR"/>
          <w:b w:val="0"/>
        </w:rPr>
        <w:t>금액은 대표 사례 1~2개만 보여주고 ‘최대 혜택 합산 수백만원’ 같은 표현을 피한다. 외부기관 혜택도 알려주는 것이 고객 신뢰에 기여한다는 가설을 제시하고, 자행 상품 연결 성과와 함께 검증한다.</w:t>
      </w:r>
    </w:p>
    <w:p>
      <w:pPr>
        <w:pStyle w:val="Heading2"/>
      </w:pPr>
      <w:r>
        <w:rPr>
          <w:rFonts w:ascii="Noto Sans KR" w:hAnsi="Noto Sans KR" w:eastAsia="Noto Sans KR" w:cs="Noto Sans KR"/>
        </w:rPr>
        <w:t>도입 후 검증할 지표</w:t>
      </w:r>
    </w:p>
    <w:p>
      <w:r>
        <w:rPr>
          <w:rFonts w:ascii="Noto Sans KR" w:hAnsi="Noto Sans KR" w:eastAsia="Noto Sans KR" w:cs="Noto Sans KR"/>
          <w:b w:val="0"/>
        </w:rPr>
        <w:t>첫 진단 완료율, 고객이 몰랐다고 응답한 적격 후보 수, 서류 준비 완료율, 상담·증빙·상품 정보 이동률, 30일 내 과제 재방문율을 측정한다. 실제 환급 증가는 고객의 최종 정산 결과와 동의된 확인이 있을 때만 별도 측정한다. 목표 수치를 은행의 확인된 성과처럼 적지 않는다.</w:t>
      </w:r>
    </w:p>
    <w:p>
      <w:r>
        <w:rPr>
          <w:rFonts w:ascii="Noto Sans KR" w:hAnsi="Noto Sans KR" w:eastAsia="Noto Sans KR" w:cs="Noto Sans KR"/>
        </w:rPr>
        <w:br w:type="page"/>
      </w:r>
    </w:p>
    <w:p>
      <w:pPr>
        <w:pStyle w:val="Heading1"/>
      </w:pPr>
      <w:r>
        <w:rPr>
          <w:rFonts w:ascii="Noto Sans KR" w:hAnsi="Noto Sans KR" w:eastAsia="Noto Sans KR" w:cs="Noto Sans KR"/>
        </w:rPr>
        <w:t>14 개발 도구에 전달할 구현 지시문</w:t>
      </w:r>
    </w:p>
    <w:p>
      <w:r>
        <w:rPr>
          <w:rFonts w:ascii="Noto Sans KR" w:hAnsi="Noto Sans KR" w:eastAsia="Noto Sans KR" w:cs="Noto Sans KR"/>
          <w:b w:val="0"/>
        </w:rPr>
        <w:t>다음 지시문과 본 문서를 함께 제공하면 MVP 구현을 시작할 수 있다.</w:t>
      </w:r>
    </w:p>
    <w:p>
      <w:pPr>
        <w:ind w:left="173"/>
      </w:pPr>
      <w:r>
        <w:rPr>
          <w:rFonts w:ascii="Noto Sans KR" w:hAnsi="Noto Sans KR" w:eastAsia="Noto Sans KR" w:cs="Noto Sans KR"/>
          <w:b w:val="0"/>
        </w:rPr>
        <w:t>우리WON뱅킹 내 신규 기능을 제안하는 ‘WON 세금비서’ 체험 MVP를 구현해줘. React TypeScript 화면과 Python FastAPI 서버, SQLite 저장소를 사용해줘. 실제 은행·홈택스 로그인이나 자금 거래는 구현하지 말고, 가상 고객 3종의 샘플 데이터와 직접 입력으로 동작하게 해줘. 모든 화면에 제안 서비스 체험임을 표시해줘.</w:t>
      </w:r>
    </w:p>
    <w:p>
      <w:pPr>
        <w:ind w:left="173"/>
      </w:pPr>
      <w:r>
        <w:rPr>
          <w:rFonts w:ascii="Noto Sans KR" w:hAnsi="Noto Sans KR" w:eastAsia="Noto Sans KR" w:cs="Noto Sans KR"/>
          <w:b w:val="0"/>
        </w:rPr>
        <w:t>모바일 우선 라이트 모드로 시작, 조건 확인, 혜택 목록, 혜택 상세, 대화, 실행 계획 화면을 구성해줘. 월세·청약·연금계좌·카드·중소기업 감면·ISA를 지원하되, 이 명세의 계산 범위를 벗어나면 정보 확인 또는 전문 검토 상태로 전환해줘. 월세 이체 후보를 발견한 뒤 주소 조건을 질문하고 응답에 따라 결과가 바뀌는 흐름을 완성해줘.</w:t>
      </w:r>
    </w:p>
    <w:p>
      <w:pPr>
        <w:ind w:left="173"/>
      </w:pPr>
      <w:r>
        <w:rPr>
          <w:rFonts w:ascii="Noto Sans KR" w:hAnsi="Noto Sans KR" w:eastAsia="Noto Sans KR" w:cs="Noto Sans KR"/>
          <w:b w:val="0"/>
        </w:rPr>
        <w:t>자격과 금액은 서버의 버전 관리되는 규칙으로 계산하고, LLM은 그 결과를 설명하고 필요한 질문을 선택하게 해줘. 금액·세율·출처 ID를 LLM이 자유롭게 만들지 못하도록 결과 스키마를 검증해줘. API 키가 없거나 모델 호출이 실패해도 규칙 진단·계산·근거·할 일 저장은 동작하고, 대화는 설명 템플릿으로 대체해줘.</w:t>
      </w:r>
    </w:p>
    <w:p>
      <w:pPr>
        <w:ind w:left="173"/>
      </w:pPr>
      <w:r>
        <w:rPr>
          <w:rFonts w:ascii="Noto Sans KR" w:hAnsi="Noto Sans KR" w:eastAsia="Noto Sans KR" w:cs="Noto Sans KR"/>
          <w:b w:val="0"/>
        </w:rPr>
        <w:t>소득공제액, 국세 세액공제 계산액, 비과세 한도, 정부지원금을 분리해줘. 확정 환급액 합계를 표시하지 말아줘. 타행 납입이 미확인이면 연금 잔여 한도를 확정하지 말고, 같은 월세를 세액공제와 카드 공제에 중복 적용하지 말아줘. 청년도약계좌 신규 판매종료와 청년미래적금 모집 마감일을 날짜 기반으로 처리해줘.</w:t>
      </w:r>
    </w:p>
    <w:p>
      <w:pPr>
        <w:ind w:left="173"/>
      </w:pPr>
      <w:r>
        <w:rPr>
          <w:rFonts w:ascii="Noto Sans KR" w:hAnsi="Noto Sans KR" w:eastAsia="Noto Sans KR" w:cs="Noto Sans KR"/>
          <w:b w:val="0"/>
        </w:rPr>
        <w:t>월세 샘플의 국세 계산액 1,224,000원, 청약 소득공제액 960,000원, 적격 연금 추가납입 2,000,000원 비교 시 국세 계산액 차이 300,000원이 재현되어야 해. T01~T12 검증 사례와 실행 README, 환경변수 예시, 규칙 데이터, 출처 목록을 포함해줘. 실행 과제는 새로고침 후 유지되며 직접 초기화할 수 있어야 해.</w:t>
      </w:r>
    </w:p>
    <w:p>
      <w:pPr>
        <w:pStyle w:val="Heading2"/>
      </w:pPr>
      <w:r>
        <w:rPr>
          <w:rFonts w:ascii="Noto Sans KR" w:hAnsi="Noto Sans KR" w:eastAsia="Noto Sans KR" w:cs="Noto Sans KR"/>
        </w:rPr>
        <w:t>구현 전 확인할 조건</w:t>
      </w:r>
    </w:p>
    <w:p>
      <w:r>
        <w:rPr>
          <w:rFonts w:ascii="Noto Sans KR" w:hAnsi="Noto Sans KR" w:eastAsia="Noto Sans KR" w:cs="Noto Sans KR"/>
          <w:b w:val="0"/>
        </w:rPr>
        <w:t>금융기관의 실API 접근권한, 계좌·상품별 실제 제공 채널과 내부 이동 경로, 세무 전문가의 규칙 검수는 실서비스 전환 과제다. 아이디어 단계에서는 이를 확보했다고 쓰지 않는다. 제출 파일에는 실제 구현한 화면과 기능만 완료로 표시한다.</w:t>
      </w:r>
    </w:p>
    <w:p>
      <w:r>
        <w:rPr>
          <w:rFonts w:ascii="Noto Sans KR" w:hAnsi="Noto Sans KR" w:eastAsia="Noto Sans KR" w:cs="Noto Sans KR"/>
          <w:b w:val="0"/>
        </w:rPr>
        <w:t>자료가 개정되면 해당 귀속연도·유효기간·기존 고객 적용 여부를 확인하고 규칙 버전을 올린다. 오래된 국세청 안내와 최신 법령이 다르면 최신 적용례·부칙을 우선 검토한다. 미확정 개정안은 정보 카드에만 표시하고 계산에는 반영하지 않는다.</w:t>
      </w:r>
    </w:p>
    <w:p>
      <w:r>
        <w:rPr>
          <w:rFonts w:ascii="Noto Sans KR" w:hAnsi="Noto Sans KR" w:eastAsia="Noto Sans KR" w:cs="Noto Sans KR"/>
        </w:rPr>
        <w:br w:type="page"/>
      </w:r>
    </w:p>
    <w:p>
      <w:pPr>
        <w:pStyle w:val="Heading1"/>
      </w:pPr>
      <w:r>
        <w:rPr>
          <w:rFonts w:ascii="Noto Sans KR" w:hAnsi="Noto Sans KR" w:eastAsia="Noto Sans KR" w:cs="Noto Sans KR"/>
        </w:rPr>
        <w:t>15 공식 근거 목록 1</w:t>
      </w:r>
    </w:p>
    <w:p>
      <w:r>
        <w:rPr>
          <w:rFonts w:ascii="Noto Sans KR" w:hAnsi="Noto Sans KR" w:eastAsia="Noto Sans KR" w:cs="Noto Sans KR"/>
          <w:b w:val="0"/>
        </w:rPr>
        <w:t>모든 웹 자료 확인일은 2026년 10월 17일이다. 은행의 동적 페이지는 상품명으로 다시 검색할 수 있다. 법령은 귀속연도·시행일·부칙을 함께 확인한다. 대회 형식과 일정은 사용자가 첨부한 공고 이미지를 기준으로 했다.</w:t>
      </w:r>
    </w:p>
    <w:p>
      <w:pPr>
        <w:pStyle w:val="ListBullet"/>
      </w:pPr>
      <w:hyperlink r:id="rId9">
        <w:r>
          <w:rPr>
            <w:color w:val="0067AC"/>
          </w:rPr>
          <w:t>S01 국세청 연말정산 간소화 자료와 공제 요건 확인 안내</w:t>
        </w:r>
      </w:hyperlink>
    </w:p>
    <w:p>
      <w:pPr>
        <w:pStyle w:val="ListBullet"/>
      </w:pPr>
      <w:hyperlink r:id="rId10">
        <w:r>
          <w:rPr>
            <w:color w:val="0067AC"/>
          </w:rPr>
          <w:t>S02 국세청 근로장려금과 자녀장려금 신청자격</w:t>
        </w:r>
      </w:hyperlink>
    </w:p>
    <w:p>
      <w:pPr>
        <w:pStyle w:val="ListBullet"/>
      </w:pPr>
      <w:hyperlink r:id="rId11">
        <w:r>
          <w:rPr>
            <w:color w:val="0067AC"/>
          </w:rPr>
          <w:t>S03 조세특례제한법 제87조 주택청약 소득공제</w:t>
        </w:r>
      </w:hyperlink>
    </w:p>
    <w:p>
      <w:pPr>
        <w:pStyle w:val="ListBullet"/>
      </w:pPr>
      <w:hyperlink r:id="rId12">
        <w:r>
          <w:rPr>
            <w:color w:val="0067AC"/>
          </w:rPr>
          <w:t>S04 우리은행 주택청약종합저축과 청년 주택드림 가입 안내</w:t>
        </w:r>
      </w:hyperlink>
    </w:p>
    <w:p>
      <w:pPr>
        <w:pStyle w:val="ListBullet"/>
      </w:pPr>
      <w:hyperlink r:id="rId13">
        <w:r>
          <w:rPr>
            <w:color w:val="0067AC"/>
          </w:rPr>
          <w:t>S05 우리은행 청년 주택드림 청약통장 상품 안내</w:t>
        </w:r>
      </w:hyperlink>
    </w:p>
    <w:p>
      <w:pPr>
        <w:pStyle w:val="ListBullet"/>
      </w:pPr>
      <w:hyperlink r:id="rId14">
        <w:r>
          <w:rPr>
            <w:color w:val="0067AC"/>
          </w:rPr>
          <w:t>S06 조세특례제한법 제87조 청년우대형 이자 비과세</w:t>
        </w:r>
      </w:hyperlink>
    </w:p>
    <w:p>
      <w:pPr>
        <w:pStyle w:val="ListBullet"/>
      </w:pPr>
      <w:hyperlink r:id="rId15">
        <w:r>
          <w:rPr>
            <w:color w:val="0067AC"/>
          </w:rPr>
          <w:t>S07 복지로 2026년 청년내일저축계좌 신규 모집</w:t>
        </w:r>
      </w:hyperlink>
    </w:p>
    <w:p>
      <w:pPr>
        <w:pStyle w:val="ListBullet"/>
      </w:pPr>
      <w:hyperlink r:id="rId16">
        <w:r>
          <w:rPr>
            <w:color w:val="0067AC"/>
          </w:rPr>
          <w:t>S08 국세청 신용카드 등 사용금액 소득공제 산식</w:t>
        </w:r>
      </w:hyperlink>
    </w:p>
    <w:p>
      <w:pPr>
        <w:pStyle w:val="ListBullet"/>
      </w:pPr>
      <w:hyperlink r:id="rId17">
        <w:r>
          <w:rPr>
            <w:color w:val="0067AC"/>
          </w:rPr>
          <w:t>S09 우리카드 카드 발급과 신용 및 체크카드 안내</w:t>
        </w:r>
      </w:hyperlink>
    </w:p>
    <w:p>
      <w:pPr>
        <w:pStyle w:val="ListBullet"/>
      </w:pPr>
      <w:hyperlink r:id="rId18">
        <w:r>
          <w:rPr>
            <w:color w:val="0067AC"/>
          </w:rPr>
          <w:t>S10 우리은행 신탁형 ISA 상품 안내</w:t>
        </w:r>
      </w:hyperlink>
    </w:p>
    <w:p>
      <w:pPr>
        <w:pStyle w:val="ListBullet"/>
      </w:pPr>
      <w:hyperlink r:id="rId19">
        <w:r>
          <w:rPr>
            <w:color w:val="0067AC"/>
          </w:rPr>
          <w:t>S11 조세특례제한법 제91조의18 ISA 비과세 한도</w:t>
        </w:r>
      </w:hyperlink>
    </w:p>
    <w:p>
      <w:pPr>
        <w:pStyle w:val="ListBullet"/>
      </w:pPr>
      <w:hyperlink r:id="rId20">
        <w:r>
          <w:rPr>
            <w:color w:val="0067AC"/>
          </w:rPr>
          <w:t>S12 우리은행 연금저축과 IRP 비교</w:t>
        </w:r>
      </w:hyperlink>
    </w:p>
    <w:p>
      <w:pPr>
        <w:pStyle w:val="ListBullet"/>
      </w:pPr>
      <w:hyperlink r:id="rId21">
        <w:r>
          <w:rPr>
            <w:color w:val="0067AC"/>
          </w:rPr>
          <w:t>S13 우리은행 판매종료 우리 청년도약계좌</w:t>
        </w:r>
      </w:hyperlink>
    </w:p>
    <w:p>
      <w:pPr>
        <w:pStyle w:val="ListBullet"/>
      </w:pPr>
      <w:hyperlink r:id="rId22">
        <w:r>
          <w:rPr>
            <w:color w:val="0067AC"/>
          </w:rPr>
          <w:t>S14 조세특례제한법 제95조의2 월세액 세액공제</w:t>
        </w:r>
      </w:hyperlink>
    </w:p>
    <w:p>
      <w:pPr>
        <w:pStyle w:val="ListBullet"/>
      </w:pPr>
      <w:hyperlink r:id="rId23">
        <w:r>
          <w:rPr>
            <w:color w:val="0067AC"/>
          </w:rPr>
          <w:t>S15 조세특례제한법 시행령 제95조 월세 세액공제</w:t>
        </w:r>
      </w:hyperlink>
    </w:p>
    <w:p>
      <w:r>
        <w:rPr>
          <w:rFonts w:ascii="Noto Sans KR" w:hAnsi="Noto Sans KR" w:eastAsia="Noto Sans KR" w:cs="Noto Sans KR"/>
        </w:rPr>
        <w:br w:type="page"/>
      </w:r>
    </w:p>
    <w:p>
      <w:pPr>
        <w:pStyle w:val="Heading1"/>
      </w:pPr>
      <w:r>
        <w:rPr>
          <w:rFonts w:ascii="Noto Sans KR" w:hAnsi="Noto Sans KR" w:eastAsia="Noto Sans KR" w:cs="Noto Sans KR"/>
        </w:rPr>
        <w:t>16 공식 근거 목록 2</w:t>
      </w:r>
    </w:p>
    <w:p>
      <w:pPr>
        <w:pStyle w:val="ListBullet"/>
      </w:pPr>
      <w:hyperlink r:id="rId24">
        <w:r>
          <w:rPr>
            <w:color w:val="0067AC"/>
          </w:rPr>
          <w:t>S16 우리은행 우리 청년미래적금 상품 안내</w:t>
        </w:r>
      </w:hyperlink>
    </w:p>
    <w:p>
      <w:pPr>
        <w:pStyle w:val="ListBullet"/>
      </w:pPr>
      <w:hyperlink r:id="rId25">
        <w:r>
          <w:rPr>
            <w:color w:val="0067AC"/>
          </w:rPr>
          <w:t>S17 금융위원회 청년미래적금 2차 가입 절차와 일정</w:t>
        </w:r>
      </w:hyperlink>
    </w:p>
    <w:p>
      <w:pPr>
        <w:pStyle w:val="ListBullet"/>
      </w:pPr>
      <w:hyperlink r:id="rId26">
        <w:r>
          <w:rPr>
            <w:color w:val="0067AC"/>
          </w:rPr>
          <w:t>S18 국세청 연금계좌 및 혼인세액공제 안내</w:t>
        </w:r>
      </w:hyperlink>
    </w:p>
    <w:p>
      <w:pPr>
        <w:pStyle w:val="ListBullet"/>
      </w:pPr>
      <w:hyperlink r:id="rId27">
        <w:r>
          <w:rPr>
            <w:color w:val="0067AC"/>
          </w:rPr>
          <w:t>S19 국세청 주택임차차입금 원리금 상환액 소득공제</w:t>
        </w:r>
      </w:hyperlink>
    </w:p>
    <w:p>
      <w:pPr>
        <w:pStyle w:val="ListBullet"/>
      </w:pPr>
      <w:hyperlink r:id="rId28">
        <w:r>
          <w:rPr>
            <w:color w:val="0067AC"/>
          </w:rPr>
          <w:t>S20 국세청 장기주택저당차입금 이자상환액 소득공제</w:t>
        </w:r>
      </w:hyperlink>
    </w:p>
    <w:p>
      <w:pPr>
        <w:pStyle w:val="ListBullet"/>
      </w:pPr>
      <w:hyperlink r:id="rId29">
        <w:r>
          <w:rPr>
            <w:color w:val="0067AC"/>
          </w:rPr>
          <w:t>S21 국세청 중소기업 취업자 소득세 감면 요건</w:t>
        </w:r>
      </w:hyperlink>
    </w:p>
    <w:p>
      <w:pPr>
        <w:pStyle w:val="ListBullet"/>
      </w:pPr>
      <w:hyperlink r:id="rId30">
        <w:r>
          <w:rPr>
            <w:color w:val="0067AC"/>
          </w:rPr>
          <w:t>S22 조세특례제한법 제30조 중소기업 취업자 소득세 감면</w:t>
        </w:r>
      </w:hyperlink>
    </w:p>
    <w:p>
      <w:pPr>
        <w:pStyle w:val="ListBullet"/>
      </w:pPr>
      <w:hyperlink r:id="rId31">
        <w:r>
          <w:rPr>
            <w:color w:val="0067AC"/>
          </w:rPr>
          <w:t>S23 국세청 보험료 의료비 교육비 기부금 특별세액공제</w:t>
        </w:r>
      </w:hyperlink>
    </w:p>
    <w:p>
      <w:pPr>
        <w:pStyle w:val="ListBullet"/>
      </w:pPr>
      <w:hyperlink r:id="rId32">
        <w:r>
          <w:rPr>
            <w:color w:val="0067AC"/>
          </w:rPr>
          <w:t>S24 한국장학재단 학자금대출 원리금상환 세액공제</w:t>
        </w:r>
      </w:hyperlink>
    </w:p>
    <w:p>
      <w:pPr>
        <w:pStyle w:val="ListBullet"/>
      </w:pPr>
      <w:hyperlink r:id="rId33">
        <w:r>
          <w:rPr>
            <w:color w:val="0067AC"/>
          </w:rPr>
          <w:t>S25 소득세법 시행령 제118조의5 의료비 범위</w:t>
        </w:r>
      </w:hyperlink>
    </w:p>
    <w:p>
      <w:pPr>
        <w:pStyle w:val="ListBullet"/>
      </w:pPr>
      <w:hyperlink r:id="rId34">
        <w:r>
          <w:rPr>
            <w:color w:val="0067AC"/>
          </w:rPr>
          <w:t>S26 국세청 자주 하는 연말정산 실수와 인적공제</w:t>
        </w:r>
      </w:hyperlink>
    </w:p>
    <w:p>
      <w:pPr>
        <w:pStyle w:val="ListBullet"/>
      </w:pPr>
      <w:hyperlink r:id="rId35">
        <w:r>
          <w:rPr>
            <w:color w:val="0067AC"/>
          </w:rPr>
          <w:t>S27 법제처 자녀세액공제와 2026년 연령 적용례</w:t>
        </w:r>
      </w:hyperlink>
    </w:p>
    <w:p>
      <w:pPr>
        <w:pStyle w:val="ListBullet"/>
      </w:pPr>
      <w:hyperlink r:id="rId36">
        <w:r>
          <w:rPr>
            <w:color w:val="0067AC"/>
          </w:rPr>
          <w:t>S28 조세특례제한법 제58조 고향사랑기부금 세액공제</w:t>
        </w:r>
      </w:hyperlink>
    </w:p>
    <w:p>
      <w:pPr>
        <w:pStyle w:val="ListBullet"/>
      </w:pPr>
      <w:hyperlink r:id="rId37">
        <w:r>
          <w:rPr>
            <w:color w:val="0067AC"/>
          </w:rPr>
          <w:t>S29 조세특례제한법 제126조의2 카드 소득공제 기본 한도</w:t>
        </w:r>
      </w:hyperlink>
    </w:p>
    <w:p>
      <w:pPr>
        <w:pStyle w:val="ListBullet"/>
      </w:pPr>
      <w:hyperlink r:id="rId38">
        <w:r>
          <w:rPr>
            <w:color w:val="0067AC"/>
          </w:rPr>
          <w:t>S30 조세특례제한법 시행규칙 카드 공제 제외 월세액 서식</w:t>
        </w:r>
      </w:hyperlink>
    </w:p>
    <w:p>
      <w:pPr>
        <w:pStyle w:val="ListBullet"/>
      </w:pPr>
      <w:hyperlink r:id="rId39">
        <w:r>
          <w:rPr>
            <w:color w:val="0067AC"/>
          </w:rPr>
          <w:t>S31 국세청 연말정산 근로자의 경정청구 기산일 질의회신</w:t>
        </w:r>
      </w:hyperlink>
    </w:p>
    <w:p>
      <w:pPr>
        <w:pStyle w:val="Heading2"/>
      </w:pPr>
      <w:r>
        <w:rPr>
          <w:rFonts w:ascii="Noto Sans KR" w:hAnsi="Noto Sans KR" w:eastAsia="Noto Sans KR" w:cs="Noto Sans KR"/>
        </w:rPr>
        <w:t>추가 확장 후보</w:t>
      </w:r>
    </w:p>
    <w:p>
      <w:r>
        <w:rPr>
          <w:rFonts w:ascii="Noto Sans KR" w:hAnsi="Noto Sans KR" w:eastAsia="Noto Sans KR" w:cs="Noto Sans KR"/>
          <w:b w:val="0"/>
        </w:rPr>
        <w:t>국민연금 보험료와 건강보험·고용보험료 등 법정 본인부담금의 소득공제도 누락 점검 대상으로 확장할 수 있다. 이미 급여·간소화 자료에 반영된 항목인지 먼저 확인한다.[S01]</w:t>
      </w:r>
    </w:p>
    <w:p>
      <w:r>
        <w:rPr>
          <w:rFonts w:ascii="Noto Sans KR" w:hAnsi="Noto Sans KR" w:eastAsia="Noto Sans KR" w:cs="Noto Sans KR"/>
          <w:b w:val="0"/>
        </w:rPr>
        <w:t>과거 누락 공제를 바로잡는 경정청구는 일반적인 절세 상품과 별개의 절차다. 연말정산 근로소득만 있는 경우의 경정청구 가능기간 등은 개별 사안의 기산일을 확인해야 한다. P0의 자동 처리 범위에서는 제외한다.[S31]</w:t>
      </w:r>
    </w:p>
    <w:p>
      <w:r>
        <w:rPr>
          <w:rFonts w:ascii="Noto Sans KR" w:hAnsi="Noto Sans KR" w:eastAsia="Noto Sans KR" w:cs="Noto Sans KR"/>
          <w:b w:val="0"/>
        </w:rPr>
        <w:t>개인사업자용 노란우산공제, 투자형 공제, 양도·상속·증여세 설계 등은 초기 고객과 다른 규칙이 필요하므로 별도 조사 후 확장한다. 청년·직장인용 카탈로그에 이름만 넣고 자동 적격 처리하지 않는다.</w:t>
      </w:r>
    </w:p>
    <w:sectPr w:rsidR="00FC693F" w:rsidRPr="0006063C" w:rsidSect="00034616">
      <w:footerReference w:type="default" r:id="rId40"/>
      <w:pgSz w:w="11909" w:h="16834"/>
      <w:pgMar w:top="893" w:right="965" w:bottom="864" w:left="96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096"/>
        <w:sz w:val="16"/>
      </w:rPr>
      <w:t xml:space="preserve">WON 세금비서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exact" w:after="80"/>
    </w:pPr>
    <w:rPr>
      <w:rFonts w:ascii="Noto Sans KR" w:hAnsi="Noto Sans KR" w:eastAsia="Noto Sans KR"/>
      <w:color w:val="1728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440" w:lineRule="exact"/>
      <w:outlineLvl w:val="0"/>
    </w:pPr>
    <w:rPr>
      <w:rFonts w:asciiTheme="majorHAnsi" w:eastAsiaTheme="majorEastAsia" w:hAnsiTheme="majorHAnsi" w:cstheme="majorBidi" w:ascii="Noto Sans KR" w:hAnsi="Noto Sans KR" w:eastAsia="Noto Sans KR"/>
      <w:b/>
      <w:bCs/>
      <w:color w:val="17283C"/>
      <w:sz w:val="34"/>
      <w:szCs w:val="28"/>
    </w:rPr>
  </w:style>
  <w:style w:type="paragraph" w:styleId="Heading2">
    <w:name w:val="heading 2"/>
    <w:basedOn w:val="Normal"/>
    <w:next w:val="Normal"/>
    <w:link w:val="Heading2Char"/>
    <w:uiPriority w:val="9"/>
    <w:unhideWhenUsed/>
    <w:qFormat/>
    <w:rsid w:val="00FC693F"/>
    <w:pPr>
      <w:keepNext/>
      <w:keepLines/>
      <w:spacing w:before="140" w:after="80" w:line="300" w:lineRule="exact"/>
      <w:outlineLvl w:val="1"/>
    </w:pPr>
    <w:rPr>
      <w:rFonts w:asciiTheme="majorHAnsi" w:eastAsiaTheme="majorEastAsia" w:hAnsiTheme="majorHAnsi" w:cstheme="majorBidi" w:ascii="Noto Sans KR" w:hAnsi="Noto Sans KR" w:eastAsia="Noto Sans KR"/>
      <w:b/>
      <w:bCs/>
      <w:color w:val="17283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KR" w:hAnsi="Noto Sans KR" w:eastAsia="Noto Sans KR"/>
      <w:b/>
      <w:bCs/>
      <w:color w:val="1728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540" w:lineRule="exact"/>
      <w:contextualSpacing/>
    </w:pPr>
    <w:rPr>
      <w:rFonts w:asciiTheme="majorHAnsi" w:eastAsiaTheme="majorEastAsia" w:hAnsiTheme="majorHAnsi" w:cstheme="majorBidi" w:ascii="Noto Sans KR" w:hAnsi="Noto Sans KR" w:eastAsia="Noto Sans KR"/>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KR" w:hAnsi="Noto Sans KR" w:eastAsia="Noto Sans KR"/>
      <w:color w:val="17283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KR" w:hAnsi="Noto Sans KR" w:eastAsia="Noto Sans KR"/>
      <w:color w:val="17283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nts.go.kr/jinju/na/ntt/selectNttInfo.do?bbsId=1028&amp;mi=2201&amp;nttSn=1347979" TargetMode="External"/><Relationship Id="rId10" Type="http://schemas.openxmlformats.org/officeDocument/2006/relationships/hyperlink" Target="https://www.nts.go.kr/nts/cm/cntnts/cntntsView.do?cntntsId=7783&amp;mi=2446" TargetMode="External"/><Relationship Id="rId11" Type="http://schemas.openxmlformats.org/officeDocument/2006/relationships/hyperlink" Target="https://www.law.go.kr/LSW/lsLinkCommonInfo.do?lsJoLnkSeq=1031132127" TargetMode="External"/><Relationship Id="rId12" Type="http://schemas.openxmlformats.org/officeDocument/2006/relationships/hyperlink" Target="https://m.wooribank.com/mw/mws?withyou=MWPRD0143" TargetMode="External"/><Relationship Id="rId13" Type="http://schemas.openxmlformats.org/officeDocument/2006/relationships/hyperlink" Target="https://spib.wooribank.com/pib/Dream?PLM_PDCD=P010002293&amp;PRD_CD=P010002293&amp;cc=c007095%3Ac009166%3Bc012263%3Ac012399&amp;depKind=A05&amp;withyou=PSDEP0013" TargetMode="External"/><Relationship Id="rId14" Type="http://schemas.openxmlformats.org/officeDocument/2006/relationships/hyperlink" Target="https://www.law.go.kr/lsLinkCommonInfo.do?chrClsCd=010202&amp;lsJoLnkSeq=1027428613" TargetMode="External"/><Relationship Id="rId15" Type="http://schemas.openxmlformats.org/officeDocument/2006/relationships/hyperlink" Target="https://blog.bokjiro.go.kr/m/1829" TargetMode="External"/><Relationship Id="rId16" Type="http://schemas.openxmlformats.org/officeDocument/2006/relationships/hyperlink" Target="https://www.nts.go.kr/nts/cm/cntnts/cntntsView.do?cntntsId=7794&amp;mi=6456" TargetMode="External"/><Relationship Id="rId17" Type="http://schemas.openxmlformats.org/officeDocument/2006/relationships/hyperlink" Target="https://m.wooricard.com/dcmw/yh1/crd/crd50/M1CRD150S04.do" TargetMode="External"/><Relationship Id="rId18" Type="http://schemas.openxmlformats.org/officeDocument/2006/relationships/hyperlink" Target="https://spot.wooribank.com/pot/Dream?withyou=IMISA0044" TargetMode="External"/><Relationship Id="rId19" Type="http://schemas.openxmlformats.org/officeDocument/2006/relationships/hyperlink" Target="https://law.go.kr/LSW/lsLinkCommonInfo.do?lsJoLnkSeq=1018255825" TargetMode="External"/><Relationship Id="rId20" Type="http://schemas.openxmlformats.org/officeDocument/2006/relationships/hyperlink" Target="https://spib.wooribank.com/pib/Dream?withyou=PSFND0178" TargetMode="External"/><Relationship Id="rId21" Type="http://schemas.openxmlformats.org/officeDocument/2006/relationships/hyperlink" Target="https://spot.wooribank.com/pot/jcc?PLM_PDCD=P010002512&amp;PRD_CD=P010002512&amp;PRD_YN=Y&amp;__ID=c010358&amp;pPRD_DSCD=01&amp;withyou=PODEP0019" TargetMode="External"/><Relationship Id="rId22" Type="http://schemas.openxmlformats.org/officeDocument/2006/relationships/hyperlink" Target="https://www.law.go.kr/LSW/lsSideInfoP.do?docCls=jo&amp;joBrNo=02&amp;joNo=0095&amp;lsiSeq=284389&amp;urlMode=lsScJoRltInfoR" TargetMode="External"/><Relationship Id="rId23" Type="http://schemas.openxmlformats.org/officeDocument/2006/relationships/hyperlink" Target="https://www.law.go.kr/lsLinkCommonInfo.do?chrClsCd=010202&amp;lspttninfSeq=197589" TargetMode="External"/><Relationship Id="rId24" Type="http://schemas.openxmlformats.org/officeDocument/2006/relationships/hyperlink" Target="https://spib.wooribank.com/pib/jcc?PLM_PDCD=P010002592&amp;PRD_CD=P010002592&amp;PRD_YN=Y&amp;__ID=c010358&amp;pPRD_DSCD=01&amp;withyou=PSDEP0010" TargetMode="External"/><Relationship Id="rId25" Type="http://schemas.openxmlformats.org/officeDocument/2006/relationships/hyperlink" Target="https://fsc.go.kr/po010104/87820" TargetMode="External"/><Relationship Id="rId26" Type="http://schemas.openxmlformats.org/officeDocument/2006/relationships/hyperlink" Target="https://d.nts.go.kr/nts/cm/cntnts/cntntsView.do?cntntsId=7875&amp;mi=6439" TargetMode="External"/><Relationship Id="rId27" Type="http://schemas.openxmlformats.org/officeDocument/2006/relationships/hyperlink" Target="https://www.nts.go.kr/nts/cm/cntnts/cntntsView.do?cntntsId=239021" TargetMode="External"/><Relationship Id="rId28" Type="http://schemas.openxmlformats.org/officeDocument/2006/relationships/hyperlink" Target="https://www.nts.go.kr/nts/cm/cntnts/cntntsView.do?cntntsId=239020&amp;mi=40608" TargetMode="External"/><Relationship Id="rId29" Type="http://schemas.openxmlformats.org/officeDocument/2006/relationships/hyperlink" Target="https://www.nts.go.kr/nts/cm/cntnts/cntntsView.do?cntntsId=239023" TargetMode="External"/><Relationship Id="rId30" Type="http://schemas.openxmlformats.org/officeDocument/2006/relationships/hyperlink" Target="https://www.law.go.kr/lsLinkCommonInfo.do?chrClsCd=010202&amp;lsJoLnkSeq=1026394381" TargetMode="External"/><Relationship Id="rId31" Type="http://schemas.openxmlformats.org/officeDocument/2006/relationships/hyperlink" Target="https://b.nts.go.kr/nts/cm/cntnts/cntntsView.do?cntntsId=7874&amp;mi=6595" TargetMode="External"/><Relationship Id="rId32" Type="http://schemas.openxmlformats.org/officeDocument/2006/relationships/hyperlink" Target="https://www.kosaf.go.kr/ko/notice.do?mode=view&amp;page=2&amp;seqNo=20536" TargetMode="External"/><Relationship Id="rId33" Type="http://schemas.openxmlformats.org/officeDocument/2006/relationships/hyperlink" Target="https://law.go.kr/lsLawLinkInfo.do?chrClsCd=010202&amp;lsJoLnkSeq=1001059439" TargetMode="External"/><Relationship Id="rId34" Type="http://schemas.openxmlformats.org/officeDocument/2006/relationships/hyperlink" Target="https://j.nts.go.kr/nts/na/ntt/selectNttInfo.do?mi=2201&amp;nttSn=1348212" TargetMode="External"/><Relationship Id="rId35" Type="http://schemas.openxmlformats.org/officeDocument/2006/relationships/hyperlink" Target="https://easylaw.go.kr/CSP/CnpClsMain.laf?ccfNo=6&amp;cciNo=2&amp;cnpClsNo=1&amp;csmSeq=1126&amp;popMenu=ov" TargetMode="External"/><Relationship Id="rId36" Type="http://schemas.openxmlformats.org/officeDocument/2006/relationships/hyperlink" Target="https://law.go.kr/LSW/lsLinkProc.do?joNo=005800&amp;lsNm=%EC%A1%B0%EC%84%B8%ED%8A%B9%EB%A1%80%EC%A0%9C%ED%95%9C%EB%B2%95&amp;mode=11" TargetMode="External"/><Relationship Id="rId37" Type="http://schemas.openxmlformats.org/officeDocument/2006/relationships/hyperlink" Target="https://www.law.go.kr/lsLinkCommonInfo.do?chrClsCd=010202&amp;lsJoLnkSeq=1032251007" TargetMode="External"/><Relationship Id="rId38" Type="http://schemas.openxmlformats.org/officeDocument/2006/relationships/hyperlink" Target="https://www.law.go.kr/LSW/flDownload.do?bylClsCd=110202&amp;flSeq=138213663&amp;gubun=" TargetMode="External"/><Relationship Id="rId39" Type="http://schemas.openxmlformats.org/officeDocument/2006/relationships/hyperlink" Target="https://taxlaw.nts.go.kr/qt/USEQTA002P.do?ntstDcmId=200000000000006380" TargetMode="External"/><Relationship Id="rId4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우리WON뱅킹 절세 에이전트 조사 및 MVP 개발 명세서</dc:title>
  <dc:subject>우리은행 상품 취급 여부와 절세 서비스 MVP 설계</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