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Guía de publicación y uso transitorio de formatos contractuales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documento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Objeto de la guía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Establecer el contenido mínimo, las reglas de uso, publicación, actualización, aprobación y control de los formatos o modelos de contrato, documentos precontractuales, pliegos, actas, informes de supervisión y documentos de cierre que integran este paquete para el cumplimiento del numeral 3.5 del menú de Transparencia y Acceso a la Información Pública.</w:t>
      </w:r>
    </w:p>
    <w:p>
      <w:pPr>
        <w:pStyle w:val="Heading1"/>
        <w:keepNext/>
      </w:pPr>
      <w:r>
        <w:t>2. Estado institucional de los documentos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Los formatos incluidos se publican como modelos transitorios y editables. No constituyen actos administrativos, pliegos definitivos, contratos celebrados ni conceptos jurídicos particulares. Su propósito es facilitar transparencia, estandarización y preparación institucional mientras se completa la revisión técnica, jurídica y archivística.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TRD de referencia: instrumento institucional fechado el 14 de julio de 2013. Los códigos 230-15-01 a 230-15-07, 230-37-01 y 230-52 se usan únicamente como referencia histórica y deben revisarse en la actualización de las TRD.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Códigos JC-FT y JC-GU: provisionales. Solo adquieren carácter oficial cuando sean aprobados por la instancia competente y registrados en el sistema de gestión.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Estado inicial de todos los archivos: En proceso de revisión y aprobación.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Proyecto tecnológico asociado: Aplicativo Institucional de Calidad y Gestión Documental Automática, actualmente en diseño.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Las versiones oficiales de Documentos Tipo de Colombia Compra Eficiente siempre prevalecen cuando sean obligatorias.</w:t>
      </w:r>
    </w:p>
    <w:p>
      <w:pPr>
        <w:pStyle w:val="Heading1"/>
        <w:keepNext/>
      </w:pPr>
      <w:r>
        <w:t>3. Fundamento de publicación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La Resolución MinTIC 1519 de 2020 exige, dentro de la sección de contratación, publicar los formatos o modelos de contrato y pliegos tipo cuando aplique. La publicación debe complementarse con los vínculos a SECOP, el Manual de Contratación y los Documentos Tipo vigentes.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Norma / fuente</w:t>
            </w:r>
          </w:p>
        </w:tc>
        <w:tc>
          <w:tcPr>
            <w:tcW w:type="dxa" w:w="50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Aplicación en el paquete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Consulta oficial</w:t>
            </w:r>
          </w:p>
        </w:tc>
      </w:tr>
      <w:tr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Resolución MinTIC 1519 de 2020</w:t>
            </w:r>
          </w:p>
        </w:tc>
        <w:tc>
          <w:tcPr>
            <w:tcW w:type="dxa" w:w="50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Numeral 3.5: formatos o modelos de contratos o pliegos tipo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https://normograma.mintic.gov.co/mintic/compilacion/docs/resolucion_mintic_1519_2020.htm</w:t>
            </w:r>
          </w:p>
        </w:tc>
      </w:tr>
      <w:tr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Ley 80 de 1993</w:t>
            </w:r>
          </w:p>
        </w:tc>
        <w:tc>
          <w:tcPr>
            <w:tcW w:type="dxa" w:w="50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Estatuto General de Contratación de la Administración Pública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https://www1.funcionpublica.gov.co/eva/gestornormativo/norma_pdf.php?i=304</w:t>
            </w:r>
          </w:p>
        </w:tc>
      </w:tr>
      <w:tr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Ley 1150 de 2007</w:t>
            </w:r>
          </w:p>
        </w:tc>
        <w:tc>
          <w:tcPr>
            <w:tcW w:type="dxa" w:w="50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Medidas de eficiencia y transparencia; modalidades de selección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https://www.funcionpublica.gov.co/eva/gestornormativo/norma.php?i=184686</w:t>
            </w:r>
          </w:p>
        </w:tc>
      </w:tr>
      <w:tr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Decreto 1082 de 2015</w:t>
            </w:r>
          </w:p>
        </w:tc>
        <w:tc>
          <w:tcPr>
            <w:tcW w:type="dxa" w:w="50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Reglas de planeación, estudios previos, pliegos y proceso contractual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https://www.funcionpublica.gov.co/eva/gestornormativo/norma.php?i=77653</w:t>
            </w:r>
          </w:p>
        </w:tc>
      </w:tr>
      <w:tr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Ley 1474 de 2011</w:t>
            </w:r>
          </w:p>
        </w:tc>
        <w:tc>
          <w:tcPr>
            <w:tcW w:type="dxa" w:w="50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Supervisión e interventoría; deber de vigilancia contractual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https://www.funcionpublica.gov.co/eva/gestornormativo/norma.php?i=43292</w:t>
            </w:r>
          </w:p>
        </w:tc>
      </w:tr>
      <w:tr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Ley 2022 de 2020</w:t>
            </w:r>
          </w:p>
        </w:tc>
        <w:tc>
          <w:tcPr>
            <w:tcW w:type="dxa" w:w="50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Obligatoriedad de Documentos Tipo dentro de su ámbito de aplicación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https://www.suin-juriscol.gov.co/viewDocument.asp?id=30039623</w:t>
            </w:r>
          </w:p>
        </w:tc>
      </w:tr>
      <w:tr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Ley 594 de 2000 y Acuerdo AGN 001 de 2024</w:t>
            </w:r>
          </w:p>
        </w:tc>
        <w:tc>
          <w:tcPr>
            <w:tcW w:type="dxa" w:w="50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Gestión documental, TRD, expedientes y documentos electrónicos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https://normativa.archivogeneral.gov.co/acuerdo-no-001-del-2024/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Alcance del paquete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Componente</w:t>
            </w:r>
          </w:p>
        </w:tc>
        <w:tc>
          <w:tcPr>
            <w:tcW w:type="dxa" w:w="77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Planeación</w:t>
            </w:r>
          </w:p>
        </w:tc>
        <w:tc>
          <w:tcPr>
            <w:tcW w:type="dxa" w:w="77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Estudios previos, análisis del sector, matriz de riesgos y ficha de Documentos Tipo.</w:t>
            </w:r>
          </w:p>
        </w:tc>
      </w:tr>
      <w:tr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Selección</w:t>
            </w:r>
          </w:p>
        </w:tc>
        <w:tc>
          <w:tcPr>
            <w:tcW w:type="dxa" w:w="77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Invitación pública de mínima cuantía, modelo base de pliego no sometido a Documentos Tipo e informe de evaluación.</w:t>
            </w:r>
          </w:p>
        </w:tc>
      </w:tr>
      <w:tr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Contratos</w:t>
            </w:r>
          </w:p>
        </w:tc>
        <w:tc>
          <w:tcPr>
            <w:tcW w:type="dxa" w:w="77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Prestación de servicios profesionales, apoyo a la gestión, suministro, obra pública y consultoría/interventoría.</w:t>
            </w:r>
          </w:p>
        </w:tc>
      </w:tr>
      <w:tr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Ejecución</w:t>
            </w:r>
          </w:p>
        </w:tc>
        <w:tc>
          <w:tcPr>
            <w:tcW w:type="dxa" w:w="77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Actas de inicio, suspensión, reinicio, solicitud de modificación, informe del contratista, informe de supervisión y certificación de pago.</w:t>
            </w:r>
          </w:p>
        </w:tc>
      </w:tr>
      <w:tr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Cierre y archivo</w:t>
            </w:r>
          </w:p>
        </w:tc>
        <w:tc>
          <w:tcPr>
            <w:tcW w:type="dxa" w:w="77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Acta de terminación y recibo final, liquidación bilateral y lista de chequeo del expediente contractual.</w:t>
            </w:r>
          </w:p>
        </w:tc>
      </w:tr>
      <w:tr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Control y publicación</w:t>
            </w:r>
          </w:p>
        </w:tc>
        <w:tc>
          <w:tcPr>
            <w:tcW w:type="dxa" w:w="777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Matriz maestra en Excel, catálogo, control de aprobación, aplicabilidad de Documentos Tipo, plan del aplicativo y página HTML de publicación.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Regla obligatoria para Documentos Tipo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Antes de elaborar cualquier proyecto de pliego o invitación, la dependencia estructuradora debe diligenciar la Ficha de Aplicabilidad de Documentos Tipo y consultar la versión vigente en Colombia Compra Eficiente. No está permitido modificar cláusulas, factores o requisitos inalterables de los Documentos Tipo. Los campos editables únicamente podrán completarse dentro de los límites definidos por la Agencia.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Verificar sector, subsector, objeto contractual, modalidad de selección, cuantía y fecha del aviso de convocatoria.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Revisar la Matriz de Experiencia y el Glosario de la versión vigente.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Conservar evidencia de la consulta, versión, resolución de adopción y fecha de vigencia.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Cuando no aplique un Documento Tipo, justificarlo expresamente en los estudios previos y en la ficha de aplicabilidad.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Para infraestructura social, revisar las versiones vigentes aplicables a avisos de convocatoria publicados desde el 16 de febrero de 2026.</w:t>
      </w:r>
    </w:p>
    <w:p>
      <w:pPr>
        <w:jc w:val="left"/>
      </w:pPr>
      <w:r>
        <w:rPr>
          <w:rFonts w:ascii="Century Gothic" w:hAnsi="Century Gothic" w:eastAsia="Century Gothic"/>
          <w:b/>
          <w:i w:val="0"/>
          <w:color w:val="01256A"/>
          <w:sz w:val="17"/>
        </w:rPr>
        <w:t xml:space="preserve">Repositorio oficial de Documentos Tipo: </w:t>
      </w:r>
      <w:hyperlink r:id="rId11">
        <w:r>
          <w:rPr>
            <w:color w:val="0563C1"/>
            <w:u w:val="single"/>
            <w:rFonts w:ascii="Century Gothic" w:hAnsi="Century Gothic"/>
          </w:rPr>
          <w:t>https://www.colombiacompra.gov.co/normativa-y-relatoria/documentos-tipo</w:t>
        </w:r>
      </w:hyperlink>
    </w:p>
    <w:p>
      <w:pPr>
        <w:pStyle w:val="Heading1"/>
        <w:keepNext/>
      </w:pPr>
      <w:r>
        <w:t>6. Ruta de aprobación institucional</w:t>
      </w:r>
    </w:p>
    <w:p>
      <w:pPr>
        <w:pStyle w:val="ListNumber"/>
        <w:spacing w:after="6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Elaboración técnica por la dependencia que origina la necesidad.</w:t>
      </w:r>
    </w:p>
    <w:p>
      <w:pPr>
        <w:pStyle w:val="ListNumber"/>
        <w:spacing w:after="6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Revisión de coherencia contractual y normativa por el responsable jurídico/contractual.</w:t>
      </w:r>
    </w:p>
    <w:p>
      <w:pPr>
        <w:pStyle w:val="ListNumber"/>
        <w:spacing w:after="6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Revisión financiera y presupuestal cuando el formato contenga cálculos, pagos, CDP, RP o saldos.</w:t>
      </w:r>
    </w:p>
    <w:p>
      <w:pPr>
        <w:pStyle w:val="ListNumber"/>
        <w:spacing w:after="6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Revisión de calidad: estructura, versión, código, responsable, control de cambios y accesibilidad.</w:t>
      </w:r>
    </w:p>
    <w:p>
      <w:pPr>
        <w:pStyle w:val="ListNumber"/>
        <w:spacing w:after="6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Revisión archivística: serie, subserie, tipo documental, metadatos, expediente y retención.</w:t>
      </w:r>
    </w:p>
    <w:p>
      <w:pPr>
        <w:pStyle w:val="ListNumber"/>
        <w:spacing w:after="6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Aprobación por la instancia competente mediante acta, acto administrativo o mecanismo definido en el sistema de gestión.</w:t>
      </w:r>
    </w:p>
    <w:p>
      <w:pPr>
        <w:pStyle w:val="ListNumber"/>
        <w:spacing w:after="6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Publicación en la sede electrónica y registro del vínculo en la matriz maestra.</w:t>
      </w:r>
    </w:p>
    <w:p>
      <w:pPr>
        <w:pStyle w:val="ListNumber"/>
        <w:spacing w:after="6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Parametrización en el Aplicativo Institucional de Calidad y Gestión Documental Automática.</w:t>
      </w:r>
    </w:p>
    <w:p>
      <w:pPr>
        <w:pStyle w:val="Heading1"/>
        <w:keepNext/>
      </w:pPr>
      <w:r>
        <w:t>7. Proyecto de aplicativo de calidad y gestión documental automática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El proyecto tecnológico asociado busca controlar el ciclo completo del documento: creación, revisión, aprobación, publicación, diligenciamiento, firma, radicación, integración con SECOP, conformación del expediente, retención, transferencia y disposición final. Su diseño debe preservar la equivalencia funcional de los documentos electrónicos, la autenticidad, integridad, disponibilidad, trazabilidad y control de versiones.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5"/>
              </w:rPr>
              <w:t>Módulo</w:t>
            </w:r>
          </w:p>
        </w:tc>
        <w:tc>
          <w:tcPr>
            <w:tcW w:type="dxa" w:w="68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5"/>
              </w:rPr>
              <w:t>Función esperada</w:t>
            </w:r>
          </w:p>
        </w:tc>
        <w:tc>
          <w:tcPr>
            <w:tcW w:type="dxa" w:w="1007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5"/>
              </w:rPr>
              <w:t>Prioridad</w:t>
            </w:r>
          </w:p>
        </w:tc>
      </w:tr>
      <w:tr>
        <w:tc>
          <w:tcPr>
            <w:tcW w:type="dxa" w:w="22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Generador de formatos</w:t>
            </w:r>
          </w:p>
        </w:tc>
        <w:tc>
          <w:tcPr>
            <w:tcW w:type="dxa" w:w="68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Campos dinámicos, listas controladas, cálculos, numeración y cláusulas por tipología.</w:t>
            </w:r>
          </w:p>
        </w:tc>
        <w:tc>
          <w:tcPr>
            <w:tcW w:type="dxa" w:w="1007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Alta</w:t>
            </w:r>
          </w:p>
        </w:tc>
      </w:tr>
      <w:tr>
        <w:tc>
          <w:tcPr>
            <w:tcW w:type="dxa" w:w="22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Control de versiones</w:t>
            </w:r>
          </w:p>
        </w:tc>
        <w:tc>
          <w:tcPr>
            <w:tcW w:type="dxa" w:w="68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Código, versión, estado, historial, responsables, aprobación y fecha de vigencia.</w:t>
            </w:r>
          </w:p>
        </w:tc>
        <w:tc>
          <w:tcPr>
            <w:tcW w:type="dxa" w:w="1007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Alta</w:t>
            </w:r>
          </w:p>
        </w:tc>
      </w:tr>
      <w:tr>
        <w:tc>
          <w:tcPr>
            <w:tcW w:type="dxa" w:w="22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Integración TRD</w:t>
            </w:r>
          </w:p>
        </w:tc>
        <w:tc>
          <w:tcPr>
            <w:tcW w:type="dxa" w:w="68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Serie/subserie, tipo documental, expediente, tiempos de retención y alertas.</w:t>
            </w:r>
          </w:p>
        </w:tc>
        <w:tc>
          <w:tcPr>
            <w:tcW w:type="dxa" w:w="1007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Alta</w:t>
            </w:r>
          </w:p>
        </w:tc>
      </w:tr>
      <w:tr>
        <w:tc>
          <w:tcPr>
            <w:tcW w:type="dxa" w:w="22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Expediente contractual</w:t>
            </w:r>
          </w:p>
        </w:tc>
        <w:tc>
          <w:tcPr>
            <w:tcW w:type="dxa" w:w="68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Índice electrónico, integridad, foliado/orden lógico, metadatos y consulta.</w:t>
            </w:r>
          </w:p>
        </w:tc>
        <w:tc>
          <w:tcPr>
            <w:tcW w:type="dxa" w:w="1007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Alta</w:t>
            </w:r>
          </w:p>
        </w:tc>
      </w:tr>
      <w:tr>
        <w:tc>
          <w:tcPr>
            <w:tcW w:type="dxa" w:w="22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Flujos de aprobación</w:t>
            </w:r>
          </w:p>
        </w:tc>
        <w:tc>
          <w:tcPr>
            <w:tcW w:type="dxa" w:w="68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Revisión técnica, jurídica, financiera, calidad, archivo y aprobación.</w:t>
            </w:r>
          </w:p>
        </w:tc>
        <w:tc>
          <w:tcPr>
            <w:tcW w:type="dxa" w:w="1007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Alta</w:t>
            </w:r>
          </w:p>
        </w:tc>
      </w:tr>
      <w:tr>
        <w:tc>
          <w:tcPr>
            <w:tcW w:type="dxa" w:w="22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SECOP</w:t>
            </w:r>
          </w:p>
        </w:tc>
        <w:tc>
          <w:tcPr>
            <w:tcW w:type="dxa" w:w="68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Vínculo al proceso, contrato, modificaciones, ejecución y evidencias.</w:t>
            </w:r>
          </w:p>
        </w:tc>
        <w:tc>
          <w:tcPr>
            <w:tcW w:type="dxa" w:w="1007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Media</w:t>
            </w:r>
          </w:p>
        </w:tc>
      </w:tr>
      <w:tr>
        <w:tc>
          <w:tcPr>
            <w:tcW w:type="dxa" w:w="22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Firma y evidencia</w:t>
            </w:r>
          </w:p>
        </w:tc>
        <w:tc>
          <w:tcPr>
            <w:tcW w:type="dxa" w:w="68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Firma electrónica/digital según aplique, sello de tiempo, trazabilidad y auditoría.</w:t>
            </w:r>
          </w:p>
        </w:tc>
        <w:tc>
          <w:tcPr>
            <w:tcW w:type="dxa" w:w="1007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Media</w:t>
            </w:r>
          </w:p>
        </w:tc>
      </w:tr>
      <w:tr>
        <w:tc>
          <w:tcPr>
            <w:tcW w:type="dxa" w:w="22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Publicación ITA</w:t>
            </w:r>
          </w:p>
        </w:tc>
        <w:tc>
          <w:tcPr>
            <w:tcW w:type="dxa" w:w="68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Repositorio público, versiones accesibles, buscador, descarga y vigencia.</w:t>
            </w:r>
          </w:p>
        </w:tc>
        <w:tc>
          <w:tcPr>
            <w:tcW w:type="dxa" w:w="1007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5"/>
              </w:rPr>
              <w:t>Alta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Reglas de publicación en la sede electrónica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Publicar el archivo Word editable y, cuando se apruebe, su versión PDF accesible.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Mostrar nombre, código, versión, estado, fecha de actualización, dependencia responsable y código TRD aplicable.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Mantener una advertencia visible de “Documento en proceso de aprobación” mientras no exista adopción formal.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Incluir el enlace al repositorio oficial de Documentos Tipo y a SECOP I/II.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No publicar datos personales, firmas manuscritas, documentos de identidad, cuentas bancarias ni información reservada en los modelos vacíos.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Conservar versiones anteriores como obsoletas en el sistema interno; en la página pública debe destacarse la versión vigente.</w:t>
      </w:r>
    </w:p>
    <w:p>
      <w:pPr>
        <w:pStyle w:val="ListBullet"/>
        <w:spacing w:after="40"/>
      </w:pPr>
      <w:r>
        <w:rPr>
          <w:rFonts w:ascii="Century Gothic" w:hAnsi="Century Gothic" w:eastAsia="Century Gothic"/>
          <w:b w:val="0"/>
          <w:i w:val="0"/>
          <w:color w:val="162534"/>
          <w:sz w:val="17"/>
        </w:rPr>
        <w:t>Revisar enlaces y vigencia normativa al menos trimestralmente y antes de iniciar cada proceso.</w:t>
      </w:r>
    </w:p>
    <w:p>
      <w:pPr>
        <w:pStyle w:val="Heading1"/>
        <w:keepNext/>
      </w:pPr>
      <w:r>
        <w:t>9. Texto sugerido para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EAF2F8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8"/>
              </w:rPr>
              <w:t>AVISO INSTITUCIONAL SUGERIDO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La Alcaldía Municipal de San Pedro, Valle del Cauca, publica los siguientes formatos y modelos contractuales en cumplimiento del numeral 3.5 del Anexo Técnico 2 de la Resolución MinTIC 1519 de 2020. Los documentos se encuentran en proceso de revisión y aprobación institucional, junto con la actualización de las Tablas de Retención Documental y el diseño del Aplicativo Institucional de Calidad y Gestión Documental Automática. Son modelos transitorios y deben adaptarse a cada proceso. Cuando resulte obligatorio un Documento Tipo de Colombia Compra Eficiente, prevalecerá la versión vigente publicada por dicha Agencia.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Aprobación de la guía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 / 230-37 / 230-52 -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Guía de publicación y uso transitorio de formatos contractuales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JC-GU-01-PROV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 / 230-37 / 230-52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lombiacompra.gov.co/normativa-y-relatoria/documentos-tip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Guia Publicacion Uso Transitorio ITA 3 5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