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spacing w:after="40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Modelo de invitación pública de mínima cuantía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modelo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ADVERTENCIA ESPECIAL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Para obras de infraestructura u otros objetos cubiertos por Documentos Tipo obligatorios, no utilice este modelo como sustituto. Descargue y aplique la versión vigente de Colombia Compra Eficiente.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DATOS DEL PROCESO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Proceso de mínima cuantía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 claro y completo]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Presupuesto oficial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valor, impuestos incluidos]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CDP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número, fecha, rubro y valor]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 de ejecución]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Lugar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municipio/sede/zona]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SECOP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enlace al proceso]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00" w:after="40"/>
      </w:pPr>
      <w:r>
        <w:t>1. Necesidad y descripción del objeto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Resuma la necesidad y remita a los estudios previos publicados.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aplicable]</w:t>
      </w:r>
    </w:p>
    <w:p>
      <w:pPr>
        <w:pStyle w:val="Heading1"/>
        <w:keepNext/>
        <w:spacing w:before="100" w:after="40"/>
      </w:pPr>
      <w:r>
        <w:t>2. Especificaciones técnicas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Incluya ficha técnica, cantidades, unidades, calidad, entregables, lugar y condiciones de aceptación.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aplicable]</w:t>
      </w:r>
    </w:p>
    <w:p>
      <w:pPr>
        <w:pStyle w:val="Heading1"/>
        <w:keepNext/>
        <w:spacing w:before="100" w:after="40"/>
      </w:pPr>
      <w:r>
        <w:t>3. Cronograma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Defina publicación, observaciones, respuesta, presentación de ofertas, evaluación, traslado, aceptación e inicio.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aplicable]</w:t>
      </w:r>
    </w:p>
    <w:p>
      <w:pPr>
        <w:pStyle w:val="Heading1"/>
        <w:keepNext/>
        <w:spacing w:before="100" w:after="40"/>
      </w:pPr>
      <w:r>
        <w:t>4. Presentación de ofertas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Indique medio, fecha y hora, estructura económica, documentos y reglas de cierre en SECOP.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aplicable]</w:t>
      </w:r>
    </w:p>
    <w:p>
      <w:pPr>
        <w:pStyle w:val="Heading1"/>
        <w:keepNext/>
        <w:spacing w:before="100" w:after="40"/>
      </w:pPr>
      <w:r>
        <w:t>5. Requisitos mínimos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Defina capacidad jurídica, experiencia y condiciones técnicas estrictamente necesarias y proporcionales.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aplicable]</w:t>
      </w:r>
    </w:p>
    <w:p>
      <w:pPr>
        <w:pStyle w:val="Heading1"/>
        <w:keepNext/>
        <w:spacing w:before="100" w:after="40"/>
      </w:pPr>
      <w:r>
        <w:t>6. Selección de la oferta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Indique verificación de la oferta de menor precio y reglas de subsanación conforme al régimen aplicable.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aplicable]</w:t>
      </w:r>
    </w:p>
    <w:p>
      <w:pPr>
        <w:pStyle w:val="Heading1"/>
        <w:keepNext/>
        <w:spacing w:before="100" w:after="40"/>
      </w:pPr>
      <w:r>
        <w:t>7. Causales de rechazo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Enumere causales objetivas, claras y relacionadas con requisitos no subsanables o incumplimiento de reglas.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aplicable]</w:t>
      </w:r>
    </w:p>
    <w:p>
      <w:pPr>
        <w:pStyle w:val="Heading1"/>
        <w:keepNext/>
        <w:spacing w:before="100" w:after="40"/>
      </w:pPr>
      <w:r>
        <w:t>8. Garantías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Indique amparos requeridos o justificación de no exigencia.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aplicable]</w:t>
      </w:r>
    </w:p>
    <w:p>
      <w:pPr>
        <w:pStyle w:val="Heading1"/>
        <w:keepNext/>
        <w:spacing w:before="100" w:after="40"/>
      </w:pPr>
      <w:r>
        <w:t>9. Riesgos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Incorpore o remita a la matriz de riesgos y reglas de asignación.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aplicable]</w:t>
      </w:r>
    </w:p>
    <w:p>
      <w:pPr>
        <w:pStyle w:val="Heading1"/>
        <w:keepNext/>
        <w:spacing w:before="100" w:after="40"/>
      </w:pPr>
      <w:r>
        <w:t>10. Comunicación de aceptación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Explique que la comunicación de aceptación y la oferta integran el contrato, según las reglas aplicables a mínima cuantía.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aplicable]</w:t>
      </w:r>
    </w:p>
    <w:p>
      <w:pPr>
        <w:pStyle w:val="Heading1"/>
        <w:keepNext/>
        <w:spacing w:before="100" w:after="40"/>
      </w:pPr>
      <w:r>
        <w:t>11. Supervisión y pago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Indique supervisor, soportes, seguridad social, factura/cuenta de cobro y condiciones de recibo.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aplicable]</w:t>
      </w:r>
    </w:p>
    <w:p>
      <w:pPr>
        <w:pStyle w:val="Heading1"/>
        <w:keepNext/>
        <w:spacing w:before="100" w:after="40"/>
      </w:pPr>
      <w:r>
        <w:t>12. Integridad y transparencia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Incluya pacto de transparencia, conflicto de intereses, inhabilidades, protección de datos y canal de denuncias.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aplicable]</w:t>
      </w:r>
    </w:p>
    <w:p>
      <w:pPr>
        <w:pStyle w:val="Heading1"/>
        <w:keepNext/>
        <w:spacing w:before="100" w:after="40"/>
      </w:pPr>
      <w:r>
        <w:t>13. Anexos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Estudios previos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Ficha técnica o especificaciones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Formato de oferta económica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Matriz de riesgos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Minuta o condiciones de aceptación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Ficha de aplicabilidad de Documentos Tipo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Formatos de experiencia y declaraciones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3"/>
              </w:rPr>
              <w:t>230-15 según tipología contractual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Modelo de invitación pública de mínima cuantía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JC-FT-04-PROV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230-15-03 / 230-15-04 / 230-15-05 / 230-15-06 según objeto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Modelo Invitacion Publica Minima Cuantia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